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114" w:rsidRPr="00B43E6E" w:rsidRDefault="00C042FC" w:rsidP="00B43E6E">
      <w:pPr>
        <w:spacing w:after="240"/>
        <w:rPr>
          <w:rFonts w:ascii="Arial" w:hAnsi="Arial" w:cs="Arial"/>
          <w:b/>
          <w:sz w:val="32"/>
        </w:rPr>
      </w:pPr>
      <w:r w:rsidRPr="00B43E6E">
        <w:rPr>
          <w:rFonts w:ascii="Arial" w:hAnsi="Arial" w:cs="Arial"/>
          <w:b/>
          <w:sz w:val="32"/>
        </w:rPr>
        <w:t>Geothermal energy resources</w:t>
      </w:r>
    </w:p>
    <w:p w:rsidR="00C042FC" w:rsidRPr="00B43E6E" w:rsidRDefault="0029346C" w:rsidP="00B43E6E">
      <w:pPr>
        <w:spacing w:before="120" w:after="120" w:line="300" w:lineRule="atLeast"/>
        <w:rPr>
          <w:rFonts w:ascii="Arial" w:hAnsi="Arial" w:cs="Arial"/>
        </w:rPr>
      </w:pPr>
      <w:r w:rsidRPr="00B43E6E">
        <w:rPr>
          <w:rFonts w:ascii="Arial" w:hAnsi="Arial" w:cs="Arial"/>
        </w:rPr>
        <w:t>Geothermal energy is an emerging industry in Australia, with exploration being conducted in all states and the Northern Territory. While significant resources have been identified and there are several companies in advanced stages of exploration, presently there is no commercial production of geothermal energy in Australia. That said</w:t>
      </w:r>
      <w:proofErr w:type="gramStart"/>
      <w:r w:rsidRPr="00B43E6E">
        <w:rPr>
          <w:rFonts w:ascii="Arial" w:hAnsi="Arial" w:cs="Arial"/>
        </w:rPr>
        <w:t>,</w:t>
      </w:r>
      <w:proofErr w:type="gramEnd"/>
      <w:r w:rsidRPr="00B43E6E">
        <w:rPr>
          <w:rFonts w:ascii="Arial" w:hAnsi="Arial" w:cs="Arial"/>
        </w:rPr>
        <w:t xml:space="preserve"> there is significant potential for geothermal energy in Australia. It is estimated that one per cent of the geothermal energy shallower than five kilometres and hotter than 150°C could supply Australia's total energy requirements for 26 000 years (based on 2004-05 figures).</w:t>
      </w:r>
    </w:p>
    <w:p w:rsidR="00C042FC" w:rsidRPr="00B43E6E" w:rsidRDefault="00C042FC" w:rsidP="00B43E6E">
      <w:pPr>
        <w:spacing w:before="120" w:after="120" w:line="300" w:lineRule="atLeast"/>
        <w:rPr>
          <w:rFonts w:ascii="Arial" w:hAnsi="Arial" w:cs="Arial"/>
          <w:b/>
        </w:rPr>
      </w:pPr>
      <w:r w:rsidRPr="00B43E6E">
        <w:rPr>
          <w:rFonts w:ascii="Arial" w:hAnsi="Arial" w:cs="Arial"/>
          <w:b/>
        </w:rPr>
        <w:t>Geothermal energy uses</w:t>
      </w:r>
    </w:p>
    <w:p w:rsidR="0029346C" w:rsidRPr="00B43E6E" w:rsidRDefault="0029346C" w:rsidP="00B43E6E">
      <w:pPr>
        <w:spacing w:before="120" w:after="120" w:line="300" w:lineRule="atLeast"/>
        <w:rPr>
          <w:rFonts w:ascii="Arial" w:hAnsi="Arial" w:cs="Arial"/>
        </w:rPr>
      </w:pPr>
      <w:r w:rsidRPr="00B43E6E">
        <w:rPr>
          <w:rFonts w:ascii="Arial" w:hAnsi="Arial" w:cs="Arial"/>
        </w:rPr>
        <w:t>Geothermal energy is heat contained within in the earth. Australia has great potential for geothermal energy to be used for electricity generation and for direct use applications. Electricity can be generated using temperatures as low as 100°C, although higher temperatures than this may be required for larger scale production. For direct use applications, temperatures of 30°C and above can be used in industry, agriculture and for heating and cooling of residential buildings.</w:t>
      </w:r>
    </w:p>
    <w:p w:rsidR="00C042FC" w:rsidRPr="00B43E6E" w:rsidRDefault="00C042FC" w:rsidP="00B43E6E">
      <w:pPr>
        <w:spacing w:before="120" w:after="120" w:line="300" w:lineRule="atLeast"/>
        <w:outlineLvl w:val="1"/>
        <w:rPr>
          <w:rFonts w:ascii="Arial" w:eastAsia="Times New Roman" w:hAnsi="Arial" w:cs="Arial"/>
          <w:b/>
          <w:bCs/>
          <w:lang w:val="en-US"/>
        </w:rPr>
      </w:pPr>
      <w:r w:rsidRPr="00B43E6E">
        <w:rPr>
          <w:rFonts w:ascii="Arial" w:eastAsia="Times New Roman" w:hAnsi="Arial" w:cs="Arial"/>
          <w:b/>
          <w:bCs/>
          <w:lang w:val="en-US"/>
        </w:rPr>
        <w:t>Geothermal energy exploration</w:t>
      </w:r>
    </w:p>
    <w:p w:rsidR="00C042FC" w:rsidRPr="00B43E6E" w:rsidRDefault="00C042FC" w:rsidP="00B43E6E">
      <w:pPr>
        <w:spacing w:before="120" w:after="120" w:line="300" w:lineRule="atLeast"/>
        <w:rPr>
          <w:rFonts w:ascii="Arial" w:eastAsia="Times New Roman" w:hAnsi="Arial" w:cs="Arial"/>
          <w:lang w:val="en-US"/>
        </w:rPr>
      </w:pPr>
      <w:bookmarkStart w:id="0" w:name="GA18075"/>
      <w:bookmarkStart w:id="1" w:name="_GoBack"/>
      <w:r w:rsidRPr="00B43E6E">
        <w:rPr>
          <w:rFonts w:ascii="Arial" w:eastAsia="Times New Roman" w:hAnsi="Arial" w:cs="Arial"/>
          <w:noProof/>
          <w:color w:val="0000FF"/>
        </w:rPr>
        <w:drawing>
          <wp:inline distT="0" distB="0" distL="0" distR="0" wp14:anchorId="5782D768" wp14:editId="518E8261">
            <wp:extent cx="2723408" cy="2042556"/>
            <wp:effectExtent l="0" t="0" r="1270" b="0"/>
            <wp:docPr id="2" name="Picture 2" descr="http://www.ga.gov.au/__data/assets/image/0018/12780/GA18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ga.gov.au/__data/assets/image/0018/12780/GA18074.jpg">
                      <a:hlinkClick r:id="rId7" tooltip="&quot;Temperature logging system&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0500" cy="2047875"/>
                    </a:xfrm>
                    <a:prstGeom prst="rect">
                      <a:avLst/>
                    </a:prstGeom>
                    <a:noFill/>
                    <a:ln>
                      <a:noFill/>
                    </a:ln>
                  </pic:spPr>
                </pic:pic>
              </a:graphicData>
            </a:graphic>
          </wp:inline>
        </w:drawing>
      </w:r>
      <w:bookmarkEnd w:id="0"/>
      <w:bookmarkEnd w:id="1"/>
    </w:p>
    <w:p w:rsidR="00C042FC" w:rsidRPr="00B43E6E" w:rsidRDefault="00C042FC" w:rsidP="00B43E6E">
      <w:pPr>
        <w:spacing w:before="120" w:after="120" w:line="240" w:lineRule="auto"/>
        <w:rPr>
          <w:rFonts w:ascii="Arial" w:eastAsia="Times New Roman" w:hAnsi="Arial" w:cs="Arial"/>
          <w:i/>
          <w:iCs/>
          <w:sz w:val="18"/>
          <w:lang w:val="en-US"/>
        </w:rPr>
      </w:pPr>
      <w:r w:rsidRPr="00B43E6E">
        <w:rPr>
          <w:rFonts w:ascii="Arial" w:eastAsia="Times New Roman" w:hAnsi="Arial" w:cs="Arial"/>
          <w:i/>
          <w:iCs/>
          <w:sz w:val="18"/>
          <w:lang w:val="en-US"/>
        </w:rPr>
        <w:t>Temperature logging system</w:t>
      </w:r>
    </w:p>
    <w:p w:rsidR="0029346C" w:rsidRPr="00B43E6E" w:rsidRDefault="0029346C" w:rsidP="00B43E6E">
      <w:pPr>
        <w:spacing w:before="120" w:after="120" w:line="300" w:lineRule="atLeast"/>
        <w:rPr>
          <w:rFonts w:ascii="Arial" w:hAnsi="Arial" w:cs="Arial"/>
        </w:rPr>
      </w:pPr>
      <w:r w:rsidRPr="00B43E6E">
        <w:rPr>
          <w:rFonts w:ascii="Arial" w:hAnsi="Arial" w:cs="Arial"/>
        </w:rPr>
        <w:t>Currently drilling technology limits economic development of geothermal resources to a maximum depth of about five kilometres. Thus companies are exploring for regions of elevated temperatures at five kilometres deep or less. The temperature at five kilometres depth varies across the continent due to a range of geologic factors. It is possible to identify areas of higher potential through the use of a variety of geoscience data.</w:t>
      </w:r>
    </w:p>
    <w:p w:rsidR="00C042FC" w:rsidRPr="00B43E6E" w:rsidRDefault="00C042FC" w:rsidP="00B43E6E">
      <w:pPr>
        <w:spacing w:before="120" w:after="120" w:line="300" w:lineRule="atLeast"/>
        <w:outlineLvl w:val="2"/>
        <w:rPr>
          <w:rFonts w:ascii="Arial" w:eastAsia="Times New Roman" w:hAnsi="Arial" w:cs="Arial"/>
          <w:b/>
          <w:bCs/>
          <w:lang w:val="en-US"/>
        </w:rPr>
      </w:pPr>
      <w:r w:rsidRPr="00B43E6E">
        <w:rPr>
          <w:rFonts w:ascii="Arial" w:eastAsia="Times New Roman" w:hAnsi="Arial" w:cs="Arial"/>
          <w:b/>
          <w:bCs/>
          <w:lang w:val="en-US"/>
        </w:rPr>
        <w:t>Geoscience Australia programs</w:t>
      </w:r>
    </w:p>
    <w:p w:rsidR="0029346C" w:rsidRPr="00B43E6E" w:rsidRDefault="0029346C" w:rsidP="00B43E6E">
      <w:pPr>
        <w:spacing w:before="120" w:after="120" w:line="300" w:lineRule="atLeast"/>
        <w:rPr>
          <w:rFonts w:ascii="Arial" w:hAnsi="Arial" w:cs="Arial"/>
        </w:rPr>
      </w:pPr>
      <w:r w:rsidRPr="00B43E6E">
        <w:rPr>
          <w:rFonts w:ascii="Arial" w:hAnsi="Arial" w:cs="Arial"/>
        </w:rPr>
        <w:t>Geoscience Australia is undertaking significant work to better understand where these hot spots are in order to support the geothermal industry and encourage exploration in Australia. As p</w:t>
      </w:r>
      <w:r w:rsidR="004B3159">
        <w:rPr>
          <w:rFonts w:ascii="Arial" w:hAnsi="Arial" w:cs="Arial"/>
        </w:rPr>
        <w:t xml:space="preserve">art of the federal government's </w:t>
      </w:r>
      <w:r w:rsidRPr="00B43E6E">
        <w:rPr>
          <w:rFonts w:ascii="Arial" w:hAnsi="Arial" w:cs="Arial"/>
        </w:rPr>
        <w:t>Onshore Energy Security Program, a field logging program has been set up with the aim of improving the heat flow coverage of Australia. Heat flow is determined by taking the product of thermal conductivity and temperature gradient in a borehole and can be used to predict temperatures at greater depths. Geoscience Australi</w:t>
      </w:r>
      <w:r w:rsidR="004B3159">
        <w:rPr>
          <w:rFonts w:ascii="Arial" w:hAnsi="Arial" w:cs="Arial"/>
        </w:rPr>
        <w:t xml:space="preserve">a has released the first set of </w:t>
      </w:r>
      <w:r w:rsidRPr="00B43E6E">
        <w:rPr>
          <w:rFonts w:ascii="Arial" w:hAnsi="Arial" w:cs="Arial"/>
        </w:rPr>
        <w:t>Heat flow interpretations for the Australian Continent.</w:t>
      </w:r>
    </w:p>
    <w:p w:rsidR="005939B3" w:rsidRPr="00B43E6E" w:rsidRDefault="005939B3" w:rsidP="00B43E6E">
      <w:pPr>
        <w:spacing w:before="120" w:after="120" w:line="300" w:lineRule="atLeast"/>
        <w:rPr>
          <w:rFonts w:ascii="Arial" w:hAnsi="Arial" w:cs="Arial"/>
        </w:rPr>
      </w:pPr>
      <w:r w:rsidRPr="00B43E6E">
        <w:rPr>
          <w:rFonts w:ascii="Arial" w:hAnsi="Arial" w:cs="Arial"/>
        </w:rPr>
        <w:t>Another produc</w:t>
      </w:r>
      <w:r w:rsidR="004B3159">
        <w:rPr>
          <w:rFonts w:ascii="Arial" w:hAnsi="Arial" w:cs="Arial"/>
        </w:rPr>
        <w:t xml:space="preserve">t that has been released is the </w:t>
      </w:r>
      <w:proofErr w:type="spellStart"/>
      <w:r w:rsidR="004B3159">
        <w:rPr>
          <w:rFonts w:ascii="Arial" w:hAnsi="Arial" w:cs="Arial"/>
        </w:rPr>
        <w:t>O</w:t>
      </w:r>
      <w:r w:rsidRPr="00B43E6E">
        <w:rPr>
          <w:rFonts w:ascii="Arial" w:hAnsi="Arial" w:cs="Arial"/>
        </w:rPr>
        <w:t>ZTemp</w:t>
      </w:r>
      <w:proofErr w:type="spellEnd"/>
      <w:r w:rsidRPr="00B43E6E">
        <w:rPr>
          <w:rFonts w:ascii="Arial" w:hAnsi="Arial" w:cs="Arial"/>
        </w:rPr>
        <w:t xml:space="preserve"> database. This has been generated using temperature measurements from a variety of sources and extrapolating these to five kilometres depth. The extrapolated temperature can be horizontally interpolated between </w:t>
      </w:r>
      <w:proofErr w:type="spellStart"/>
      <w:r w:rsidRPr="00B43E6E">
        <w:rPr>
          <w:rFonts w:ascii="Arial" w:hAnsi="Arial" w:cs="Arial"/>
        </w:rPr>
        <w:t>drillholes</w:t>
      </w:r>
      <w:proofErr w:type="spellEnd"/>
      <w:r w:rsidRPr="00B43E6E">
        <w:rPr>
          <w:rFonts w:ascii="Arial" w:hAnsi="Arial" w:cs="Arial"/>
        </w:rPr>
        <w:t xml:space="preserve">, and then contoured to produce a continuous map of temperature at five kilometres depth across the entire </w:t>
      </w:r>
      <w:r w:rsidRPr="00B43E6E">
        <w:rPr>
          <w:rFonts w:ascii="Arial" w:hAnsi="Arial" w:cs="Arial"/>
        </w:rPr>
        <w:lastRenderedPageBreak/>
        <w:t>continent. This technique was pioneered by Somerville et al. (1994 - Geotherm94 database) at the Bureau of Minerals Resources (now Geoscience Australia) and the Energy Research and Development Corporation. The database and the image for the current iteration are available on their website.</w:t>
      </w:r>
    </w:p>
    <w:p w:rsidR="005939B3" w:rsidRPr="00B43E6E" w:rsidRDefault="005939B3" w:rsidP="00B43E6E">
      <w:pPr>
        <w:spacing w:before="120" w:after="120" w:line="300" w:lineRule="atLeast"/>
        <w:rPr>
          <w:rFonts w:ascii="Arial" w:hAnsi="Arial" w:cs="Arial"/>
        </w:rPr>
      </w:pPr>
      <w:r w:rsidRPr="00B43E6E">
        <w:rPr>
          <w:rFonts w:ascii="Arial" w:hAnsi="Arial" w:cs="Arial"/>
        </w:rPr>
        <w:t>Geoscience Australia has also been inv</w:t>
      </w:r>
      <w:r w:rsidR="004B3159">
        <w:rPr>
          <w:rFonts w:ascii="Arial" w:hAnsi="Arial" w:cs="Arial"/>
        </w:rPr>
        <w:t xml:space="preserve">olved in the development of the </w:t>
      </w:r>
      <w:r w:rsidRPr="00B43E6E">
        <w:rPr>
          <w:rFonts w:ascii="Arial" w:hAnsi="Arial" w:cs="Arial"/>
        </w:rPr>
        <w:t>Geothermal Reporting Code, a geothermal reserves definition scheme similar to the minerals-based Joint Ore Reserves Committee (JORC) code and petroleum-based SPEE scheme. This was produced in collaboration with the Australian Geothermal Energy Group (AGEG) and the Australian Geothermal Energy Association (AGEA) and is critical to the large-scale development of the geothermal industry. In addition, Geoscience Australia has collaborated with the</w:t>
      </w:r>
      <w:r w:rsidR="004B3159">
        <w:rPr>
          <w:rFonts w:ascii="Arial" w:hAnsi="Arial" w:cs="Arial"/>
        </w:rPr>
        <w:t xml:space="preserve"> </w:t>
      </w:r>
      <w:r w:rsidRPr="00B43E6E">
        <w:rPr>
          <w:rFonts w:ascii="Arial" w:hAnsi="Arial" w:cs="Arial"/>
        </w:rPr>
        <w:t>Department of Resources, Energy and Tourism (RET)</w:t>
      </w:r>
      <w:r w:rsidR="004B3159">
        <w:rPr>
          <w:rFonts w:ascii="Arial" w:hAnsi="Arial" w:cs="Arial"/>
        </w:rPr>
        <w:t xml:space="preserve"> and AGEA to develop the </w:t>
      </w:r>
      <w:r w:rsidRPr="00B43E6E">
        <w:rPr>
          <w:rFonts w:ascii="Arial" w:hAnsi="Arial" w:cs="Arial"/>
        </w:rPr>
        <w:t>Australian Geothermal Industry Development Framework and Technology Roadmap with the aim of assisting geothermal exploration in Australia.</w:t>
      </w:r>
    </w:p>
    <w:p w:rsidR="00C042FC" w:rsidRPr="00B43E6E" w:rsidRDefault="00C042FC" w:rsidP="00B43E6E">
      <w:pPr>
        <w:spacing w:before="120" w:after="120" w:line="240" w:lineRule="auto"/>
        <w:rPr>
          <w:rFonts w:ascii="Arial" w:hAnsi="Arial" w:cs="Arial"/>
          <w:sz w:val="18"/>
          <w:szCs w:val="21"/>
        </w:rPr>
      </w:pPr>
      <w:r w:rsidRPr="00B43E6E">
        <w:rPr>
          <w:rFonts w:ascii="Arial" w:hAnsi="Arial" w:cs="Arial"/>
          <w:sz w:val="18"/>
          <w:szCs w:val="21"/>
        </w:rPr>
        <w:t xml:space="preserve">Source: </w:t>
      </w:r>
      <w:r w:rsidRPr="00B43E6E">
        <w:rPr>
          <w:rFonts w:ascii="Arial" w:hAnsi="Arial" w:cs="Arial"/>
          <w:i/>
          <w:sz w:val="18"/>
          <w:szCs w:val="21"/>
        </w:rPr>
        <w:t>Geothermal energy resources</w:t>
      </w:r>
      <w:r w:rsidRPr="00B43E6E">
        <w:rPr>
          <w:rFonts w:ascii="Arial" w:hAnsi="Arial" w:cs="Arial"/>
          <w:sz w:val="18"/>
          <w:szCs w:val="21"/>
        </w:rPr>
        <w:t xml:space="preserve"> © Commonwealth of Australia</w:t>
      </w:r>
      <w:r w:rsidR="00806842" w:rsidRPr="00B43E6E">
        <w:rPr>
          <w:rFonts w:ascii="Arial" w:hAnsi="Arial" w:cs="Arial"/>
          <w:sz w:val="18"/>
          <w:szCs w:val="21"/>
        </w:rPr>
        <w:t xml:space="preserve"> </w:t>
      </w:r>
      <w:r w:rsidRPr="00B43E6E">
        <w:rPr>
          <w:rFonts w:ascii="Arial" w:hAnsi="Arial" w:cs="Arial"/>
          <w:sz w:val="18"/>
          <w:szCs w:val="21"/>
        </w:rPr>
        <w:t>(Geoscience Australia) 2015</w:t>
      </w:r>
      <w:r w:rsidR="00806842" w:rsidRPr="00B43E6E">
        <w:rPr>
          <w:rFonts w:ascii="Arial" w:hAnsi="Arial" w:cs="Arial"/>
          <w:sz w:val="18"/>
          <w:szCs w:val="21"/>
        </w:rPr>
        <w:t xml:space="preserve">.   </w:t>
      </w:r>
      <w:r w:rsidRPr="00B43E6E">
        <w:rPr>
          <w:rFonts w:ascii="Arial" w:hAnsi="Arial" w:cs="Arial"/>
          <w:sz w:val="18"/>
          <w:szCs w:val="21"/>
        </w:rPr>
        <w:t xml:space="preserve"> </w:t>
      </w:r>
      <w:r w:rsidRPr="00B43E6E">
        <w:rPr>
          <w:rFonts w:ascii="Arial" w:hAnsi="Arial" w:cs="Arial"/>
          <w:color w:val="A6A6A6" w:themeColor="background1" w:themeShade="A6"/>
          <w:sz w:val="18"/>
          <w:szCs w:val="21"/>
        </w:rPr>
        <w:t xml:space="preserve">http://www.ga.gov.au/energy/geothermal-energy-resources.html </w:t>
      </w:r>
      <w:r w:rsidR="00806842" w:rsidRPr="00B43E6E">
        <w:rPr>
          <w:rFonts w:ascii="Arial" w:hAnsi="Arial" w:cs="Arial"/>
          <w:color w:val="A6A6A6" w:themeColor="background1" w:themeShade="A6"/>
          <w:sz w:val="18"/>
          <w:szCs w:val="21"/>
        </w:rPr>
        <w:br/>
      </w:r>
      <w:r w:rsidRPr="00B43E6E">
        <w:rPr>
          <w:rFonts w:ascii="Arial" w:hAnsi="Arial" w:cs="Arial"/>
          <w:sz w:val="18"/>
          <w:szCs w:val="21"/>
        </w:rPr>
        <w:t xml:space="preserve">CC BY4.0 </w:t>
      </w:r>
      <w:r w:rsidR="000F2D4B" w:rsidRPr="00B43E6E">
        <w:rPr>
          <w:rFonts w:ascii="Arial" w:hAnsi="Arial" w:cs="Arial"/>
          <w:color w:val="A6A6A6" w:themeColor="background1" w:themeShade="A6"/>
          <w:sz w:val="18"/>
          <w:szCs w:val="21"/>
        </w:rPr>
        <w:t>http://</w:t>
      </w:r>
      <w:r w:rsidRPr="00B43E6E">
        <w:rPr>
          <w:rFonts w:ascii="Arial" w:hAnsi="Arial" w:cs="Arial"/>
          <w:color w:val="A6A6A6" w:themeColor="background1" w:themeShade="A6"/>
          <w:sz w:val="18"/>
          <w:szCs w:val="21"/>
        </w:rPr>
        <w:t>creativecommons.org/licenses/by/4.0/</w:t>
      </w:r>
    </w:p>
    <w:p w:rsidR="00C042FC" w:rsidRPr="00C042FC" w:rsidRDefault="00C042FC">
      <w:pPr>
        <w:rPr>
          <w:rFonts w:ascii="Arial" w:hAnsi="Arial" w:cs="Arial"/>
        </w:rPr>
      </w:pPr>
    </w:p>
    <w:sectPr w:rsidR="00C042FC" w:rsidRPr="00C042FC" w:rsidSect="00B43E6E">
      <w:footerReference w:type="default" r:id="rId9"/>
      <w:pgSz w:w="11906" w:h="16838"/>
      <w:pgMar w:top="1134" w:right="1134" w:bottom="1134" w:left="1134"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3E6E" w:rsidRDefault="00B43E6E" w:rsidP="00B43E6E">
      <w:pPr>
        <w:spacing w:after="0" w:line="240" w:lineRule="auto"/>
      </w:pPr>
      <w:r>
        <w:separator/>
      </w:r>
    </w:p>
  </w:endnote>
  <w:endnote w:type="continuationSeparator" w:id="0">
    <w:p w:rsidR="00B43E6E" w:rsidRDefault="00B43E6E" w:rsidP="00B43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E6E" w:rsidRPr="005464BF" w:rsidRDefault="00B43E6E" w:rsidP="00B43E6E">
    <w:pPr>
      <w:tabs>
        <w:tab w:val="center" w:pos="4820"/>
        <w:tab w:val="right" w:pos="13892"/>
      </w:tabs>
      <w:spacing w:after="0" w:line="240" w:lineRule="auto"/>
      <w:rPr>
        <w:rFonts w:ascii="Arial" w:hAnsi="Arial" w:cs="Arial"/>
        <w:sz w:val="14"/>
        <w:szCs w:val="14"/>
      </w:rPr>
    </w:pPr>
    <w:r>
      <w:rPr>
        <w:rFonts w:ascii="Arial" w:hAnsi="Arial" w:cs="Arial"/>
        <w:noProof/>
        <w:sz w:val="14"/>
        <w:szCs w:val="14"/>
      </w:rPr>
      <w:drawing>
        <wp:anchor distT="0" distB="0" distL="114300" distR="114300" simplePos="0" relativeHeight="251660288" behindDoc="0" locked="0" layoutInCell="1" allowOverlap="1" wp14:anchorId="545FD735" wp14:editId="7BCFE6B0">
          <wp:simplePos x="0" y="0"/>
          <wp:positionH relativeFrom="column">
            <wp:posOffset>1961456</wp:posOffset>
          </wp:positionH>
          <wp:positionV relativeFrom="paragraph">
            <wp:posOffset>29362</wp:posOffset>
          </wp:positionV>
          <wp:extent cx="2030730" cy="244475"/>
          <wp:effectExtent l="0" t="0" r="7620" b="3175"/>
          <wp:wrapNone/>
          <wp:docPr id="3" name="Picture 3"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730" cy="244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noProof/>
        <w:sz w:val="14"/>
        <w:szCs w:val="14"/>
      </w:rPr>
      <w:drawing>
        <wp:anchor distT="0" distB="0" distL="114300" distR="114300" simplePos="0" relativeHeight="251659264" behindDoc="1" locked="0" layoutInCell="1" allowOverlap="1" wp14:anchorId="71D1F75A" wp14:editId="1F0B3CD8">
          <wp:simplePos x="0" y="0"/>
          <wp:positionH relativeFrom="column">
            <wp:posOffset>4542155</wp:posOffset>
          </wp:positionH>
          <wp:positionV relativeFrom="paragraph">
            <wp:posOffset>-6350</wp:posOffset>
          </wp:positionV>
          <wp:extent cx="1587500" cy="279400"/>
          <wp:effectExtent l="0" t="0" r="0" b="6350"/>
          <wp:wrapNone/>
          <wp:docPr id="1"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BF">
      <w:rPr>
        <w:rFonts w:ascii="Arial" w:hAnsi="Arial" w:cs="Arial"/>
        <w:sz w:val="14"/>
        <w:szCs w:val="14"/>
      </w:rPr>
      <w:fldChar w:fldCharType="begin"/>
    </w:r>
    <w:r w:rsidRPr="005464BF">
      <w:rPr>
        <w:rFonts w:ascii="Arial" w:hAnsi="Arial" w:cs="Arial"/>
        <w:sz w:val="14"/>
        <w:szCs w:val="14"/>
      </w:rPr>
      <w:instrText xml:space="preserve"> PAGE </w:instrText>
    </w:r>
    <w:r w:rsidRPr="005464BF">
      <w:rPr>
        <w:rFonts w:ascii="Arial" w:hAnsi="Arial" w:cs="Arial"/>
        <w:sz w:val="14"/>
        <w:szCs w:val="14"/>
      </w:rPr>
      <w:fldChar w:fldCharType="separate"/>
    </w:r>
    <w:r w:rsidR="00D728F9">
      <w:rPr>
        <w:rFonts w:ascii="Arial" w:hAnsi="Arial" w:cs="Arial"/>
        <w:noProof/>
        <w:sz w:val="14"/>
        <w:szCs w:val="14"/>
      </w:rPr>
      <w:t>1</w:t>
    </w:r>
    <w:r w:rsidRPr="005464BF">
      <w:rPr>
        <w:rFonts w:ascii="Arial" w:hAnsi="Arial" w:cs="Arial"/>
        <w:sz w:val="14"/>
        <w:szCs w:val="14"/>
      </w:rPr>
      <w:fldChar w:fldCharType="end"/>
    </w:r>
    <w:r w:rsidRPr="005464BF">
      <w:rPr>
        <w:rFonts w:ascii="Arial" w:hAnsi="Arial" w:cs="Arial"/>
        <w:sz w:val="14"/>
        <w:szCs w:val="14"/>
      </w:rPr>
      <w:t xml:space="preserve"> of </w:t>
    </w:r>
    <w:r w:rsidRPr="005464BF">
      <w:rPr>
        <w:rFonts w:ascii="Arial" w:hAnsi="Arial" w:cs="Arial"/>
        <w:sz w:val="14"/>
        <w:szCs w:val="14"/>
      </w:rPr>
      <w:fldChar w:fldCharType="begin"/>
    </w:r>
    <w:r w:rsidRPr="005464BF">
      <w:rPr>
        <w:rFonts w:ascii="Arial" w:hAnsi="Arial" w:cs="Arial"/>
        <w:sz w:val="14"/>
        <w:szCs w:val="14"/>
      </w:rPr>
      <w:instrText xml:space="preserve"> NUMPAGES </w:instrText>
    </w:r>
    <w:r w:rsidRPr="005464BF">
      <w:rPr>
        <w:rFonts w:ascii="Arial" w:hAnsi="Arial" w:cs="Arial"/>
        <w:sz w:val="14"/>
        <w:szCs w:val="14"/>
      </w:rPr>
      <w:fldChar w:fldCharType="separate"/>
    </w:r>
    <w:r w:rsidR="00D728F9">
      <w:rPr>
        <w:rFonts w:ascii="Arial" w:hAnsi="Arial" w:cs="Arial"/>
        <w:noProof/>
        <w:sz w:val="14"/>
        <w:szCs w:val="14"/>
      </w:rPr>
      <w:t>2</w:t>
    </w:r>
    <w:r w:rsidRPr="005464BF">
      <w:rPr>
        <w:rFonts w:ascii="Arial" w:hAnsi="Arial" w:cs="Arial"/>
        <w:sz w:val="14"/>
        <w:szCs w:val="14"/>
      </w:rPr>
      <w:fldChar w:fldCharType="end"/>
    </w:r>
    <w:r w:rsidRPr="005464BF">
      <w:rPr>
        <w:rFonts w:ascii="Arial" w:hAnsi="Arial" w:cs="Arial"/>
        <w:sz w:val="14"/>
        <w:szCs w:val="14"/>
      </w:rPr>
      <w:tab/>
    </w:r>
  </w:p>
  <w:p w:rsidR="00B43E6E" w:rsidRPr="00B43E6E" w:rsidRDefault="00B43E6E" w:rsidP="00B43E6E">
    <w:pPr>
      <w:pStyle w:val="Footer"/>
      <w:rPr>
        <w:rFonts w:ascii="Arial" w:hAnsi="Arial" w:cs="Arial"/>
      </w:rPr>
    </w:pPr>
    <w:r w:rsidRPr="00B43E6E">
      <w:rPr>
        <w:rFonts w:ascii="Arial" w:hAnsi="Arial" w:cs="Arial"/>
        <w:color w:val="A6A6A6"/>
        <w:sz w:val="14"/>
        <w:szCs w:val="14"/>
      </w:rPr>
      <w:t>Sci_Y06_U2_SH_GeoEnergyResources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3E6E" w:rsidRDefault="00B43E6E" w:rsidP="00B43E6E">
      <w:pPr>
        <w:spacing w:after="0" w:line="240" w:lineRule="auto"/>
      </w:pPr>
      <w:r>
        <w:separator/>
      </w:r>
    </w:p>
  </w:footnote>
  <w:footnote w:type="continuationSeparator" w:id="0">
    <w:p w:rsidR="00B43E6E" w:rsidRDefault="00B43E6E" w:rsidP="00B43E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2FC"/>
    <w:rsid w:val="00001EED"/>
    <w:rsid w:val="000F2D4B"/>
    <w:rsid w:val="0029346C"/>
    <w:rsid w:val="004B17D5"/>
    <w:rsid w:val="004B3159"/>
    <w:rsid w:val="004D6830"/>
    <w:rsid w:val="005939B3"/>
    <w:rsid w:val="006769CA"/>
    <w:rsid w:val="006C55B6"/>
    <w:rsid w:val="00806842"/>
    <w:rsid w:val="009E0AC6"/>
    <w:rsid w:val="00A6380C"/>
    <w:rsid w:val="00B27C21"/>
    <w:rsid w:val="00B43E6E"/>
    <w:rsid w:val="00C042FC"/>
    <w:rsid w:val="00D728F9"/>
    <w:rsid w:val="00F4611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2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2FC"/>
    <w:rPr>
      <w:rFonts w:ascii="Tahoma" w:hAnsi="Tahoma" w:cs="Tahoma"/>
      <w:sz w:val="16"/>
      <w:szCs w:val="16"/>
    </w:rPr>
  </w:style>
  <w:style w:type="character" w:styleId="Hyperlink">
    <w:name w:val="Hyperlink"/>
    <w:basedOn w:val="DefaultParagraphFont"/>
    <w:uiPriority w:val="99"/>
    <w:unhideWhenUsed/>
    <w:rsid w:val="00C042FC"/>
    <w:rPr>
      <w:color w:val="0000FF"/>
      <w:u w:val="single"/>
    </w:rPr>
  </w:style>
  <w:style w:type="paragraph" w:customStyle="1" w:styleId="Default">
    <w:name w:val="Default"/>
    <w:basedOn w:val="Normal"/>
    <w:rsid w:val="00C042FC"/>
    <w:pPr>
      <w:autoSpaceDE w:val="0"/>
      <w:autoSpaceDN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29346C"/>
    <w:rPr>
      <w:sz w:val="16"/>
      <w:szCs w:val="16"/>
    </w:rPr>
  </w:style>
  <w:style w:type="paragraph" w:styleId="CommentText">
    <w:name w:val="annotation text"/>
    <w:basedOn w:val="Normal"/>
    <w:link w:val="CommentTextChar"/>
    <w:uiPriority w:val="99"/>
    <w:semiHidden/>
    <w:unhideWhenUsed/>
    <w:rsid w:val="0029346C"/>
    <w:pPr>
      <w:spacing w:line="240" w:lineRule="auto"/>
    </w:pPr>
    <w:rPr>
      <w:sz w:val="20"/>
      <w:szCs w:val="20"/>
    </w:rPr>
  </w:style>
  <w:style w:type="character" w:customStyle="1" w:styleId="CommentTextChar">
    <w:name w:val="Comment Text Char"/>
    <w:basedOn w:val="DefaultParagraphFont"/>
    <w:link w:val="CommentText"/>
    <w:uiPriority w:val="99"/>
    <w:semiHidden/>
    <w:rsid w:val="0029346C"/>
    <w:rPr>
      <w:sz w:val="20"/>
      <w:szCs w:val="20"/>
    </w:rPr>
  </w:style>
  <w:style w:type="paragraph" w:styleId="CommentSubject">
    <w:name w:val="annotation subject"/>
    <w:basedOn w:val="CommentText"/>
    <w:next w:val="CommentText"/>
    <w:link w:val="CommentSubjectChar"/>
    <w:uiPriority w:val="99"/>
    <w:semiHidden/>
    <w:unhideWhenUsed/>
    <w:rsid w:val="0029346C"/>
    <w:rPr>
      <w:b/>
      <w:bCs/>
    </w:rPr>
  </w:style>
  <w:style w:type="character" w:customStyle="1" w:styleId="CommentSubjectChar">
    <w:name w:val="Comment Subject Char"/>
    <w:basedOn w:val="CommentTextChar"/>
    <w:link w:val="CommentSubject"/>
    <w:uiPriority w:val="99"/>
    <w:semiHidden/>
    <w:rsid w:val="0029346C"/>
    <w:rPr>
      <w:b/>
      <w:bCs/>
      <w:sz w:val="20"/>
      <w:szCs w:val="20"/>
    </w:rPr>
  </w:style>
  <w:style w:type="character" w:customStyle="1" w:styleId="apple-converted-space">
    <w:name w:val="apple-converted-space"/>
    <w:basedOn w:val="DefaultParagraphFont"/>
    <w:rsid w:val="0029346C"/>
  </w:style>
  <w:style w:type="paragraph" w:styleId="Header">
    <w:name w:val="header"/>
    <w:basedOn w:val="Normal"/>
    <w:link w:val="HeaderChar"/>
    <w:uiPriority w:val="99"/>
    <w:unhideWhenUsed/>
    <w:rsid w:val="00B43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E6E"/>
  </w:style>
  <w:style w:type="paragraph" w:styleId="Footer">
    <w:name w:val="footer"/>
    <w:basedOn w:val="Normal"/>
    <w:link w:val="FooterChar"/>
    <w:uiPriority w:val="99"/>
    <w:unhideWhenUsed/>
    <w:rsid w:val="00B43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E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42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42FC"/>
    <w:rPr>
      <w:rFonts w:ascii="Tahoma" w:hAnsi="Tahoma" w:cs="Tahoma"/>
      <w:sz w:val="16"/>
      <w:szCs w:val="16"/>
    </w:rPr>
  </w:style>
  <w:style w:type="character" w:styleId="Hyperlink">
    <w:name w:val="Hyperlink"/>
    <w:basedOn w:val="DefaultParagraphFont"/>
    <w:uiPriority w:val="99"/>
    <w:unhideWhenUsed/>
    <w:rsid w:val="00C042FC"/>
    <w:rPr>
      <w:color w:val="0000FF"/>
      <w:u w:val="single"/>
    </w:rPr>
  </w:style>
  <w:style w:type="paragraph" w:customStyle="1" w:styleId="Default">
    <w:name w:val="Default"/>
    <w:basedOn w:val="Normal"/>
    <w:rsid w:val="00C042FC"/>
    <w:pPr>
      <w:autoSpaceDE w:val="0"/>
      <w:autoSpaceDN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29346C"/>
    <w:rPr>
      <w:sz w:val="16"/>
      <w:szCs w:val="16"/>
    </w:rPr>
  </w:style>
  <w:style w:type="paragraph" w:styleId="CommentText">
    <w:name w:val="annotation text"/>
    <w:basedOn w:val="Normal"/>
    <w:link w:val="CommentTextChar"/>
    <w:uiPriority w:val="99"/>
    <w:semiHidden/>
    <w:unhideWhenUsed/>
    <w:rsid w:val="0029346C"/>
    <w:pPr>
      <w:spacing w:line="240" w:lineRule="auto"/>
    </w:pPr>
    <w:rPr>
      <w:sz w:val="20"/>
      <w:szCs w:val="20"/>
    </w:rPr>
  </w:style>
  <w:style w:type="character" w:customStyle="1" w:styleId="CommentTextChar">
    <w:name w:val="Comment Text Char"/>
    <w:basedOn w:val="DefaultParagraphFont"/>
    <w:link w:val="CommentText"/>
    <w:uiPriority w:val="99"/>
    <w:semiHidden/>
    <w:rsid w:val="0029346C"/>
    <w:rPr>
      <w:sz w:val="20"/>
      <w:szCs w:val="20"/>
    </w:rPr>
  </w:style>
  <w:style w:type="paragraph" w:styleId="CommentSubject">
    <w:name w:val="annotation subject"/>
    <w:basedOn w:val="CommentText"/>
    <w:next w:val="CommentText"/>
    <w:link w:val="CommentSubjectChar"/>
    <w:uiPriority w:val="99"/>
    <w:semiHidden/>
    <w:unhideWhenUsed/>
    <w:rsid w:val="0029346C"/>
    <w:rPr>
      <w:b/>
      <w:bCs/>
    </w:rPr>
  </w:style>
  <w:style w:type="character" w:customStyle="1" w:styleId="CommentSubjectChar">
    <w:name w:val="Comment Subject Char"/>
    <w:basedOn w:val="CommentTextChar"/>
    <w:link w:val="CommentSubject"/>
    <w:uiPriority w:val="99"/>
    <w:semiHidden/>
    <w:rsid w:val="0029346C"/>
    <w:rPr>
      <w:b/>
      <w:bCs/>
      <w:sz w:val="20"/>
      <w:szCs w:val="20"/>
    </w:rPr>
  </w:style>
  <w:style w:type="character" w:customStyle="1" w:styleId="apple-converted-space">
    <w:name w:val="apple-converted-space"/>
    <w:basedOn w:val="DefaultParagraphFont"/>
    <w:rsid w:val="0029346C"/>
  </w:style>
  <w:style w:type="paragraph" w:styleId="Header">
    <w:name w:val="header"/>
    <w:basedOn w:val="Normal"/>
    <w:link w:val="HeaderChar"/>
    <w:uiPriority w:val="99"/>
    <w:unhideWhenUsed/>
    <w:rsid w:val="00B43E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E6E"/>
  </w:style>
  <w:style w:type="paragraph" w:styleId="Footer">
    <w:name w:val="footer"/>
    <w:basedOn w:val="Normal"/>
    <w:link w:val="FooterChar"/>
    <w:uiPriority w:val="99"/>
    <w:unhideWhenUsed/>
    <w:rsid w:val="00B43E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925772">
      <w:bodyDiv w:val="1"/>
      <w:marLeft w:val="0"/>
      <w:marRight w:val="0"/>
      <w:marTop w:val="0"/>
      <w:marBottom w:val="0"/>
      <w:divBdr>
        <w:top w:val="none" w:sz="0" w:space="0" w:color="auto"/>
        <w:left w:val="none" w:sz="0" w:space="0" w:color="auto"/>
        <w:bottom w:val="none" w:sz="0" w:space="0" w:color="auto"/>
        <w:right w:val="none" w:sz="0" w:space="0" w:color="auto"/>
      </w:divBdr>
      <w:divsChild>
        <w:div w:id="862788108">
          <w:marLeft w:val="0"/>
          <w:marRight w:val="0"/>
          <w:marTop w:val="0"/>
          <w:marBottom w:val="0"/>
          <w:divBdr>
            <w:top w:val="none" w:sz="0" w:space="0" w:color="auto"/>
            <w:left w:val="none" w:sz="0" w:space="0" w:color="auto"/>
            <w:bottom w:val="none" w:sz="0" w:space="0" w:color="auto"/>
            <w:right w:val="none" w:sz="0" w:space="0" w:color="auto"/>
          </w:divBdr>
          <w:divsChild>
            <w:div w:id="1236475143">
              <w:marLeft w:val="0"/>
              <w:marRight w:val="0"/>
              <w:marTop w:val="100"/>
              <w:marBottom w:val="100"/>
              <w:divBdr>
                <w:top w:val="none" w:sz="0" w:space="0" w:color="auto"/>
                <w:left w:val="none" w:sz="0" w:space="0" w:color="auto"/>
                <w:bottom w:val="none" w:sz="0" w:space="0" w:color="auto"/>
                <w:right w:val="none" w:sz="0" w:space="0" w:color="auto"/>
              </w:divBdr>
              <w:divsChild>
                <w:div w:id="1115368092">
                  <w:marLeft w:val="0"/>
                  <w:marRight w:val="0"/>
                  <w:marTop w:val="0"/>
                  <w:marBottom w:val="0"/>
                  <w:divBdr>
                    <w:top w:val="none" w:sz="0" w:space="0" w:color="auto"/>
                    <w:left w:val="none" w:sz="0" w:space="0" w:color="auto"/>
                    <w:bottom w:val="none" w:sz="0" w:space="0" w:color="auto"/>
                    <w:right w:val="none" w:sz="0" w:space="0" w:color="auto"/>
                  </w:divBdr>
                  <w:divsChild>
                    <w:div w:id="1064062409">
                      <w:marLeft w:val="0"/>
                      <w:marRight w:val="0"/>
                      <w:marTop w:val="0"/>
                      <w:marBottom w:val="0"/>
                      <w:divBdr>
                        <w:top w:val="none" w:sz="0" w:space="0" w:color="auto"/>
                        <w:left w:val="none" w:sz="0" w:space="0" w:color="auto"/>
                        <w:bottom w:val="none" w:sz="0" w:space="0" w:color="auto"/>
                        <w:right w:val="none" w:sz="0" w:space="0" w:color="auto"/>
                      </w:divBdr>
                      <w:divsChild>
                        <w:div w:id="781455529">
                          <w:marLeft w:val="0"/>
                          <w:marRight w:val="0"/>
                          <w:marTop w:val="0"/>
                          <w:marBottom w:val="0"/>
                          <w:divBdr>
                            <w:top w:val="none" w:sz="0" w:space="0" w:color="auto"/>
                            <w:left w:val="none" w:sz="0" w:space="0" w:color="auto"/>
                            <w:bottom w:val="none" w:sz="0" w:space="0" w:color="auto"/>
                            <w:right w:val="none" w:sz="0" w:space="0" w:color="auto"/>
                          </w:divBdr>
                          <w:divsChild>
                            <w:div w:id="1990089048">
                              <w:marLeft w:val="2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661179">
      <w:bodyDiv w:val="1"/>
      <w:marLeft w:val="0"/>
      <w:marRight w:val="0"/>
      <w:marTop w:val="0"/>
      <w:marBottom w:val="0"/>
      <w:divBdr>
        <w:top w:val="none" w:sz="0" w:space="0" w:color="auto"/>
        <w:left w:val="none" w:sz="0" w:space="0" w:color="auto"/>
        <w:bottom w:val="none" w:sz="0" w:space="0" w:color="auto"/>
        <w:right w:val="none" w:sz="0" w:space="0" w:color="auto"/>
      </w:divBdr>
      <w:divsChild>
        <w:div w:id="419522326">
          <w:marLeft w:val="0"/>
          <w:marRight w:val="0"/>
          <w:marTop w:val="0"/>
          <w:marBottom w:val="0"/>
          <w:divBdr>
            <w:top w:val="none" w:sz="0" w:space="0" w:color="auto"/>
            <w:left w:val="none" w:sz="0" w:space="0" w:color="auto"/>
            <w:bottom w:val="none" w:sz="0" w:space="0" w:color="auto"/>
            <w:right w:val="none" w:sz="0" w:space="0" w:color="auto"/>
          </w:divBdr>
          <w:divsChild>
            <w:div w:id="603465541">
              <w:marLeft w:val="0"/>
              <w:marRight w:val="0"/>
              <w:marTop w:val="100"/>
              <w:marBottom w:val="100"/>
              <w:divBdr>
                <w:top w:val="none" w:sz="0" w:space="0" w:color="auto"/>
                <w:left w:val="none" w:sz="0" w:space="0" w:color="auto"/>
                <w:bottom w:val="none" w:sz="0" w:space="0" w:color="auto"/>
                <w:right w:val="none" w:sz="0" w:space="0" w:color="auto"/>
              </w:divBdr>
              <w:divsChild>
                <w:div w:id="2023580977">
                  <w:marLeft w:val="0"/>
                  <w:marRight w:val="0"/>
                  <w:marTop w:val="0"/>
                  <w:marBottom w:val="0"/>
                  <w:divBdr>
                    <w:top w:val="none" w:sz="0" w:space="0" w:color="auto"/>
                    <w:left w:val="none" w:sz="0" w:space="0" w:color="auto"/>
                    <w:bottom w:val="none" w:sz="0" w:space="0" w:color="auto"/>
                    <w:right w:val="none" w:sz="0" w:space="0" w:color="auto"/>
                  </w:divBdr>
                  <w:divsChild>
                    <w:div w:id="100999453">
                      <w:marLeft w:val="0"/>
                      <w:marRight w:val="0"/>
                      <w:marTop w:val="0"/>
                      <w:marBottom w:val="0"/>
                      <w:divBdr>
                        <w:top w:val="none" w:sz="0" w:space="0" w:color="auto"/>
                        <w:left w:val="none" w:sz="0" w:space="0" w:color="auto"/>
                        <w:bottom w:val="none" w:sz="0" w:space="0" w:color="auto"/>
                        <w:right w:val="none" w:sz="0" w:space="0" w:color="auto"/>
                      </w:divBdr>
                      <w:divsChild>
                        <w:div w:id="14184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557611">
      <w:bodyDiv w:val="1"/>
      <w:marLeft w:val="0"/>
      <w:marRight w:val="0"/>
      <w:marTop w:val="0"/>
      <w:marBottom w:val="0"/>
      <w:divBdr>
        <w:top w:val="none" w:sz="0" w:space="0" w:color="auto"/>
        <w:left w:val="none" w:sz="0" w:space="0" w:color="auto"/>
        <w:bottom w:val="none" w:sz="0" w:space="0" w:color="auto"/>
        <w:right w:val="none" w:sz="0" w:space="0" w:color="auto"/>
      </w:divBdr>
      <w:divsChild>
        <w:div w:id="1215852398">
          <w:marLeft w:val="0"/>
          <w:marRight w:val="0"/>
          <w:marTop w:val="0"/>
          <w:marBottom w:val="0"/>
          <w:divBdr>
            <w:top w:val="none" w:sz="0" w:space="0" w:color="auto"/>
            <w:left w:val="none" w:sz="0" w:space="0" w:color="auto"/>
            <w:bottom w:val="none" w:sz="0" w:space="0" w:color="auto"/>
            <w:right w:val="none" w:sz="0" w:space="0" w:color="auto"/>
          </w:divBdr>
          <w:divsChild>
            <w:div w:id="979724894">
              <w:marLeft w:val="0"/>
              <w:marRight w:val="0"/>
              <w:marTop w:val="100"/>
              <w:marBottom w:val="100"/>
              <w:divBdr>
                <w:top w:val="none" w:sz="0" w:space="0" w:color="auto"/>
                <w:left w:val="none" w:sz="0" w:space="0" w:color="auto"/>
                <w:bottom w:val="none" w:sz="0" w:space="0" w:color="auto"/>
                <w:right w:val="none" w:sz="0" w:space="0" w:color="auto"/>
              </w:divBdr>
              <w:divsChild>
                <w:div w:id="759524267">
                  <w:marLeft w:val="0"/>
                  <w:marRight w:val="0"/>
                  <w:marTop w:val="0"/>
                  <w:marBottom w:val="0"/>
                  <w:divBdr>
                    <w:top w:val="none" w:sz="0" w:space="0" w:color="auto"/>
                    <w:left w:val="none" w:sz="0" w:space="0" w:color="auto"/>
                    <w:bottom w:val="none" w:sz="0" w:space="0" w:color="auto"/>
                    <w:right w:val="none" w:sz="0" w:space="0" w:color="auto"/>
                  </w:divBdr>
                  <w:divsChild>
                    <w:div w:id="608661560">
                      <w:marLeft w:val="0"/>
                      <w:marRight w:val="0"/>
                      <w:marTop w:val="0"/>
                      <w:marBottom w:val="0"/>
                      <w:divBdr>
                        <w:top w:val="none" w:sz="0" w:space="0" w:color="auto"/>
                        <w:left w:val="none" w:sz="0" w:space="0" w:color="auto"/>
                        <w:bottom w:val="none" w:sz="0" w:space="0" w:color="auto"/>
                        <w:right w:val="none" w:sz="0" w:space="0" w:color="auto"/>
                      </w:divBdr>
                      <w:divsChild>
                        <w:div w:id="1881554679">
                          <w:marLeft w:val="0"/>
                          <w:marRight w:val="0"/>
                          <w:marTop w:val="0"/>
                          <w:marBottom w:val="0"/>
                          <w:divBdr>
                            <w:top w:val="none" w:sz="0" w:space="0" w:color="auto"/>
                            <w:left w:val="none" w:sz="0" w:space="0" w:color="auto"/>
                            <w:bottom w:val="none" w:sz="0" w:space="0" w:color="auto"/>
                            <w:right w:val="none" w:sz="0" w:space="0" w:color="auto"/>
                          </w:divBdr>
                          <w:divsChild>
                            <w:div w:id="452986373">
                              <w:marLeft w:val="24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2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ww.ga.gov.au/__data/assets/image/0008/12779/GA18075.jp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B10437E1.dotm</Template>
  <TotalTime>6</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MAYNES, Anne</dc:creator>
  <cp:lastModifiedBy>Kyom Behrend</cp:lastModifiedBy>
  <cp:revision>5</cp:revision>
  <dcterms:created xsi:type="dcterms:W3CDTF">2016-03-08T23:11:00Z</dcterms:created>
  <dcterms:modified xsi:type="dcterms:W3CDTF">2017-03-06T00:43:00Z</dcterms:modified>
</cp:coreProperties>
</file>