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DB0044" w:rsidRPr="004A30A4" w:rsidTr="00644BD2">
        <w:trPr>
          <w:trHeight w:val="520"/>
        </w:trPr>
        <w:tc>
          <w:tcPr>
            <w:tcW w:w="9279" w:type="dxa"/>
            <w:tcBorders>
              <w:bottom w:val="single" w:sz="4" w:space="0" w:color="94C634"/>
            </w:tcBorders>
            <w:tcMar>
              <w:bottom w:w="0" w:type="dxa"/>
              <w:right w:w="0" w:type="dxa"/>
            </w:tcMar>
            <w:vAlign w:val="bottom"/>
          </w:tcPr>
          <w:p w:rsidR="00DB0044" w:rsidRPr="004A30A4" w:rsidRDefault="00DB0044" w:rsidP="00644BD2">
            <w:pPr>
              <w:pStyle w:val="Resourcetitle"/>
            </w:pPr>
          </w:p>
        </w:tc>
        <w:tc>
          <w:tcPr>
            <w:tcW w:w="1040" w:type="dxa"/>
            <w:vMerge w:val="restart"/>
            <w:tcBorders>
              <w:bottom w:val="nil"/>
            </w:tcBorders>
            <w:tcMar>
              <w:left w:w="0" w:type="dxa"/>
              <w:bottom w:w="0" w:type="dxa"/>
              <w:right w:w="0" w:type="dxa"/>
            </w:tcMar>
            <w:vAlign w:val="center"/>
          </w:tcPr>
          <w:p w:rsidR="00DB0044" w:rsidRPr="004A30A4" w:rsidRDefault="00DB0044" w:rsidP="00644BD2">
            <w:pPr>
              <w:pStyle w:val="Resourcetitle"/>
              <w:jc w:val="center"/>
            </w:pPr>
            <w:r w:rsidRPr="004A30A4">
              <w:rPr>
                <w:noProof/>
              </w:rPr>
              <w:drawing>
                <wp:inline distT="0" distB="0" distL="0" distR="0" wp14:anchorId="2D1F2857" wp14:editId="1F5B5D96">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DB0044" w:rsidRPr="004A30A4" w:rsidTr="00644BD2">
        <w:trPr>
          <w:trHeight w:val="520"/>
        </w:trPr>
        <w:tc>
          <w:tcPr>
            <w:tcW w:w="9279" w:type="dxa"/>
            <w:tcBorders>
              <w:top w:val="single" w:sz="4" w:space="0" w:color="94C634"/>
              <w:bottom w:val="nil"/>
            </w:tcBorders>
            <w:tcMar>
              <w:bottom w:w="0" w:type="dxa"/>
              <w:right w:w="0" w:type="dxa"/>
            </w:tcMar>
            <w:vAlign w:val="center"/>
          </w:tcPr>
          <w:p w:rsidR="00DB0044" w:rsidRPr="004A30A4" w:rsidRDefault="00DB0044" w:rsidP="00644BD2">
            <w:pPr>
              <w:pStyle w:val="Resourcetitle"/>
            </w:pPr>
            <w:r w:rsidRPr="00DB0044">
              <w:t>Beaufort wind scale: Teacher note</w:t>
            </w:r>
          </w:p>
        </w:tc>
        <w:tc>
          <w:tcPr>
            <w:tcW w:w="1040" w:type="dxa"/>
            <w:vMerge/>
            <w:tcBorders>
              <w:bottom w:val="nil"/>
            </w:tcBorders>
            <w:tcMar>
              <w:left w:w="0" w:type="dxa"/>
              <w:bottom w:w="0" w:type="dxa"/>
              <w:right w:w="0" w:type="dxa"/>
            </w:tcMar>
            <w:vAlign w:val="center"/>
          </w:tcPr>
          <w:p w:rsidR="00DB0044" w:rsidRPr="004A30A4" w:rsidRDefault="00DB0044" w:rsidP="00644BD2">
            <w:pPr>
              <w:pStyle w:val="Resourcetitle"/>
              <w:jc w:val="center"/>
              <w:rPr>
                <w:noProof/>
                <w:lang w:val="en-US"/>
              </w:rPr>
            </w:pPr>
          </w:p>
        </w:tc>
      </w:tr>
    </w:tbl>
    <w:p w:rsidR="00AC0FA5" w:rsidRPr="00DB0044" w:rsidRDefault="00AC0FA5" w:rsidP="00DB0044">
      <w:pPr>
        <w:keepNext/>
        <w:spacing w:before="240" w:after="120"/>
        <w:outlineLvl w:val="0"/>
        <w:rPr>
          <w:bCs/>
          <w:kern w:val="32"/>
          <w:szCs w:val="21"/>
          <w:lang w:eastAsia="en-AU"/>
        </w:rPr>
      </w:pPr>
      <w:r w:rsidRPr="00DB0044">
        <w:rPr>
          <w:bCs/>
          <w:kern w:val="32"/>
          <w:szCs w:val="21"/>
          <w:lang w:eastAsia="en-AU"/>
        </w:rPr>
        <w:t>Wind speed cannot always be measured directly, but can be determined by the effects of the wind.</w:t>
      </w:r>
    </w:p>
    <w:p w:rsidR="00AC0FA5" w:rsidRPr="00DB0044" w:rsidRDefault="00AC0FA5" w:rsidP="00DB0044">
      <w:pPr>
        <w:keepNext/>
        <w:spacing w:before="120" w:after="120"/>
        <w:outlineLvl w:val="0"/>
        <w:rPr>
          <w:bCs/>
          <w:kern w:val="32"/>
          <w:szCs w:val="21"/>
          <w:lang w:eastAsia="en-AU"/>
        </w:rPr>
      </w:pPr>
      <w:r w:rsidRPr="00DB0044">
        <w:rPr>
          <w:bCs/>
          <w:kern w:val="32"/>
          <w:szCs w:val="21"/>
          <w:lang w:eastAsia="en-AU"/>
        </w:rPr>
        <w:t>A scale called the ‘</w:t>
      </w:r>
      <w:r w:rsidRPr="00DB0044">
        <w:rPr>
          <w:kern w:val="32"/>
          <w:szCs w:val="21"/>
          <w:lang w:eastAsia="en-AU"/>
        </w:rPr>
        <w:t xml:space="preserve">Beaufort wind scale’ </w:t>
      </w:r>
      <w:r w:rsidRPr="00DB0044">
        <w:rPr>
          <w:bCs/>
          <w:kern w:val="32"/>
          <w:szCs w:val="21"/>
          <w:lang w:eastAsia="en-AU"/>
        </w:rPr>
        <w:t xml:space="preserve">is based on wind speed observations and is used to establish approximate speeds when no scientific instruments are available. The video </w:t>
      </w:r>
      <w:r w:rsidRPr="00DB0044">
        <w:rPr>
          <w:bCs/>
          <w:i/>
          <w:kern w:val="32"/>
          <w:szCs w:val="21"/>
          <w:lang w:eastAsia="en-AU"/>
        </w:rPr>
        <w:t>Beaufort scale</w:t>
      </w:r>
      <w:r w:rsidRPr="00DB0044">
        <w:rPr>
          <w:bCs/>
          <w:kern w:val="32"/>
          <w:szCs w:val="21"/>
          <w:lang w:eastAsia="en-AU"/>
        </w:rPr>
        <w:t xml:space="preserve"> from the Curiosity Show, in the resources of the lesson plan</w:t>
      </w:r>
      <w:r w:rsidR="00C36770" w:rsidRPr="00DB0044">
        <w:rPr>
          <w:bCs/>
          <w:kern w:val="32"/>
          <w:szCs w:val="21"/>
          <w:lang w:eastAsia="en-AU"/>
        </w:rPr>
        <w:t>,</w:t>
      </w:r>
      <w:r w:rsidRPr="00DB0044">
        <w:rPr>
          <w:bCs/>
          <w:kern w:val="32"/>
          <w:szCs w:val="21"/>
          <w:lang w:eastAsia="en-AU"/>
        </w:rPr>
        <w:t xml:space="preserve"> may help explain the Beaufort scale.</w:t>
      </w:r>
    </w:p>
    <w:p w:rsidR="00AC0FA5" w:rsidRPr="00DB0044" w:rsidRDefault="00AC0FA5" w:rsidP="00DB0044">
      <w:pPr>
        <w:keepNext/>
        <w:spacing w:before="120" w:after="120"/>
        <w:outlineLvl w:val="0"/>
        <w:rPr>
          <w:bCs/>
          <w:kern w:val="32"/>
          <w:szCs w:val="21"/>
          <w:lang w:eastAsia="en-AU"/>
        </w:rPr>
      </w:pPr>
      <w:r w:rsidRPr="00DB0044">
        <w:rPr>
          <w:bCs/>
          <w:kern w:val="32"/>
          <w:szCs w:val="21"/>
          <w:lang w:eastAsia="en-AU"/>
        </w:rPr>
        <w:t xml:space="preserve">Video — </w:t>
      </w:r>
      <w:r w:rsidRPr="00DB0044">
        <w:rPr>
          <w:bCs/>
          <w:i/>
          <w:kern w:val="32"/>
          <w:szCs w:val="21"/>
          <w:lang w:eastAsia="en-AU"/>
        </w:rPr>
        <w:t>Beaufort scale</w:t>
      </w:r>
      <w:r w:rsidRPr="00DB0044">
        <w:rPr>
          <w:bCs/>
          <w:kern w:val="32"/>
          <w:szCs w:val="21"/>
          <w:lang w:eastAsia="en-AU"/>
        </w:rPr>
        <w:t xml:space="preserve"> </w:t>
      </w:r>
      <w:r w:rsidRPr="00DB0044">
        <w:rPr>
          <w:rFonts w:eastAsia="Times New Roman" w:cs="Arial"/>
          <w:bCs/>
          <w:color w:val="000000"/>
          <w:kern w:val="32"/>
          <w:szCs w:val="16"/>
          <w:lang w:eastAsia="en-AU"/>
        </w:rPr>
        <w:t>(</w:t>
      </w:r>
      <w:r w:rsidR="000B2737" w:rsidRPr="00DB0044">
        <w:rPr>
          <w:rFonts w:eastAsia="Times New Roman" w:cs="Arial"/>
          <w:bCs/>
          <w:color w:val="000000"/>
          <w:kern w:val="32"/>
          <w:szCs w:val="21"/>
          <w:lang w:eastAsia="en-AU"/>
        </w:rPr>
        <w:t>Curiosity</w:t>
      </w:r>
      <w:r w:rsidRPr="00DB0044">
        <w:rPr>
          <w:rFonts w:eastAsia="Times New Roman" w:cs="Arial"/>
          <w:bCs/>
          <w:color w:val="000000"/>
          <w:kern w:val="32"/>
          <w:szCs w:val="21"/>
          <w:lang w:eastAsia="en-AU"/>
        </w:rPr>
        <w:t>Show — Deane Hutton &amp; Ro</w:t>
      </w:r>
      <w:bookmarkStart w:id="0" w:name="_GoBack"/>
      <w:bookmarkEnd w:id="0"/>
      <w:r w:rsidRPr="00DB0044">
        <w:rPr>
          <w:rFonts w:eastAsia="Times New Roman" w:cs="Arial"/>
          <w:bCs/>
          <w:color w:val="000000"/>
          <w:kern w:val="32"/>
          <w:szCs w:val="21"/>
          <w:lang w:eastAsia="en-AU"/>
        </w:rPr>
        <w:t xml:space="preserve">b Morrison) </w:t>
      </w:r>
      <w:r w:rsidR="000B2737" w:rsidRPr="00D238FB">
        <w:rPr>
          <w:rFonts w:eastAsia="Times New Roman" w:cs="Arial"/>
          <w:bCs/>
          <w:color w:val="A6A6A6"/>
          <w:kern w:val="32"/>
          <w:sz w:val="16"/>
          <w:szCs w:val="21"/>
          <w:lang w:eastAsia="en-AU"/>
        </w:rPr>
        <w:t xml:space="preserve">https://www.youtube.com/watch?v=rvPlImMELh8 </w:t>
      </w:r>
      <w:r w:rsidRPr="00DB0044">
        <w:rPr>
          <w:rFonts w:eastAsia="Times New Roman" w:cs="Arial"/>
          <w:bCs/>
          <w:color w:val="000000"/>
          <w:kern w:val="32"/>
          <w:szCs w:val="21"/>
          <w:lang w:eastAsia="en-AU"/>
        </w:rPr>
        <w:t>Used with permission.</w:t>
      </w:r>
    </w:p>
    <w:p w:rsidR="00AC0FA5" w:rsidRPr="00DB0044" w:rsidRDefault="00AC0FA5" w:rsidP="00DB0044">
      <w:pPr>
        <w:shd w:val="clear" w:color="auto" w:fill="E8F2DD" w:themeFill="accent3"/>
        <w:spacing w:before="120" w:after="120"/>
        <w:rPr>
          <w:b/>
          <w:bCs/>
          <w:kern w:val="32"/>
          <w:szCs w:val="21"/>
          <w:lang w:eastAsia="en-AU"/>
        </w:rPr>
      </w:pPr>
      <w:r w:rsidRPr="00DB0044">
        <w:rPr>
          <w:b/>
          <w:bCs/>
          <w:kern w:val="32"/>
          <w:szCs w:val="21"/>
          <w:lang w:eastAsia="en-AU"/>
        </w:rPr>
        <w:t>Limitations</w:t>
      </w:r>
    </w:p>
    <w:p w:rsidR="00AC0FA5" w:rsidRPr="00DB0044" w:rsidRDefault="00AC0FA5" w:rsidP="00DB0044">
      <w:pPr>
        <w:spacing w:before="120" w:after="120"/>
        <w:rPr>
          <w:bCs/>
          <w:kern w:val="32"/>
          <w:szCs w:val="21"/>
          <w:lang w:eastAsia="en-AU"/>
        </w:rPr>
      </w:pPr>
      <w:r w:rsidRPr="00DB0044">
        <w:rPr>
          <w:bCs/>
          <w:kern w:val="32"/>
          <w:szCs w:val="21"/>
          <w:lang w:eastAsia="en-AU"/>
        </w:rPr>
        <w:t>The Beaufort wind scale was originally determined for seagoing vessels. Wind strength is determined by looking at the environment, either the sea or land, to estimate what the wind strength would be and therefore doesn’t provide an accurate reading and or the crucial elements of the wind condition, such as direction, that other instruments may provide.</w:t>
      </w:r>
    </w:p>
    <w:p w:rsidR="00AC0FA5" w:rsidRPr="00DB0044" w:rsidRDefault="00AC0FA5" w:rsidP="00DB0044">
      <w:pPr>
        <w:spacing w:before="120" w:after="120"/>
        <w:rPr>
          <w:bCs/>
          <w:kern w:val="32"/>
          <w:szCs w:val="21"/>
          <w:lang w:eastAsia="en-AU"/>
        </w:rPr>
      </w:pPr>
      <w:r w:rsidRPr="00DB0044">
        <w:rPr>
          <w:bCs/>
          <w:kern w:val="32"/>
          <w:szCs w:val="21"/>
          <w:lang w:eastAsia="en-AU"/>
        </w:rPr>
        <w:t>Winds may be influenced by the local environment and this could greatly affect the estimated compared to the actual wind speeds in a given area.</w:t>
      </w:r>
    </w:p>
    <w:p w:rsidR="00F11D4D" w:rsidRPr="00DB0044" w:rsidRDefault="00AC0FA5" w:rsidP="00DB0044">
      <w:pPr>
        <w:spacing w:before="120" w:after="120"/>
        <w:rPr>
          <w:sz w:val="24"/>
        </w:rPr>
      </w:pPr>
      <w:r w:rsidRPr="00DB0044">
        <w:rPr>
          <w:rFonts w:eastAsia="Times New Roman"/>
          <w:szCs w:val="21"/>
          <w:lang w:eastAsia="en-AU"/>
        </w:rPr>
        <w:t>The scale also finishes at 12 (118</w:t>
      </w:r>
      <w:r w:rsidR="00671C3D" w:rsidRPr="00DB0044">
        <w:rPr>
          <w:rFonts w:eastAsia="Times New Roman"/>
          <w:szCs w:val="21"/>
          <w:lang w:eastAsia="en-AU"/>
        </w:rPr>
        <w:t xml:space="preserve"> </w:t>
      </w:r>
      <w:r w:rsidRPr="00DB0044">
        <w:rPr>
          <w:rFonts w:eastAsia="Times New Roman"/>
          <w:szCs w:val="21"/>
          <w:lang w:eastAsia="en-AU"/>
        </w:rPr>
        <w:t>km/h) and a storm may have much stronger winds and be a lot more damaging and the scale does not provide accurate data at this e</w:t>
      </w:r>
      <w:r w:rsidR="008F4D1C" w:rsidRPr="00DB0044">
        <w:rPr>
          <w:rFonts w:eastAsia="Times New Roman"/>
          <w:szCs w:val="21"/>
          <w:lang w:eastAsia="en-AU"/>
        </w:rPr>
        <w:t>nd.</w:t>
      </w:r>
    </w:p>
    <w:p w:rsidR="00DB0044" w:rsidRPr="00DB0044" w:rsidRDefault="00DB0044">
      <w:pPr>
        <w:spacing w:before="120" w:after="120"/>
        <w:rPr>
          <w:sz w:val="24"/>
        </w:rPr>
      </w:pPr>
    </w:p>
    <w:sectPr w:rsidR="00DB0044" w:rsidRPr="00DB0044" w:rsidSect="00DB0044">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0FA5" w:rsidRDefault="00AC0FA5" w:rsidP="009336AD">
      <w:pPr>
        <w:spacing w:line="240" w:lineRule="auto"/>
      </w:pPr>
      <w:r>
        <w:separator/>
      </w:r>
    </w:p>
  </w:endnote>
  <w:endnote w:type="continuationSeparator" w:id="0">
    <w:p w:rsidR="00AC0FA5" w:rsidRDefault="00AC0FA5"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0044" w:rsidRPr="00DB0044" w:rsidRDefault="00DB0044" w:rsidP="00DB0044">
    <w:pPr>
      <w:spacing w:after="40" w:line="240" w:lineRule="auto"/>
      <w:rPr>
        <w:noProof/>
        <w:sz w:val="14"/>
        <w:lang w:val="en-US" w:eastAsia="en-US"/>
      </w:rPr>
    </w:pPr>
    <w:r w:rsidRPr="00DB0044">
      <w:rPr>
        <w:noProof/>
        <w:sz w:val="14"/>
      </w:rPr>
      <w:drawing>
        <wp:anchor distT="0" distB="0" distL="114300" distR="114300" simplePos="0" relativeHeight="251665408" behindDoc="1" locked="0" layoutInCell="1" allowOverlap="0" wp14:anchorId="734607D6" wp14:editId="60A796E0">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0044">
      <w:rPr>
        <w:noProof/>
        <w:sz w:val="14"/>
      </w:rPr>
      <w:drawing>
        <wp:anchor distT="0" distB="0" distL="114300" distR="114300" simplePos="0" relativeHeight="251666432" behindDoc="0" locked="0" layoutInCell="1" allowOverlap="0" wp14:anchorId="1853EC37" wp14:editId="6699AF7A">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0044">
      <w:rPr>
        <w:noProof/>
        <w:sz w:val="14"/>
      </w:rPr>
      <w:drawing>
        <wp:inline distT="0" distB="0" distL="0" distR="0" wp14:anchorId="30EDCFAF" wp14:editId="2E4549C9">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DB0044" w:rsidRPr="00DB0044" w:rsidRDefault="00DB0044" w:rsidP="00DB0044">
    <w:pPr>
      <w:spacing w:line="240" w:lineRule="auto"/>
      <w:rPr>
        <w:noProof/>
        <w:color w:val="808080"/>
        <w:sz w:val="14"/>
        <w:lang w:val="en-US" w:eastAsia="en-US"/>
      </w:rPr>
    </w:pPr>
    <w:r w:rsidRPr="00DB0044">
      <w:rPr>
        <w:noProof/>
        <w:color w:val="808080"/>
        <w:sz w:val="14"/>
        <w:lang w:val="en-US" w:eastAsia="en-US"/>
      </w:rPr>
      <w:fldChar w:fldCharType="begin"/>
    </w:r>
    <w:r w:rsidRPr="00DB0044">
      <w:rPr>
        <w:noProof/>
        <w:color w:val="808080"/>
        <w:sz w:val="14"/>
        <w:lang w:val="en-US" w:eastAsia="en-US"/>
      </w:rPr>
      <w:instrText xml:space="preserve"> PAGE </w:instrText>
    </w:r>
    <w:r w:rsidRPr="00DB0044">
      <w:rPr>
        <w:noProof/>
        <w:color w:val="808080"/>
        <w:sz w:val="14"/>
        <w:lang w:val="en-US" w:eastAsia="en-US"/>
      </w:rPr>
      <w:fldChar w:fldCharType="separate"/>
    </w:r>
    <w:r w:rsidR="00D238FB">
      <w:rPr>
        <w:noProof/>
        <w:color w:val="808080"/>
        <w:sz w:val="14"/>
        <w:lang w:val="en-US" w:eastAsia="en-US"/>
      </w:rPr>
      <w:t>1</w:t>
    </w:r>
    <w:r w:rsidRPr="00DB0044">
      <w:rPr>
        <w:noProof/>
        <w:color w:val="808080"/>
        <w:sz w:val="14"/>
        <w:lang w:val="en-US" w:eastAsia="en-US"/>
      </w:rPr>
      <w:fldChar w:fldCharType="end"/>
    </w:r>
    <w:r w:rsidRPr="00DB0044">
      <w:rPr>
        <w:noProof/>
        <w:color w:val="808080"/>
        <w:sz w:val="14"/>
        <w:lang w:val="en-US" w:eastAsia="en-US"/>
      </w:rPr>
      <w:t xml:space="preserve"> of </w:t>
    </w:r>
    <w:r w:rsidRPr="00DB0044">
      <w:rPr>
        <w:noProof/>
        <w:color w:val="808080"/>
        <w:sz w:val="14"/>
        <w:lang w:val="en-US" w:eastAsia="en-US"/>
      </w:rPr>
      <w:fldChar w:fldCharType="begin"/>
    </w:r>
    <w:r w:rsidRPr="00DB0044">
      <w:rPr>
        <w:noProof/>
        <w:color w:val="808080"/>
        <w:sz w:val="14"/>
        <w:lang w:val="en-US" w:eastAsia="en-US"/>
      </w:rPr>
      <w:instrText xml:space="preserve"> NUMPAGES </w:instrText>
    </w:r>
    <w:r w:rsidRPr="00DB0044">
      <w:rPr>
        <w:noProof/>
        <w:color w:val="808080"/>
        <w:sz w:val="14"/>
        <w:lang w:val="en-US" w:eastAsia="en-US"/>
      </w:rPr>
      <w:fldChar w:fldCharType="separate"/>
    </w:r>
    <w:r w:rsidR="00D238FB">
      <w:rPr>
        <w:noProof/>
        <w:color w:val="808080"/>
        <w:sz w:val="14"/>
        <w:lang w:val="en-US" w:eastAsia="en-US"/>
      </w:rPr>
      <w:t>1</w:t>
    </w:r>
    <w:r w:rsidRPr="00DB0044">
      <w:rPr>
        <w:noProof/>
        <w:color w:val="808080"/>
        <w:sz w:val="14"/>
        <w:lang w:val="en-US" w:eastAsia="en-US"/>
      </w:rPr>
      <w:fldChar w:fldCharType="end"/>
    </w:r>
  </w:p>
  <w:p w:rsidR="00744AB0" w:rsidRPr="00DB0044" w:rsidRDefault="00DB0044" w:rsidP="00DB0044">
    <w:pPr>
      <w:spacing w:line="240" w:lineRule="auto"/>
      <w:rPr>
        <w:noProof/>
        <w:color w:val="808080"/>
        <w:sz w:val="14"/>
        <w:szCs w:val="14"/>
        <w:lang w:val="en-US" w:eastAsia="en-US"/>
      </w:rPr>
    </w:pPr>
    <w:r w:rsidRPr="00DB0044">
      <w:rPr>
        <w:noProof/>
        <w:color w:val="808080"/>
        <w:sz w:val="14"/>
        <w:lang w:val="en-US" w:eastAsia="en-US"/>
      </w:rPr>
      <w:t>Sci_Y06_U3_SLR_BeaufortScale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3A55C7C0" wp14:editId="07DCE8CB">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40DB77A2" wp14:editId="3E894B0F">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AC0FA5">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0FA5" w:rsidRDefault="00AC0FA5" w:rsidP="009336AD">
      <w:pPr>
        <w:spacing w:line="240" w:lineRule="auto"/>
      </w:pPr>
      <w:r>
        <w:separator/>
      </w:r>
    </w:p>
  </w:footnote>
  <w:footnote w:type="continuationSeparator" w:id="0">
    <w:p w:rsidR="00AC0FA5" w:rsidRDefault="00AC0FA5"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9182E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329C98"/>
    <w:lvl w:ilvl="0">
      <w:start w:val="1"/>
      <w:numFmt w:val="decimal"/>
      <w:lvlText w:val="%1."/>
      <w:lvlJc w:val="left"/>
      <w:pPr>
        <w:tabs>
          <w:tab w:val="num" w:pos="1492"/>
        </w:tabs>
        <w:ind w:left="1492" w:hanging="360"/>
      </w:pPr>
    </w:lvl>
  </w:abstractNum>
  <w:abstractNum w:abstractNumId="2">
    <w:nsid w:val="FFFFFF7D"/>
    <w:multiLevelType w:val="singleLevel"/>
    <w:tmpl w:val="147C3B78"/>
    <w:lvl w:ilvl="0">
      <w:start w:val="1"/>
      <w:numFmt w:val="decimal"/>
      <w:lvlText w:val="%1."/>
      <w:lvlJc w:val="left"/>
      <w:pPr>
        <w:tabs>
          <w:tab w:val="num" w:pos="1209"/>
        </w:tabs>
        <w:ind w:left="1209" w:hanging="360"/>
      </w:pPr>
    </w:lvl>
  </w:abstractNum>
  <w:abstractNum w:abstractNumId="3">
    <w:nsid w:val="FFFFFF7E"/>
    <w:multiLevelType w:val="singleLevel"/>
    <w:tmpl w:val="BE764A9E"/>
    <w:lvl w:ilvl="0">
      <w:start w:val="1"/>
      <w:numFmt w:val="decimal"/>
      <w:lvlText w:val="%1."/>
      <w:lvlJc w:val="left"/>
      <w:pPr>
        <w:tabs>
          <w:tab w:val="num" w:pos="926"/>
        </w:tabs>
        <w:ind w:left="926" w:hanging="360"/>
      </w:pPr>
    </w:lvl>
  </w:abstractNum>
  <w:abstractNum w:abstractNumId="4">
    <w:nsid w:val="FFFFFF7F"/>
    <w:multiLevelType w:val="singleLevel"/>
    <w:tmpl w:val="E5A45338"/>
    <w:lvl w:ilvl="0">
      <w:start w:val="1"/>
      <w:numFmt w:val="decimal"/>
      <w:lvlText w:val="%1."/>
      <w:lvlJc w:val="left"/>
      <w:pPr>
        <w:tabs>
          <w:tab w:val="num" w:pos="643"/>
        </w:tabs>
        <w:ind w:left="643" w:hanging="360"/>
      </w:pPr>
    </w:lvl>
  </w:abstractNum>
  <w:abstractNum w:abstractNumId="5">
    <w:nsid w:val="FFFFFF80"/>
    <w:multiLevelType w:val="singleLevel"/>
    <w:tmpl w:val="38A45F2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ADC63968"/>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D08C387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8FE6C1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F17E0118"/>
    <w:lvl w:ilvl="0">
      <w:start w:val="1"/>
      <w:numFmt w:val="decimal"/>
      <w:lvlText w:val="%1."/>
      <w:lvlJc w:val="left"/>
      <w:pPr>
        <w:tabs>
          <w:tab w:val="num" w:pos="360"/>
        </w:tabs>
        <w:ind w:left="360" w:hanging="360"/>
      </w:pPr>
    </w:lvl>
  </w:abstractNum>
  <w:abstractNum w:abstractNumId="10">
    <w:nsid w:val="FFFFFF89"/>
    <w:multiLevelType w:val="singleLevel"/>
    <w:tmpl w:val="8FBE0EA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19"/>
  </w:num>
  <w:num w:numId="4">
    <w:abstractNumId w:val="28"/>
  </w:num>
  <w:num w:numId="5">
    <w:abstractNumId w:val="22"/>
  </w:num>
  <w:num w:numId="6">
    <w:abstractNumId w:val="20"/>
  </w:num>
  <w:num w:numId="7">
    <w:abstractNumId w:val="31"/>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4"/>
  </w:num>
  <w:num w:numId="16">
    <w:abstractNumId w:val="25"/>
  </w:num>
  <w:num w:numId="17">
    <w:abstractNumId w:val="30"/>
  </w:num>
  <w:num w:numId="18">
    <w:abstractNumId w:val="22"/>
  </w:num>
  <w:num w:numId="19">
    <w:abstractNumId w:val="11"/>
  </w:num>
  <w:num w:numId="20">
    <w:abstractNumId w:val="36"/>
  </w:num>
  <w:num w:numId="21">
    <w:abstractNumId w:val="15"/>
  </w:num>
  <w:num w:numId="22">
    <w:abstractNumId w:val="22"/>
  </w:num>
  <w:num w:numId="23">
    <w:abstractNumId w:val="22"/>
  </w:num>
  <w:num w:numId="24">
    <w:abstractNumId w:val="17"/>
  </w:num>
  <w:num w:numId="25">
    <w:abstractNumId w:val="22"/>
  </w:num>
  <w:num w:numId="26">
    <w:abstractNumId w:val="35"/>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3"/>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FA5"/>
    <w:rsid w:val="00002EC6"/>
    <w:rsid w:val="00027E98"/>
    <w:rsid w:val="000B2737"/>
    <w:rsid w:val="000E0C12"/>
    <w:rsid w:val="000E68A3"/>
    <w:rsid w:val="00104D4A"/>
    <w:rsid w:val="00115940"/>
    <w:rsid w:val="0013627B"/>
    <w:rsid w:val="0018764C"/>
    <w:rsid w:val="001B6CF2"/>
    <w:rsid w:val="001C4FB6"/>
    <w:rsid w:val="001E1E29"/>
    <w:rsid w:val="001E51C0"/>
    <w:rsid w:val="00202BD4"/>
    <w:rsid w:val="002051C8"/>
    <w:rsid w:val="002322B3"/>
    <w:rsid w:val="00236AF9"/>
    <w:rsid w:val="002409D1"/>
    <w:rsid w:val="00241D0F"/>
    <w:rsid w:val="0024513B"/>
    <w:rsid w:val="0029364C"/>
    <w:rsid w:val="002C6336"/>
    <w:rsid w:val="002C645B"/>
    <w:rsid w:val="0030606E"/>
    <w:rsid w:val="003A044D"/>
    <w:rsid w:val="003C4A66"/>
    <w:rsid w:val="00401ACE"/>
    <w:rsid w:val="00421DD3"/>
    <w:rsid w:val="00430A46"/>
    <w:rsid w:val="00450004"/>
    <w:rsid w:val="0045230A"/>
    <w:rsid w:val="00473BEA"/>
    <w:rsid w:val="004A24A2"/>
    <w:rsid w:val="004A30A4"/>
    <w:rsid w:val="004C32B1"/>
    <w:rsid w:val="004E22D9"/>
    <w:rsid w:val="00517391"/>
    <w:rsid w:val="0053643B"/>
    <w:rsid w:val="00542B02"/>
    <w:rsid w:val="00544C5C"/>
    <w:rsid w:val="0058063E"/>
    <w:rsid w:val="005A0A87"/>
    <w:rsid w:val="005C03F0"/>
    <w:rsid w:val="005C19EB"/>
    <w:rsid w:val="005E4A05"/>
    <w:rsid w:val="005F4120"/>
    <w:rsid w:val="00614E93"/>
    <w:rsid w:val="00640C8E"/>
    <w:rsid w:val="0065661A"/>
    <w:rsid w:val="00671C3D"/>
    <w:rsid w:val="006820E2"/>
    <w:rsid w:val="006A3E06"/>
    <w:rsid w:val="006D44F0"/>
    <w:rsid w:val="006E178B"/>
    <w:rsid w:val="006F115F"/>
    <w:rsid w:val="00736F05"/>
    <w:rsid w:val="00744AB0"/>
    <w:rsid w:val="00761373"/>
    <w:rsid w:val="00794BC4"/>
    <w:rsid w:val="00801F54"/>
    <w:rsid w:val="0086013C"/>
    <w:rsid w:val="00874E9F"/>
    <w:rsid w:val="00887E6C"/>
    <w:rsid w:val="008944FD"/>
    <w:rsid w:val="008B6794"/>
    <w:rsid w:val="008C00E3"/>
    <w:rsid w:val="008D71C4"/>
    <w:rsid w:val="008E29AA"/>
    <w:rsid w:val="008E6468"/>
    <w:rsid w:val="008F2037"/>
    <w:rsid w:val="008F4D1C"/>
    <w:rsid w:val="00902BD2"/>
    <w:rsid w:val="00910C53"/>
    <w:rsid w:val="009336AD"/>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C0FA5"/>
    <w:rsid w:val="00AD1BA6"/>
    <w:rsid w:val="00AE6E0B"/>
    <w:rsid w:val="00AF4C0C"/>
    <w:rsid w:val="00B14475"/>
    <w:rsid w:val="00B21A31"/>
    <w:rsid w:val="00BB0594"/>
    <w:rsid w:val="00BB3B30"/>
    <w:rsid w:val="00BD41AC"/>
    <w:rsid w:val="00C210C7"/>
    <w:rsid w:val="00C35DA7"/>
    <w:rsid w:val="00C36770"/>
    <w:rsid w:val="00C415C5"/>
    <w:rsid w:val="00CA10A1"/>
    <w:rsid w:val="00CE7A43"/>
    <w:rsid w:val="00D00A71"/>
    <w:rsid w:val="00D02C1E"/>
    <w:rsid w:val="00D12D83"/>
    <w:rsid w:val="00D238FB"/>
    <w:rsid w:val="00D316F4"/>
    <w:rsid w:val="00D95FBD"/>
    <w:rsid w:val="00DB0044"/>
    <w:rsid w:val="00DD2059"/>
    <w:rsid w:val="00DE138A"/>
    <w:rsid w:val="00DE7750"/>
    <w:rsid w:val="00E622F1"/>
    <w:rsid w:val="00E66893"/>
    <w:rsid w:val="00E72819"/>
    <w:rsid w:val="00EA542A"/>
    <w:rsid w:val="00EE73C1"/>
    <w:rsid w:val="00EF0EEC"/>
    <w:rsid w:val="00F02EAA"/>
    <w:rsid w:val="00F11D4D"/>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EBCAF-50AF-4D22-9007-4AE092193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1</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1241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SZWERYN, Lex</cp:lastModifiedBy>
  <cp:revision>3</cp:revision>
  <dcterms:created xsi:type="dcterms:W3CDTF">2017-04-26T01:35:00Z</dcterms:created>
  <dcterms:modified xsi:type="dcterms:W3CDTF">2017-05-04T04:20:00Z</dcterms:modified>
</cp:coreProperties>
</file>