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Stage label cards — Lesson 2</w:t>
      </w:r>
    </w:p>
    <w:p>
      <w:r>
        <w:t xml:space="preserve">Print on card stock if possible. Cut along dashed lines. Use for hub annotation or sorting.</w:t>
      </w:r>
    </w:p>
    <w:p>
      <w:pPr>
        <w:pStyle w:val="Heading1"/>
      </w:pPr>
      <w:r>
        <w:t xml:space="preserve">Card A — Classification / general 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B12E21" w:sz="6"/>
              <w:left w:val="dashed" w:color="B12E21" w:sz="6"/>
              <w:bottom w:val="dashed" w:color="B12E21" w:sz="6"/>
              <w:right w:val="dashed" w:color="B12E21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Classification / general statement</w:t>
            </w:r>
          </w:p>
          <w:p>
            <w:r>
              <w:t xml:space="preserve">Names the topic and scope. Tells the reader what kind of information will follow.</w:t>
            </w:r>
          </w:p>
        </w:tc>
      </w:tr>
    </w:tbl>
    <w:p>
      <w:pPr>
        <w:pStyle w:val="Heading1"/>
      </w:pPr>
      <w:r>
        <w:t xml:space="preserve">Card B — Description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B12E21" w:sz="6"/>
              <w:left w:val="dashed" w:color="B12E21" w:sz="6"/>
              <w:bottom w:val="dashed" w:color="B12E21" w:sz="6"/>
              <w:right w:val="dashed" w:color="B12E21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Description</w:t>
            </w:r>
          </w:p>
          <w:p>
            <w:r>
              <w:t xml:space="preserve">Sets the scene; introduces parts, places, or categories.</w:t>
            </w:r>
          </w:p>
        </w:tc>
      </w:tr>
    </w:tbl>
    <w:p>
      <w:pPr>
        <w:pStyle w:val="Heading1"/>
      </w:pPr>
      <w:r>
        <w:t xml:space="preserve">Card C — Factual elaboration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B12E21" w:sz="6"/>
              <w:left w:val="dashed" w:color="B12E21" w:sz="6"/>
              <w:bottom w:val="dashed" w:color="B12E21" w:sz="6"/>
              <w:right w:val="dashed" w:color="B12E21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Factual elaboration</w:t>
            </w:r>
          </w:p>
          <w:p>
            <w:r>
              <w:t xml:space="preserve">Adds precise detail: numbers, dates, evidence, explanation, technical language.</w:t>
            </w:r>
          </w:p>
        </w:tc>
      </w:tr>
    </w:tbl>
    <w:p>
      <w:pPr>
        <w:pStyle w:val="Heading1"/>
      </w:pPr>
      <w:r>
        <w:t xml:space="preserve">Card D —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B12E21" w:sz="6"/>
              <w:left w:val="dashed" w:color="B12E21" w:sz="6"/>
              <w:bottom w:val="dashed" w:color="B12E21" w:sz="6"/>
              <w:right w:val="dashed" w:color="B12E21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Summary</w:t>
            </w:r>
          </w:p>
          <w:p>
            <w:r>
              <w:t xml:space="preserve">Pulls key ideas together; highlights main findings or takeaways.</w:t>
            </w:r>
          </w:p>
        </w:tc>
      </w:tr>
    </w:tbl>
    <w:p>
      <w:pPr>
        <w:pStyle w:val="Heading1"/>
      </w:pPr>
      <w:r>
        <w:t xml:space="preserve">Teacher note</w:t>
      </w:r>
    </w:p>
    <w:p>
      <w:r>
        <w:t xml:space="preserve">Hold up or place cards as students justify where each hub screenshot fits. Model flexible thinking where two stages overlap.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2026-05-31T02:06:09.084Z</dcterms:created>
  <dcterms:modified xsi:type="dcterms:W3CDTF">2026-05-31T02:06:09.084Z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