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PLAN — LESSON 1: PURPOSE AND AUDIENCE</w:t>
      </w:r>
    </w:p>
    <w:p>
      <w:r>
        <w:t xml:space="preserve">Year 5 English — Unit 2 — Sequence 1 (Cyclone Archive)</w:t>
      </w:r>
    </w:p>
    <w:p>
      <w:r>
        <w:t xml:space="preserve">Tarampa State School · Term 2, 2026 · Duration: 60 minutes</w:t>
      </w:r>
    </w:p>
    <w:p>
      <w:r>
        <w:t xml:space="preserve">Resources: Lesson_01_Slides.pptx; Cyclone Archive hub (local: Cyclones/index.html); Lesson_01_Worksheet_Y5.docx; KWL on worksheet.</w:t>
      </w:r>
    </w:p>
    <w:p>
      <w:pPr>
        <w:pStyle w:val="Heading1"/>
      </w:pPr>
      <w:r>
        <w:t xml:space="preserve">Curriculum alignment</w:t>
      </w:r>
    </w:p>
    <w:p>
      <w:pPr>
        <w:pStyle w:val="ListParagraph"/>
        <w:numPr>
          <w:ilvl w:val="0"/>
          <w:numId w:val="1"/>
        </w:numPr>
      </w:pPr>
      <w:r>
        <w:t xml:space="preserve">AC9E5LY03 — Identify and describe the purposes and audiences of texts, including the ways authors attempt to position readers.</w:t>
      </w:r>
    </w:p>
    <w:p>
      <w:pPr>
        <w:pStyle w:val="ListParagraph"/>
        <w:numPr>
          <w:ilvl w:val="0"/>
          <w:numId w:val="1"/>
        </w:numPr>
      </w:pPr>
      <w:r>
        <w:t xml:space="preserve">AC9E5LA03 — Describe how texts across the curriculum use language features and structural features appropriate to different purposes and audiences.</w:t>
      </w:r>
    </w:p>
    <w:p>
      <w:pPr>
        <w:pStyle w:val="Heading1"/>
      </w:pPr>
      <w:r>
        <w:t xml:space="preserve">Learning intention</w:t>
      </w:r>
    </w:p>
    <w:p>
      <w:r>
        <w:t xml:space="preserve">I can identify the purpose and audience of an informative text.</w:t>
      </w:r>
    </w:p>
    <w:p>
      <w:pPr>
        <w:pStyle w:val="Heading1"/>
      </w:pPr>
      <w:r>
        <w:t xml:space="preserve">Success criteria</w:t>
      </w:r>
    </w:p>
    <w:p>
      <w:pPr>
        <w:pStyle w:val="ListParagraph"/>
        <w:numPr>
          <w:ilvl w:val="0"/>
          <w:numId w:val="1"/>
        </w:numPr>
      </w:pPr>
      <w:r>
        <w:t xml:space="preserve">I can state a clear purpose for the Cyclone Archive hub page.</w:t>
      </w:r>
    </w:p>
    <w:p>
      <w:pPr>
        <w:pStyle w:val="ListParagraph"/>
        <w:numPr>
          <w:ilvl w:val="0"/>
          <w:numId w:val="1"/>
        </w:numPr>
      </w:pPr>
      <w:r>
        <w:t xml:space="preserve">I can describe a likely audience and point to textual or design evidence.</w:t>
      </w:r>
    </w:p>
    <w:p>
      <w:pPr>
        <w:pStyle w:val="ListParagraph"/>
        <w:numPr>
          <w:ilvl w:val="0"/>
          <w:numId w:val="1"/>
        </w:numPr>
      </w:pPr>
      <w:r>
        <w:t xml:space="preserve">I can tell how an informative text differs from an imaginative or persuasive text in simple terms.</w:t>
      </w:r>
    </w:p>
    <w:p>
      <w:pPr>
        <w:pStyle w:val="Heading1"/>
      </w:pPr>
      <w:r>
        <w:t xml:space="preserve">Differentiation</w:t>
      </w:r>
    </w:p>
    <w:p>
      <w:r>
        <w:rPr>
          <w:b/>
          <w:bCs/>
        </w:rPr>
        <w:t xml:space="preserve">Core (Year 5):</w:t>
      </w:r>
    </w:p>
    <w:p>
      <w:r>
        <w:t xml:space="preserve">Partner talk, worksheet scaffolds, whole-class annotation of slides.</w:t>
      </w:r>
    </w:p>
    <w:p>
      <w:r>
        <w:rPr>
          <w:b/>
          <w:bCs/>
        </w:rPr>
        <w:t xml:space="preserve">Lucas (Year 2 pathway):</w:t>
      </w:r>
    </w:p>
    <w:p>
      <w:r>
        <w:t xml:space="preserve">Reduced written load; focus on one image on the hub page; draw and label; oral response with sentence starters (AC9E2LY03, AC9E2LA08). Use Lesson_01_Worksheet_Lucas_Y2.docx.</w:t>
      </w:r>
    </w:p>
    <w:p>
      <w:pPr>
        <w:pStyle w:val="Heading1"/>
      </w:pPr>
      <w:r>
        <w:t xml:space="preserve">Minute-by-minute sequence</w:t>
      </w:r>
    </w:p>
    <w:p>
      <w:pPr>
        <w:pStyle w:val="Heading2"/>
      </w:pPr>
      <w:r>
        <w:t xml:space="preserve">0–5 min — Settle, learning intention, success criteria</w:t>
      </w:r>
    </w:p>
    <w:p>
      <w:r>
        <w:t xml:space="preserve">Display Slide 2. Read the learning intention aloud. Students copy or highlight it on their worksheet. Briefly define purpose (what the text is trying to do) and audience (who it is for).</w:t>
      </w:r>
    </w:p>
    <w:p>
      <w:pPr>
        <w:pStyle w:val="Heading2"/>
      </w:pPr>
      <w:r>
        <w:t xml:space="preserve">5–15 min — Activate: prior knowledge and assessment context</w:t>
      </w:r>
    </w:p>
    <w:p>
      <w:r>
        <w:t xml:space="preserve">Slides 3–4. Brainstorm cyclone knowledge. Students complete K and W on their worksheet. Introduce Parts A, B, C at a high level so students see the end goal. Anticipated responses: cyclones are storms, wind, Queensland/north Australia; informative texts include websites, news explainers, textbooks.</w:t>
      </w:r>
    </w:p>
    <w:p>
      <w:pPr>
        <w:pStyle w:val="Heading2"/>
      </w:pPr>
      <w:r>
        <w:t xml:space="preserve">15–28 min — Explore: hub page tour (Slides 5–9)</w:t>
      </w:r>
    </w:p>
    <w:p>
      <w:r>
        <w:t xml:space="preserve">Open the live hub page alongside the slides. Teacher reads the deck and statistics aloud with expression, then thinks aloud about purpose and audience.</w:t>
      </w:r>
    </w:p>
    <w:p>
      <w:r>
        <w:t xml:space="preserve">Focus questions: Why statistics first? Who benefits from six cards? How does language signal information rather than persuasion?</w:t>
      </w:r>
    </w:p>
    <w:p>
      <w:r>
        <w:t xml:space="preserve">Anticipated answers: numbers establish scale and seriousness; cards chunk content for secondary or general readers; neutral, factual tone.</w:t>
      </w:r>
    </w:p>
    <w:p>
      <w:pPr>
        <w:pStyle w:val="Heading2"/>
      </w:pPr>
      <w:r>
        <w:t xml:space="preserve">28–40 min — Explore: evidence section and navigation (Slides 10–12)</w:t>
      </w:r>
    </w:p>
    <w:p>
      <w:r>
        <w:t xml:space="preserve">Slide 10 (Tracy card): identify repeated pattern — category, year, place, teaser, data strip, link.</w:t>
      </w:r>
    </w:p>
    <w:p>
      <w:r>
        <w:t xml:space="preserve">Slide 11: discuss why primary sources, meteorological data, and human impact are grouped — credibility and multiple lenses.</w:t>
      </w:r>
    </w:p>
    <w:p>
      <w:r>
        <w:t xml:space="preserve">Slide 12: compare website navigation to book table of contents/index.</w:t>
      </w:r>
    </w:p>
    <w:p>
      <w:pPr>
        <w:pStyle w:val="Heading2"/>
      </w:pPr>
      <w:r>
        <w:t xml:space="preserve">40–50 min — Think-aloud, text-type sort (Slides 13–15)</w:t>
      </w:r>
    </w:p>
    <w:p>
      <w:r>
        <w:t xml:space="preserve">Model completing the sentence stem on Slide 13. Slide 14: class sort — justify with one clue per snippet. Slide 15: co-construct informative text checklist on board; students record two features on worksheet.</w:t>
      </w:r>
    </w:p>
    <w:p>
      <w:pPr>
        <w:pStyle w:val="Heading2"/>
      </w:pPr>
      <w:r>
        <w:t xml:space="preserve">50–58 min — Connect: KWL and exit ticket (Slides 16–17)</w:t>
      </w:r>
    </w:p>
    <w:p>
      <w:r>
        <w:t xml:space="preserve">Students complete L column and exit ticket. Collect or scan a sample of exit tickets for formative assessment.</w:t>
      </w:r>
    </w:p>
    <w:p>
      <w:pPr>
        <w:pStyle w:val="Heading2"/>
      </w:pPr>
      <w:r>
        <w:t xml:space="preserve">58–60 min — Closure</w:t>
      </w:r>
    </w:p>
    <w:p>
      <w:r>
        <w:t xml:space="preserve">Preview Lesson 2: characteristic stages of information reports using the same archive. Pack up.</w:t>
      </w:r>
    </w:p>
    <w:p>
      <w:pPr>
        <w:pStyle w:val="Heading1"/>
      </w:pPr>
      <w:r>
        <w:t xml:space="preserve">Formative assessment / monitoring</w:t>
      </w:r>
    </w:p>
    <w:p>
      <w:pPr>
        <w:pStyle w:val="ListParagraph"/>
        <w:numPr>
          <w:ilvl w:val="0"/>
          <w:numId w:val="1"/>
        </w:numPr>
      </w:pPr>
      <w:r>
        <w:t xml:space="preserve">Observe partner discussions during Activate.</w:t>
      </w:r>
    </w:p>
    <w:p>
      <w:pPr>
        <w:pStyle w:val="ListParagraph"/>
        <w:numPr>
          <w:ilvl w:val="0"/>
          <w:numId w:val="1"/>
        </w:numPr>
      </w:pPr>
      <w:r>
        <w:t xml:space="preserve">Check K/W/L for misconceptions (e.g., confusing wind speed with temperature).</w:t>
      </w:r>
    </w:p>
    <w:p>
      <w:pPr>
        <w:pStyle w:val="ListParagraph"/>
        <w:numPr>
          <w:ilvl w:val="0"/>
          <w:numId w:val="1"/>
        </w:numPr>
      </w:pPr>
      <w:r>
        <w:t xml:space="preserve">Exit ticket: purpose + audience + one supporting clue.</w:t>
      </w:r>
    </w:p>
    <w:p>
      <w:pPr>
        <w:pStyle w:val="Heading1"/>
      </w:pPr>
      <w:r>
        <w:t xml:space="preserve">Extension (early finishers)</w:t>
      </w:r>
    </w:p>
    <w:p>
      <w:r>
        <w:t xml:space="preserve">Write one question they would ask the author about how they chose the six events. OR: skim one cyclone sub-page title only and predict what section will come first.</w:t>
      </w:r>
    </w:p>
    <w:p>
      <w:pPr>
        <w:pStyle w:val="Heading1"/>
      </w:pPr>
      <w:r>
        <w:t xml:space="preserve">Reflection prompts for teacher</w:t>
      </w:r>
    </w:p>
    <w:p>
      <w:r>
        <w:t xml:space="preserve">Which aspect (hero, stats, cards, evidence panel) best shifted students toward audience awareness? Adjust pacing for Lesson 2 accordingly.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00"/>
      <w:jc w:val="center"/>
    </w:pPr>
    <w:rPr>
      <w:rFonts w:ascii="Arial" w:cs="Arial" w:eastAsia="Arial" w:hAnsi="Arial"/>
      <w:b/>
      <w:bCs/>
      <w:color w:val="B12E21"/>
      <w:sz w:val="56"/>
      <w:szCs w:val="56"/>
    </w:rPr>
  </w:style>
  <w:style w:type="paragraph" w:styleId="Heading1">
    <w:name w:val="Heading 1"/>
    <w:basedOn w:val="Normal"/>
    <w:pPr>
      <w:pBdr>
        <w:bottom w:val="single" w:color="B12E21" w:sz="6" w:space="1"/>
      </w:pBdr>
      <w:spacing w:after="160" w:before="280"/>
      <w:outlineLvl w:val="0"/>
    </w:pPr>
    <w:rPr>
      <w:rFonts w:ascii="Arial" w:cs="Arial" w:eastAsia="Arial" w:hAnsi="Arial"/>
      <w:b/>
      <w:bCs/>
      <w:color w:val="B12E21"/>
      <w:sz w:val="36"/>
      <w:szCs w:val="36"/>
    </w:rPr>
  </w:style>
  <w:style w:type="paragraph" w:styleId="Heading2">
    <w:name w:val="Heading 2"/>
    <w:basedOn w:val="Normal"/>
    <w:pPr>
      <w:spacing w:after="120" w:before="200"/>
      <w:outlineLvl w:val="1"/>
    </w:pPr>
    <w:rPr>
      <w:rFonts w:ascii="Arial" w:cs="Arial" w:eastAsia="Arial" w:hAnsi="Arial"/>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2026-04-20T11:25:35.980Z</dcterms:created>
  <dcterms:modified xsi:type="dcterms:W3CDTF">2026-04-20T11:25:35.980Z</dcterms:modified>
</cp:coreProperties>
</file>

<file path=docProps/custom.xml><?xml version="1.0" encoding="utf-8"?>
<Properties xmlns="http://schemas.openxmlformats.org/officeDocument/2006/custom-properties" xmlns:vt="http://schemas.openxmlformats.org/officeDocument/2006/docPropsVTypes"/>
</file>