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3F0023" w:rsidRPr="004A30A4" w:rsidTr="00644BD2">
        <w:trPr>
          <w:trHeight w:val="520"/>
        </w:trPr>
        <w:tc>
          <w:tcPr>
            <w:tcW w:w="9279" w:type="dxa"/>
            <w:tcBorders>
              <w:bottom w:val="single" w:sz="4" w:space="0" w:color="94C634"/>
            </w:tcBorders>
            <w:tcMar>
              <w:bottom w:w="0" w:type="dxa"/>
              <w:right w:w="0" w:type="dxa"/>
            </w:tcMar>
            <w:vAlign w:val="bottom"/>
          </w:tcPr>
          <w:p w:rsidR="003F0023" w:rsidRPr="004A30A4" w:rsidRDefault="003F0023" w:rsidP="00644BD2">
            <w:pPr>
              <w:pStyle w:val="Resourcetitle"/>
            </w:pPr>
          </w:p>
        </w:tc>
        <w:tc>
          <w:tcPr>
            <w:tcW w:w="1040" w:type="dxa"/>
            <w:vMerge w:val="restart"/>
            <w:tcBorders>
              <w:bottom w:val="nil"/>
            </w:tcBorders>
            <w:tcMar>
              <w:left w:w="0" w:type="dxa"/>
              <w:bottom w:w="0" w:type="dxa"/>
              <w:right w:w="0" w:type="dxa"/>
            </w:tcMar>
            <w:vAlign w:val="center"/>
          </w:tcPr>
          <w:p w:rsidR="003F0023" w:rsidRPr="004A30A4" w:rsidRDefault="003F0023" w:rsidP="00644BD2">
            <w:pPr>
              <w:pStyle w:val="Resourcetitle"/>
              <w:jc w:val="center"/>
            </w:pPr>
            <w:r w:rsidRPr="004A30A4">
              <w:rPr>
                <w:noProof/>
              </w:rPr>
              <w:drawing>
                <wp:inline distT="0" distB="0" distL="0" distR="0" wp14:anchorId="6D8BDF40" wp14:editId="2A007B49">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3F0023" w:rsidRPr="004A30A4" w:rsidTr="00644BD2">
        <w:trPr>
          <w:trHeight w:val="520"/>
        </w:trPr>
        <w:tc>
          <w:tcPr>
            <w:tcW w:w="9279" w:type="dxa"/>
            <w:tcBorders>
              <w:top w:val="single" w:sz="4" w:space="0" w:color="94C634"/>
              <w:bottom w:val="nil"/>
            </w:tcBorders>
            <w:tcMar>
              <w:bottom w:w="0" w:type="dxa"/>
              <w:right w:w="0" w:type="dxa"/>
            </w:tcMar>
            <w:vAlign w:val="center"/>
          </w:tcPr>
          <w:p w:rsidR="003F0023" w:rsidRPr="004A30A4" w:rsidRDefault="003F0023" w:rsidP="00644BD2">
            <w:pPr>
              <w:pStyle w:val="Resourcetitle"/>
            </w:pPr>
            <w:r w:rsidRPr="003F0023">
              <w:t>Indigenous knowledge for disaster risk reduction: Teacher note</w:t>
            </w:r>
          </w:p>
        </w:tc>
        <w:tc>
          <w:tcPr>
            <w:tcW w:w="1040" w:type="dxa"/>
            <w:vMerge/>
            <w:tcBorders>
              <w:bottom w:val="nil"/>
            </w:tcBorders>
            <w:tcMar>
              <w:left w:w="0" w:type="dxa"/>
              <w:bottom w:w="0" w:type="dxa"/>
              <w:right w:w="0" w:type="dxa"/>
            </w:tcMar>
            <w:vAlign w:val="center"/>
          </w:tcPr>
          <w:p w:rsidR="003F0023" w:rsidRPr="004A30A4" w:rsidRDefault="003F0023" w:rsidP="00644BD2">
            <w:pPr>
              <w:pStyle w:val="Resourcetitle"/>
              <w:jc w:val="center"/>
              <w:rPr>
                <w:noProof/>
                <w:lang w:val="en-US"/>
              </w:rPr>
            </w:pPr>
          </w:p>
        </w:tc>
      </w:tr>
    </w:tbl>
    <w:p w:rsidR="00357A5B" w:rsidRPr="00DA4FF5" w:rsidRDefault="00357A5B" w:rsidP="00357A5B">
      <w:pPr>
        <w:pStyle w:val="Heading1"/>
        <w:rPr>
          <w:rFonts w:eastAsia="SimSun"/>
          <w:bCs/>
        </w:rPr>
      </w:pPr>
    </w:p>
    <w:tbl>
      <w:tblPr>
        <w:tblW w:w="0" w:type="auto"/>
        <w:tblInd w:w="130" w:type="dxa"/>
        <w:tblBorders>
          <w:top w:val="single" w:sz="4" w:space="0" w:color="84BD00"/>
          <w:left w:val="single" w:sz="4" w:space="0" w:color="84BD00"/>
          <w:bottom w:val="single" w:sz="4" w:space="0" w:color="84BD00"/>
          <w:right w:val="single" w:sz="4" w:space="0" w:color="84BD00"/>
          <w:insideH w:val="single" w:sz="4" w:space="0" w:color="84BD00"/>
          <w:insideV w:val="single" w:sz="4" w:space="0" w:color="84BD00"/>
        </w:tblBorders>
        <w:tblLook w:val="0000" w:firstRow="0" w:lastRow="0" w:firstColumn="0" w:lastColumn="0" w:noHBand="0" w:noVBand="0"/>
      </w:tblPr>
      <w:tblGrid>
        <w:gridCol w:w="10184"/>
      </w:tblGrid>
      <w:tr w:rsidR="00357A5B" w:rsidRPr="003F0023" w:rsidTr="003F0023">
        <w:trPr>
          <w:trHeight w:val="2190"/>
        </w:trPr>
        <w:tc>
          <w:tcPr>
            <w:tcW w:w="10184" w:type="dxa"/>
          </w:tcPr>
          <w:p w:rsidR="00357A5B" w:rsidRPr="003F0023" w:rsidRDefault="00357A5B" w:rsidP="003F0023">
            <w:pPr>
              <w:pStyle w:val="Heading1"/>
              <w:spacing w:before="120" w:after="120" w:line="280" w:lineRule="atLeast"/>
              <w:rPr>
                <w:b w:val="0"/>
                <w:sz w:val="22"/>
                <w:szCs w:val="22"/>
              </w:rPr>
            </w:pPr>
            <w:r w:rsidRPr="003F0023">
              <w:rPr>
                <w:b w:val="0"/>
                <w:sz w:val="22"/>
                <w:szCs w:val="22"/>
              </w:rPr>
              <w:t>A group of people is considered indigenous when they belong to, or originate from, a particular area or country. For example, Aboriginal peoples and Torres Strait Islander peoples are indigenous to Australia; Maori people are indigenous to New Zealand.</w:t>
            </w:r>
          </w:p>
          <w:p w:rsidR="00357A5B" w:rsidRPr="003F0023" w:rsidRDefault="00357A5B" w:rsidP="003F0023">
            <w:pPr>
              <w:pStyle w:val="Heading1"/>
              <w:spacing w:before="120" w:after="120" w:line="280" w:lineRule="atLeast"/>
              <w:rPr>
                <w:b w:val="0"/>
                <w:sz w:val="22"/>
                <w:szCs w:val="22"/>
              </w:rPr>
            </w:pPr>
            <w:r w:rsidRPr="003F0023">
              <w:rPr>
                <w:b w:val="0"/>
                <w:sz w:val="22"/>
                <w:szCs w:val="22"/>
              </w:rPr>
              <w:t xml:space="preserve">Many indigenous peoples around the world have strong traditions of oral storytelling as means of handing on the knowledge gained while living in an area for many generations. Many indigenous groups around the world have developed oral histories (folklore, stories or beliefs) that have been passed down from generation to generation, including oral histories on </w:t>
            </w:r>
            <w:r w:rsidR="009F654C" w:rsidRPr="003F0023">
              <w:rPr>
                <w:b w:val="0"/>
                <w:sz w:val="22"/>
                <w:szCs w:val="22"/>
              </w:rPr>
              <w:t>geological events.</w:t>
            </w:r>
            <w:r w:rsidRPr="003F0023">
              <w:rPr>
                <w:b w:val="0"/>
                <w:sz w:val="22"/>
                <w:szCs w:val="22"/>
              </w:rPr>
              <w:t xml:space="preserve"> </w:t>
            </w:r>
          </w:p>
        </w:tc>
      </w:tr>
    </w:tbl>
    <w:p w:rsidR="00357A5B" w:rsidRPr="003F0023" w:rsidRDefault="00357A5B" w:rsidP="003F0023">
      <w:pPr>
        <w:pStyle w:val="Heading1"/>
        <w:spacing w:before="120" w:after="120" w:line="280" w:lineRule="atLeast"/>
        <w:rPr>
          <w:b w:val="0"/>
          <w:sz w:val="22"/>
          <w:szCs w:val="22"/>
        </w:rPr>
      </w:pPr>
      <w:r w:rsidRPr="003F0023">
        <w:rPr>
          <w:b w:val="0"/>
          <w:sz w:val="22"/>
          <w:szCs w:val="22"/>
        </w:rPr>
        <w:t xml:space="preserve">The sheet </w:t>
      </w:r>
      <w:proofErr w:type="gramStart"/>
      <w:r w:rsidRPr="003F0023">
        <w:rPr>
          <w:b w:val="0"/>
          <w:i/>
          <w:sz w:val="22"/>
          <w:szCs w:val="22"/>
        </w:rPr>
        <w:t>How</w:t>
      </w:r>
      <w:proofErr w:type="gramEnd"/>
      <w:r w:rsidRPr="003F0023">
        <w:rPr>
          <w:b w:val="0"/>
          <w:i/>
          <w:sz w:val="22"/>
          <w:szCs w:val="22"/>
        </w:rPr>
        <w:t xml:space="preserve"> indigenous knowledge is used for disaster risk reduction</w:t>
      </w:r>
      <w:r w:rsidRPr="003F0023">
        <w:rPr>
          <w:b w:val="0"/>
          <w:sz w:val="22"/>
          <w:szCs w:val="22"/>
        </w:rPr>
        <w:t xml:space="preserve"> allows students to read articles and explore ways in which some indigenous people of Asia share knowledge of earthquakes and tsunamis and how knowing oral histories helps with disaster preparation.</w:t>
      </w:r>
    </w:p>
    <w:p w:rsidR="00357A5B" w:rsidRPr="003F0023" w:rsidRDefault="00357A5B" w:rsidP="003F0023">
      <w:pPr>
        <w:pStyle w:val="Heading1"/>
        <w:spacing w:before="120" w:after="120" w:line="280" w:lineRule="atLeast"/>
        <w:rPr>
          <w:sz w:val="22"/>
          <w:szCs w:val="22"/>
        </w:rPr>
      </w:pPr>
      <w:r w:rsidRPr="003F0023">
        <w:rPr>
          <w:b w:val="0"/>
          <w:sz w:val="22"/>
          <w:szCs w:val="22"/>
        </w:rPr>
        <w:t xml:space="preserve">A selection of articles about how indigenous knowledge is used by communities around the world has been gathered together in the </w:t>
      </w:r>
      <w:r w:rsidR="00DA4FF5" w:rsidRPr="003F0023">
        <w:rPr>
          <w:b w:val="0"/>
          <w:sz w:val="22"/>
          <w:szCs w:val="22"/>
        </w:rPr>
        <w:t xml:space="preserve">sheet </w:t>
      </w:r>
      <w:proofErr w:type="gramStart"/>
      <w:r w:rsidRPr="003F0023">
        <w:rPr>
          <w:b w:val="0"/>
          <w:i/>
          <w:sz w:val="22"/>
          <w:szCs w:val="22"/>
        </w:rPr>
        <w:t>Extracts</w:t>
      </w:r>
      <w:proofErr w:type="gramEnd"/>
      <w:r w:rsidRPr="003F0023">
        <w:rPr>
          <w:b w:val="0"/>
          <w:i/>
          <w:sz w:val="22"/>
          <w:szCs w:val="22"/>
        </w:rPr>
        <w:t xml:space="preserve"> from: Indigenous knowledge for disaster risk reduction: Good practices and lessons learned from experiences in the Asia-Pacific region.</w:t>
      </w:r>
    </w:p>
    <w:p w:rsidR="00357A5B" w:rsidRPr="003F0023" w:rsidRDefault="00357A5B" w:rsidP="003F0023">
      <w:pPr>
        <w:pStyle w:val="Heading1"/>
        <w:spacing w:before="120" w:after="120" w:line="280" w:lineRule="atLeast"/>
        <w:rPr>
          <w:sz w:val="22"/>
          <w:szCs w:val="22"/>
        </w:rPr>
      </w:pPr>
      <w:r w:rsidRPr="003F0023">
        <w:rPr>
          <w:b w:val="0"/>
          <w:sz w:val="22"/>
          <w:szCs w:val="22"/>
        </w:rPr>
        <w:t>When modelling to the students how to analyse the articles in the sheet:</w:t>
      </w:r>
    </w:p>
    <w:p w:rsidR="00357A5B" w:rsidRPr="003F0023" w:rsidRDefault="00357A5B" w:rsidP="003F0023">
      <w:pPr>
        <w:pStyle w:val="C2CBullets"/>
        <w:spacing w:before="120" w:after="120" w:line="280" w:lineRule="atLeast"/>
        <w:ind w:left="357" w:hanging="357"/>
        <w:contextualSpacing/>
        <w:rPr>
          <w:szCs w:val="22"/>
        </w:rPr>
      </w:pPr>
      <w:r w:rsidRPr="003F0023">
        <w:rPr>
          <w:szCs w:val="22"/>
        </w:rPr>
        <w:t>use pages 52–54</w:t>
      </w:r>
    </w:p>
    <w:p w:rsidR="00357A5B" w:rsidRPr="003F0023" w:rsidRDefault="00357A5B" w:rsidP="003F0023">
      <w:pPr>
        <w:pStyle w:val="C2CBullets"/>
        <w:spacing w:before="120" w:after="120" w:line="280" w:lineRule="atLeast"/>
        <w:ind w:left="357" w:hanging="357"/>
        <w:contextualSpacing/>
        <w:rPr>
          <w:szCs w:val="22"/>
        </w:rPr>
      </w:pPr>
      <w:r w:rsidRPr="003F0023">
        <w:rPr>
          <w:szCs w:val="22"/>
        </w:rPr>
        <w:t>read the title and identify how it includes the city and the natural disaster the city experiences</w:t>
      </w:r>
      <w:bookmarkStart w:id="0" w:name="_GoBack"/>
      <w:bookmarkEnd w:id="0"/>
    </w:p>
    <w:p w:rsidR="00357A5B" w:rsidRPr="003F0023" w:rsidRDefault="00357A5B" w:rsidP="003F0023">
      <w:pPr>
        <w:pStyle w:val="C2CBullets"/>
        <w:spacing w:before="120" w:after="120" w:line="280" w:lineRule="atLeast"/>
        <w:ind w:left="357" w:hanging="357"/>
        <w:contextualSpacing/>
        <w:rPr>
          <w:szCs w:val="22"/>
        </w:rPr>
      </w:pPr>
      <w:r w:rsidRPr="003F0023">
        <w:rPr>
          <w:szCs w:val="22"/>
        </w:rPr>
        <w:t>direct students to skim the ‘Abstract’ and ‘Background’</w:t>
      </w:r>
    </w:p>
    <w:p w:rsidR="00357A5B" w:rsidRPr="003F0023" w:rsidRDefault="00357A5B" w:rsidP="003F0023">
      <w:pPr>
        <w:pStyle w:val="C2CBullets"/>
        <w:spacing w:before="120" w:after="120" w:line="280" w:lineRule="atLeast"/>
        <w:ind w:left="357" w:hanging="357"/>
        <w:contextualSpacing/>
        <w:rPr>
          <w:szCs w:val="22"/>
        </w:rPr>
      </w:pPr>
      <w:r w:rsidRPr="003F0023">
        <w:rPr>
          <w:szCs w:val="22"/>
        </w:rPr>
        <w:t>instruct students to read:</w:t>
      </w:r>
    </w:p>
    <w:p w:rsidR="00357A5B" w:rsidRPr="003F0023" w:rsidRDefault="00DA4FF5" w:rsidP="003F0023">
      <w:pPr>
        <w:pStyle w:val="C2CBullets"/>
        <w:numPr>
          <w:ilvl w:val="0"/>
          <w:numId w:val="5"/>
        </w:numPr>
        <w:spacing w:before="120" w:after="120" w:line="280" w:lineRule="atLeast"/>
        <w:ind w:left="714" w:hanging="357"/>
        <w:contextualSpacing/>
        <w:rPr>
          <w:szCs w:val="22"/>
        </w:rPr>
      </w:pPr>
      <w:r w:rsidRPr="003F0023">
        <w:rPr>
          <w:szCs w:val="22"/>
        </w:rPr>
        <w:t>s</w:t>
      </w:r>
      <w:r w:rsidR="00357A5B" w:rsidRPr="003F0023">
        <w:rPr>
          <w:szCs w:val="22"/>
        </w:rPr>
        <w:t>tory/</w:t>
      </w:r>
      <w:r w:rsidRPr="003F0023">
        <w:rPr>
          <w:szCs w:val="22"/>
        </w:rPr>
        <w:t>e</w:t>
      </w:r>
      <w:r w:rsidR="00357A5B" w:rsidRPr="003F0023">
        <w:rPr>
          <w:szCs w:val="22"/>
        </w:rPr>
        <w:t>vent</w:t>
      </w:r>
    </w:p>
    <w:p w:rsidR="00357A5B" w:rsidRPr="003F0023" w:rsidRDefault="00DA4FF5" w:rsidP="003F0023">
      <w:pPr>
        <w:pStyle w:val="C2CBullets"/>
        <w:numPr>
          <w:ilvl w:val="0"/>
          <w:numId w:val="5"/>
        </w:numPr>
        <w:spacing w:before="120" w:after="120" w:line="280" w:lineRule="atLeast"/>
        <w:ind w:left="714" w:hanging="357"/>
        <w:contextualSpacing/>
        <w:rPr>
          <w:szCs w:val="22"/>
        </w:rPr>
      </w:pPr>
      <w:r w:rsidRPr="003F0023">
        <w:rPr>
          <w:szCs w:val="22"/>
        </w:rPr>
        <w:t>i</w:t>
      </w:r>
      <w:r w:rsidR="00357A5B" w:rsidRPr="003F0023">
        <w:rPr>
          <w:szCs w:val="22"/>
        </w:rPr>
        <w:t>ndigenous knowledge</w:t>
      </w:r>
    </w:p>
    <w:p w:rsidR="00357A5B" w:rsidRPr="003F0023" w:rsidRDefault="00DA4FF5" w:rsidP="003F0023">
      <w:pPr>
        <w:pStyle w:val="C2CBullets"/>
        <w:numPr>
          <w:ilvl w:val="0"/>
          <w:numId w:val="5"/>
        </w:numPr>
        <w:spacing w:before="120" w:after="120" w:line="280" w:lineRule="atLeast"/>
        <w:ind w:left="714" w:hanging="357"/>
        <w:contextualSpacing/>
        <w:rPr>
          <w:szCs w:val="22"/>
        </w:rPr>
      </w:pPr>
      <w:r w:rsidRPr="003F0023">
        <w:rPr>
          <w:szCs w:val="22"/>
        </w:rPr>
        <w:t>l</w:t>
      </w:r>
      <w:r w:rsidR="00357A5B" w:rsidRPr="003F0023">
        <w:rPr>
          <w:szCs w:val="22"/>
        </w:rPr>
        <w:t>essons learned</w:t>
      </w:r>
    </w:p>
    <w:p w:rsidR="00357A5B" w:rsidRPr="003F0023" w:rsidRDefault="00357A5B" w:rsidP="003F0023">
      <w:pPr>
        <w:pStyle w:val="C2CBullets"/>
        <w:spacing w:before="120" w:after="120" w:line="280" w:lineRule="atLeast"/>
        <w:rPr>
          <w:szCs w:val="22"/>
        </w:rPr>
      </w:pPr>
      <w:proofErr w:type="gramStart"/>
      <w:r w:rsidRPr="003F0023">
        <w:rPr>
          <w:szCs w:val="22"/>
        </w:rPr>
        <w:t>discuss</w:t>
      </w:r>
      <w:proofErr w:type="gramEnd"/>
      <w:r w:rsidRPr="003F0023">
        <w:rPr>
          <w:szCs w:val="22"/>
        </w:rPr>
        <w:t xml:space="preserve"> with class how to complete the questions on the worksheet.</w:t>
      </w:r>
    </w:p>
    <w:p w:rsidR="00357A5B" w:rsidRPr="003F0023" w:rsidRDefault="00357A5B" w:rsidP="003F0023">
      <w:pPr>
        <w:pStyle w:val="C2CText"/>
        <w:spacing w:before="120" w:after="120" w:line="280" w:lineRule="atLeast"/>
        <w:rPr>
          <w:szCs w:val="22"/>
        </w:rPr>
      </w:pPr>
      <w:r w:rsidRPr="003F0023">
        <w:rPr>
          <w:szCs w:val="22"/>
        </w:rPr>
        <w:t>Groups will require access to specific information from the following sections in the booklet:</w:t>
      </w:r>
    </w:p>
    <w:p w:rsidR="00357A5B" w:rsidRPr="003F0023" w:rsidRDefault="00357A5B" w:rsidP="003F0023">
      <w:pPr>
        <w:pStyle w:val="C2CText"/>
        <w:keepNext w:val="0"/>
        <w:numPr>
          <w:ilvl w:val="0"/>
          <w:numId w:val="6"/>
        </w:numPr>
        <w:spacing w:before="120" w:after="120" w:line="280" w:lineRule="atLeast"/>
        <w:ind w:left="714" w:hanging="357"/>
        <w:contextualSpacing/>
        <w:rPr>
          <w:szCs w:val="22"/>
        </w:rPr>
      </w:pPr>
      <w:r w:rsidRPr="003F0023">
        <w:rPr>
          <w:szCs w:val="22"/>
        </w:rPr>
        <w:t xml:space="preserve">Meyers, K and Watson, P 2008, </w:t>
      </w:r>
      <w:r w:rsidRPr="003F0023">
        <w:rPr>
          <w:i/>
          <w:szCs w:val="22"/>
        </w:rPr>
        <w:t>Legend, ritual and architecture on the ring of fire</w:t>
      </w:r>
      <w:r w:rsidRPr="003F0023">
        <w:rPr>
          <w:szCs w:val="22"/>
        </w:rPr>
        <w:t>, pp. 17–22.</w:t>
      </w:r>
    </w:p>
    <w:p w:rsidR="00357A5B" w:rsidRPr="003F0023" w:rsidRDefault="00357A5B" w:rsidP="003F0023">
      <w:pPr>
        <w:pStyle w:val="C2CBullets"/>
        <w:keepNext w:val="0"/>
        <w:numPr>
          <w:ilvl w:val="0"/>
          <w:numId w:val="0"/>
        </w:numPr>
        <w:spacing w:before="120" w:after="120" w:line="280" w:lineRule="atLeast"/>
        <w:ind w:left="357"/>
        <w:contextualSpacing/>
        <w:rPr>
          <w:szCs w:val="22"/>
        </w:rPr>
      </w:pPr>
      <w:r w:rsidRPr="003F0023">
        <w:rPr>
          <w:b/>
          <w:szCs w:val="22"/>
        </w:rPr>
        <w:t>Note:</w:t>
      </w:r>
      <w:r w:rsidRPr="003F0023">
        <w:rPr>
          <w:szCs w:val="22"/>
        </w:rPr>
        <w:t xml:space="preserve"> This article could be used for several pairs of students. The article shares a </w:t>
      </w:r>
      <w:r w:rsidR="00DA4FF5" w:rsidRPr="003F0023">
        <w:rPr>
          <w:szCs w:val="22"/>
        </w:rPr>
        <w:t>s</w:t>
      </w:r>
      <w:r w:rsidRPr="003F0023">
        <w:rPr>
          <w:szCs w:val="22"/>
        </w:rPr>
        <w:t>tory/</w:t>
      </w:r>
      <w:r w:rsidR="00DA4FF5" w:rsidRPr="003F0023">
        <w:rPr>
          <w:szCs w:val="22"/>
        </w:rPr>
        <w:t>e</w:t>
      </w:r>
      <w:r w:rsidRPr="003F0023">
        <w:rPr>
          <w:szCs w:val="22"/>
        </w:rPr>
        <w:t>vent but then looks at the indigenous knowledge and lessons learned from three islands in the area.</w:t>
      </w:r>
    </w:p>
    <w:p w:rsidR="00357A5B" w:rsidRPr="003F0023" w:rsidRDefault="00357A5B" w:rsidP="003F0023">
      <w:pPr>
        <w:pStyle w:val="C2CText"/>
        <w:keepNext w:val="0"/>
        <w:numPr>
          <w:ilvl w:val="0"/>
          <w:numId w:val="6"/>
        </w:numPr>
        <w:spacing w:before="120" w:after="120" w:line="280" w:lineRule="atLeast"/>
        <w:ind w:left="714" w:hanging="357"/>
        <w:contextualSpacing/>
        <w:rPr>
          <w:szCs w:val="22"/>
        </w:rPr>
      </w:pPr>
      <w:r w:rsidRPr="003F0023">
        <w:rPr>
          <w:szCs w:val="22"/>
        </w:rPr>
        <w:t xml:space="preserve">Cerdena, G, 2008, </w:t>
      </w:r>
      <w:r w:rsidRPr="003F0023">
        <w:rPr>
          <w:i/>
          <w:szCs w:val="22"/>
        </w:rPr>
        <w:t>Indigenous know-how on Mayon Volcano’s lava-spittle mysticism</w:t>
      </w:r>
      <w:r w:rsidRPr="003F0023">
        <w:rPr>
          <w:szCs w:val="22"/>
        </w:rPr>
        <w:t>, pp. 55–58</w:t>
      </w:r>
    </w:p>
    <w:p w:rsidR="003F0023" w:rsidRDefault="00357A5B" w:rsidP="003F0023">
      <w:pPr>
        <w:pStyle w:val="C2CText"/>
        <w:keepNext w:val="0"/>
        <w:numPr>
          <w:ilvl w:val="0"/>
          <w:numId w:val="6"/>
        </w:numPr>
        <w:spacing w:before="120" w:after="120" w:line="280" w:lineRule="atLeast"/>
        <w:ind w:left="714" w:hanging="357"/>
        <w:contextualSpacing/>
        <w:rPr>
          <w:szCs w:val="22"/>
        </w:rPr>
      </w:pPr>
      <w:r w:rsidRPr="003F0023">
        <w:rPr>
          <w:szCs w:val="22"/>
        </w:rPr>
        <w:t xml:space="preserve">McAdoo, B G, Baumwoll, J and Moore, A 2008, </w:t>
      </w:r>
      <w:r w:rsidRPr="003F0023">
        <w:rPr>
          <w:i/>
          <w:szCs w:val="22"/>
        </w:rPr>
        <w:t>Indigenous knowledge saved lives during 2007 Solomon Islands Tsunami</w:t>
      </w:r>
      <w:r w:rsidRPr="003F0023">
        <w:rPr>
          <w:szCs w:val="22"/>
        </w:rPr>
        <w:t>, pp. 64–67</w:t>
      </w:r>
    </w:p>
    <w:p w:rsidR="003F0023" w:rsidRPr="003F0023" w:rsidRDefault="00357A5B" w:rsidP="003F0023">
      <w:pPr>
        <w:pStyle w:val="C2CText"/>
        <w:keepNext w:val="0"/>
        <w:numPr>
          <w:ilvl w:val="0"/>
          <w:numId w:val="6"/>
        </w:numPr>
        <w:spacing w:before="120" w:after="120" w:line="280" w:lineRule="atLeast"/>
        <w:ind w:left="714" w:hanging="357"/>
        <w:rPr>
          <w:szCs w:val="22"/>
        </w:rPr>
      </w:pPr>
      <w:proofErr w:type="spellStart"/>
      <w:r w:rsidRPr="003F0023">
        <w:rPr>
          <w:szCs w:val="22"/>
        </w:rPr>
        <w:t>Arunotai</w:t>
      </w:r>
      <w:proofErr w:type="spellEnd"/>
      <w:r w:rsidRPr="003F0023">
        <w:rPr>
          <w:szCs w:val="22"/>
        </w:rPr>
        <w:t xml:space="preserve">, N, 2008, </w:t>
      </w:r>
      <w:r w:rsidRPr="003F0023">
        <w:rPr>
          <w:i/>
          <w:szCs w:val="22"/>
        </w:rPr>
        <w:t>Saved by an old legend and a keen observation: the case of Moken sea nomads in Thailand</w:t>
      </w:r>
      <w:r w:rsidRPr="003F0023">
        <w:rPr>
          <w:szCs w:val="22"/>
        </w:rPr>
        <w:t>, pp. 73–78</w:t>
      </w:r>
    </w:p>
    <w:p w:rsidR="003F0023" w:rsidRDefault="00357A5B" w:rsidP="003F0023">
      <w:pPr>
        <w:pStyle w:val="C2CText"/>
        <w:keepNext w:val="0"/>
        <w:spacing w:before="120" w:after="120" w:line="280" w:lineRule="atLeast"/>
        <w:rPr>
          <w:szCs w:val="22"/>
        </w:rPr>
      </w:pPr>
      <w:r w:rsidRPr="003F0023">
        <w:rPr>
          <w:szCs w:val="22"/>
        </w:rPr>
        <w:t>The class can then be divided into groups with each group looking at a different article. When choosing an article and creating student groups for this activity, consider students’ reading ability. Remind students to read everything, except the ‘Abstract’ and ‘Background’ which may be skimmed.</w:t>
      </w:r>
    </w:p>
    <w:p w:rsidR="003F0023" w:rsidRDefault="00357A5B" w:rsidP="003F0023">
      <w:pPr>
        <w:pStyle w:val="C2CText"/>
        <w:keepNext w:val="0"/>
        <w:spacing w:before="120" w:after="120" w:line="280" w:lineRule="atLeast"/>
        <w:rPr>
          <w:szCs w:val="22"/>
        </w:rPr>
      </w:pPr>
      <w:r w:rsidRPr="003F0023">
        <w:rPr>
          <w:b/>
          <w:szCs w:val="22"/>
          <w:u w:val="single"/>
        </w:rPr>
        <w:t>After</w:t>
      </w:r>
      <w:r w:rsidRPr="003F0023">
        <w:rPr>
          <w:szCs w:val="22"/>
        </w:rPr>
        <w:t xml:space="preserve"> reading each section, instruct students to answer the questions on the sheet.</w:t>
      </w:r>
    </w:p>
    <w:p w:rsidR="00357A5B" w:rsidRPr="003F0023" w:rsidRDefault="00357A5B" w:rsidP="003F0023">
      <w:pPr>
        <w:pStyle w:val="C2CText"/>
        <w:keepNext w:val="0"/>
        <w:spacing w:before="120" w:after="120" w:line="280" w:lineRule="atLeast"/>
        <w:rPr>
          <w:szCs w:val="22"/>
        </w:rPr>
      </w:pPr>
      <w:r w:rsidRPr="003F0023">
        <w:rPr>
          <w:szCs w:val="22"/>
        </w:rPr>
        <w:t>When sheets have been completed, groups can present information about the group they researched to the rest of the class. Students should be encouraged to identify aspects of stories that are similar across different cultures.</w:t>
      </w:r>
    </w:p>
    <w:p w:rsidR="00F11D4D" w:rsidRPr="003F0023" w:rsidRDefault="00357A5B" w:rsidP="003F0023">
      <w:pPr>
        <w:spacing w:before="120" w:after="120" w:line="280" w:lineRule="atLeast"/>
      </w:pPr>
      <w:r w:rsidRPr="003F0023">
        <w:t xml:space="preserve">A mapping site or program such as </w:t>
      </w:r>
      <w:r w:rsidR="00DA4FF5" w:rsidRPr="003F0023">
        <w:t xml:space="preserve">the </w:t>
      </w:r>
      <w:r w:rsidRPr="003F0023">
        <w:t xml:space="preserve">website </w:t>
      </w:r>
      <w:r w:rsidRPr="003F0023">
        <w:rPr>
          <w:i/>
        </w:rPr>
        <w:t>Google maps</w:t>
      </w:r>
      <w:r w:rsidRPr="003F0023">
        <w:t xml:space="preserve"> (Google) </w:t>
      </w:r>
      <w:r w:rsidRPr="003F0023">
        <w:rPr>
          <w:color w:val="808080" w:themeColor="background1" w:themeShade="80"/>
        </w:rPr>
        <w:t xml:space="preserve">http://maps.google.com/ </w:t>
      </w:r>
      <w:r w:rsidRPr="003F0023">
        <w:t>can be use</w:t>
      </w:r>
      <w:r w:rsidR="00816E63" w:rsidRPr="003F0023">
        <w:t>d.</w:t>
      </w:r>
    </w:p>
    <w:sectPr w:rsidR="00F11D4D" w:rsidRPr="003F0023" w:rsidSect="003F0023">
      <w:headerReference w:type="default" r:id="rId10"/>
      <w:footerReference w:type="default" r:id="rId11"/>
      <w:headerReference w:type="first" r:id="rId12"/>
      <w:footerReference w:type="first" r:id="rId13"/>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7A5B" w:rsidRDefault="00357A5B" w:rsidP="009336AD">
      <w:pPr>
        <w:spacing w:line="240" w:lineRule="auto"/>
      </w:pPr>
      <w:r>
        <w:separator/>
      </w:r>
    </w:p>
  </w:endnote>
  <w:endnote w:type="continuationSeparator" w:id="0">
    <w:p w:rsidR="00357A5B" w:rsidRDefault="00357A5B"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0023" w:rsidRPr="003F0023" w:rsidRDefault="003F0023" w:rsidP="003F0023">
    <w:pPr>
      <w:spacing w:after="40" w:line="240" w:lineRule="auto"/>
      <w:rPr>
        <w:noProof/>
        <w:sz w:val="14"/>
        <w:lang w:val="en-US" w:eastAsia="en-US"/>
      </w:rPr>
    </w:pPr>
    <w:r w:rsidRPr="003F0023">
      <w:rPr>
        <w:noProof/>
        <w:sz w:val="14"/>
      </w:rPr>
      <w:drawing>
        <wp:anchor distT="0" distB="0" distL="114300" distR="114300" simplePos="0" relativeHeight="251665408" behindDoc="1" locked="0" layoutInCell="1" allowOverlap="0" wp14:anchorId="4302788B" wp14:editId="50D74E0D">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0023">
      <w:rPr>
        <w:noProof/>
        <w:sz w:val="14"/>
      </w:rPr>
      <w:drawing>
        <wp:anchor distT="0" distB="0" distL="114300" distR="114300" simplePos="0" relativeHeight="251666432" behindDoc="0" locked="0" layoutInCell="1" allowOverlap="0" wp14:anchorId="6EDA3597" wp14:editId="4446DF23">
          <wp:simplePos x="0" y="0"/>
          <wp:positionH relativeFrom="column">
            <wp:align>center</wp:align>
          </wp:positionH>
          <wp:positionV relativeFrom="paragraph">
            <wp:posOffset>-17780</wp:posOffset>
          </wp:positionV>
          <wp:extent cx="2052000" cy="248400"/>
          <wp:effectExtent l="0" t="0" r="5715" b="0"/>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0023">
      <w:rPr>
        <w:noProof/>
        <w:sz w:val="14"/>
      </w:rPr>
      <w:drawing>
        <wp:inline distT="0" distB="0" distL="0" distR="0" wp14:anchorId="6DEB102A" wp14:editId="6DD7FBEA">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3F0023" w:rsidRPr="003F0023" w:rsidRDefault="003F0023" w:rsidP="003F0023">
    <w:pPr>
      <w:spacing w:line="240" w:lineRule="auto"/>
      <w:rPr>
        <w:noProof/>
        <w:color w:val="808080"/>
        <w:sz w:val="14"/>
        <w:lang w:val="en-US" w:eastAsia="en-US"/>
      </w:rPr>
    </w:pPr>
    <w:r w:rsidRPr="003F0023">
      <w:rPr>
        <w:noProof/>
        <w:color w:val="808080"/>
        <w:sz w:val="14"/>
        <w:lang w:val="en-US" w:eastAsia="en-US"/>
      </w:rPr>
      <w:fldChar w:fldCharType="begin"/>
    </w:r>
    <w:r w:rsidRPr="003F0023">
      <w:rPr>
        <w:noProof/>
        <w:color w:val="808080"/>
        <w:sz w:val="14"/>
        <w:lang w:val="en-US" w:eastAsia="en-US"/>
      </w:rPr>
      <w:instrText xml:space="preserve"> PAGE </w:instrText>
    </w:r>
    <w:r w:rsidRPr="003F0023">
      <w:rPr>
        <w:noProof/>
        <w:color w:val="808080"/>
        <w:sz w:val="14"/>
        <w:lang w:val="en-US" w:eastAsia="en-US"/>
      </w:rPr>
      <w:fldChar w:fldCharType="separate"/>
    </w:r>
    <w:r>
      <w:rPr>
        <w:noProof/>
        <w:color w:val="808080"/>
        <w:sz w:val="14"/>
        <w:lang w:val="en-US" w:eastAsia="en-US"/>
      </w:rPr>
      <w:t>1</w:t>
    </w:r>
    <w:r w:rsidRPr="003F0023">
      <w:rPr>
        <w:noProof/>
        <w:color w:val="808080"/>
        <w:sz w:val="14"/>
        <w:lang w:val="en-US" w:eastAsia="en-US"/>
      </w:rPr>
      <w:fldChar w:fldCharType="end"/>
    </w:r>
    <w:r w:rsidRPr="003F0023">
      <w:rPr>
        <w:noProof/>
        <w:color w:val="808080"/>
        <w:sz w:val="14"/>
        <w:lang w:val="en-US" w:eastAsia="en-US"/>
      </w:rPr>
      <w:t xml:space="preserve"> of </w:t>
    </w:r>
    <w:r w:rsidRPr="003F0023">
      <w:rPr>
        <w:noProof/>
        <w:color w:val="808080"/>
        <w:sz w:val="14"/>
        <w:lang w:val="en-US" w:eastAsia="en-US"/>
      </w:rPr>
      <w:fldChar w:fldCharType="begin"/>
    </w:r>
    <w:r w:rsidRPr="003F0023">
      <w:rPr>
        <w:noProof/>
        <w:color w:val="808080"/>
        <w:sz w:val="14"/>
        <w:lang w:val="en-US" w:eastAsia="en-US"/>
      </w:rPr>
      <w:instrText xml:space="preserve"> NUMPAGES </w:instrText>
    </w:r>
    <w:r w:rsidRPr="003F0023">
      <w:rPr>
        <w:noProof/>
        <w:color w:val="808080"/>
        <w:sz w:val="14"/>
        <w:lang w:val="en-US" w:eastAsia="en-US"/>
      </w:rPr>
      <w:fldChar w:fldCharType="separate"/>
    </w:r>
    <w:r>
      <w:rPr>
        <w:noProof/>
        <w:color w:val="808080"/>
        <w:sz w:val="14"/>
        <w:lang w:val="en-US" w:eastAsia="en-US"/>
      </w:rPr>
      <w:t>1</w:t>
    </w:r>
    <w:r w:rsidRPr="003F0023">
      <w:rPr>
        <w:noProof/>
        <w:color w:val="808080"/>
        <w:sz w:val="14"/>
        <w:lang w:val="en-US" w:eastAsia="en-US"/>
      </w:rPr>
      <w:fldChar w:fldCharType="end"/>
    </w:r>
  </w:p>
  <w:p w:rsidR="00744AB0" w:rsidRPr="003F0023" w:rsidRDefault="003F0023" w:rsidP="003F0023">
    <w:pPr>
      <w:spacing w:line="240" w:lineRule="auto"/>
      <w:rPr>
        <w:noProof/>
        <w:color w:val="808080"/>
        <w:sz w:val="14"/>
        <w:szCs w:val="14"/>
        <w:lang w:val="en-US" w:eastAsia="en-US"/>
      </w:rPr>
    </w:pPr>
    <w:r w:rsidRPr="003F0023">
      <w:rPr>
        <w:noProof/>
        <w:color w:val="808080"/>
        <w:sz w:val="14"/>
        <w:lang w:val="en-US" w:eastAsia="en-US"/>
      </w:rPr>
      <w:t>Sci_Y06_U3_SLR_IndigKnow</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3E063B99" wp14:editId="1029306E">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15="http://schemas.microsoft.com/office/word/2012/wordml"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1733A941" wp14:editId="33F0EC6B">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357A5B">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7A5B" w:rsidRDefault="00357A5B" w:rsidP="009336AD">
      <w:pPr>
        <w:spacing w:line="240" w:lineRule="auto"/>
      </w:pPr>
      <w:r>
        <w:separator/>
      </w:r>
    </w:p>
  </w:footnote>
  <w:footnote w:type="continuationSeparator" w:id="0">
    <w:p w:rsidR="00357A5B" w:rsidRDefault="00357A5B"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0F1F8A"/>
    <w:multiLevelType w:val="hybridMultilevel"/>
    <w:tmpl w:val="499693FC"/>
    <w:lvl w:ilvl="0" w:tplc="0C090003">
      <w:start w:val="1"/>
      <w:numFmt w:val="bullet"/>
      <w:lvlText w:val="o"/>
      <w:lvlJc w:val="left"/>
      <w:pPr>
        <w:ind w:left="1500" w:hanging="360"/>
      </w:pPr>
      <w:rPr>
        <w:rFonts w:ascii="Courier New" w:hAnsi="Courier New" w:cs="Courier New" w:hint="default"/>
      </w:rPr>
    </w:lvl>
    <w:lvl w:ilvl="1" w:tplc="0C090003" w:tentative="1">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abstractNum w:abstractNumId="3">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2A4CC3"/>
    <w:multiLevelType w:val="hybridMultilevel"/>
    <w:tmpl w:val="A6D4A062"/>
    <w:lvl w:ilvl="0" w:tplc="2D209DD0">
      <w:start w:val="1"/>
      <w:numFmt w:val="bullet"/>
      <w:pStyle w:val="C2CBullets"/>
      <w:lvlText w:val="•"/>
      <w:lvlJc w:val="left"/>
      <w:pPr>
        <w:tabs>
          <w:tab w:val="num" w:pos="0"/>
        </w:tabs>
        <w:ind w:left="360" w:hanging="360"/>
      </w:pPr>
      <w:rPr>
        <w:rFonts w:ascii="Arial Bold" w:hAnsi="Arial Bold" w:hint="default"/>
        <w:b/>
        <w:i w:val="0"/>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B10174"/>
    <w:multiLevelType w:val="hybridMultilevel"/>
    <w:tmpl w:val="C81C53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A5B"/>
    <w:rsid w:val="00002EC6"/>
    <w:rsid w:val="00027E98"/>
    <w:rsid w:val="000809CD"/>
    <w:rsid w:val="000E0C12"/>
    <w:rsid w:val="000E68A3"/>
    <w:rsid w:val="00104D4A"/>
    <w:rsid w:val="00115940"/>
    <w:rsid w:val="0013627B"/>
    <w:rsid w:val="001455A6"/>
    <w:rsid w:val="0018764C"/>
    <w:rsid w:val="001B6CF2"/>
    <w:rsid w:val="001C4FB6"/>
    <w:rsid w:val="001E1E29"/>
    <w:rsid w:val="00202BD4"/>
    <w:rsid w:val="002051C8"/>
    <w:rsid w:val="002322B3"/>
    <w:rsid w:val="00236AF9"/>
    <w:rsid w:val="002409D1"/>
    <w:rsid w:val="00241D0F"/>
    <w:rsid w:val="0024513B"/>
    <w:rsid w:val="0029364C"/>
    <w:rsid w:val="002C6336"/>
    <w:rsid w:val="002C645B"/>
    <w:rsid w:val="0030606E"/>
    <w:rsid w:val="00357A5B"/>
    <w:rsid w:val="003A044D"/>
    <w:rsid w:val="003C4A66"/>
    <w:rsid w:val="003F0023"/>
    <w:rsid w:val="00421DD3"/>
    <w:rsid w:val="00430A46"/>
    <w:rsid w:val="00450004"/>
    <w:rsid w:val="0045230A"/>
    <w:rsid w:val="00473BEA"/>
    <w:rsid w:val="004A24A2"/>
    <w:rsid w:val="004A30A4"/>
    <w:rsid w:val="004C32B1"/>
    <w:rsid w:val="004E22D9"/>
    <w:rsid w:val="00517391"/>
    <w:rsid w:val="0053643B"/>
    <w:rsid w:val="00542B02"/>
    <w:rsid w:val="00544C5C"/>
    <w:rsid w:val="0058063E"/>
    <w:rsid w:val="005A0A87"/>
    <w:rsid w:val="005C03F0"/>
    <w:rsid w:val="005C19EB"/>
    <w:rsid w:val="005E4A05"/>
    <w:rsid w:val="005F4120"/>
    <w:rsid w:val="00640C8E"/>
    <w:rsid w:val="006820E2"/>
    <w:rsid w:val="006A3E06"/>
    <w:rsid w:val="006D44F0"/>
    <w:rsid w:val="006E178B"/>
    <w:rsid w:val="006F115F"/>
    <w:rsid w:val="00736F05"/>
    <w:rsid w:val="00744AB0"/>
    <w:rsid w:val="00794BC4"/>
    <w:rsid w:val="00801F54"/>
    <w:rsid w:val="00816E63"/>
    <w:rsid w:val="00824567"/>
    <w:rsid w:val="0086013C"/>
    <w:rsid w:val="00874E9F"/>
    <w:rsid w:val="00887E6C"/>
    <w:rsid w:val="008944FD"/>
    <w:rsid w:val="008B6794"/>
    <w:rsid w:val="008C00E3"/>
    <w:rsid w:val="008D71C4"/>
    <w:rsid w:val="008E29AA"/>
    <w:rsid w:val="008E6468"/>
    <w:rsid w:val="008F2037"/>
    <w:rsid w:val="00902BD2"/>
    <w:rsid w:val="00910C53"/>
    <w:rsid w:val="009336AD"/>
    <w:rsid w:val="009817C4"/>
    <w:rsid w:val="009860AB"/>
    <w:rsid w:val="009A0104"/>
    <w:rsid w:val="009A220D"/>
    <w:rsid w:val="009A7F11"/>
    <w:rsid w:val="009B4312"/>
    <w:rsid w:val="009D52AF"/>
    <w:rsid w:val="009E3AFB"/>
    <w:rsid w:val="009F654C"/>
    <w:rsid w:val="00A12FD7"/>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D41AC"/>
    <w:rsid w:val="00C210C7"/>
    <w:rsid w:val="00C35DA7"/>
    <w:rsid w:val="00C415C5"/>
    <w:rsid w:val="00CA10A1"/>
    <w:rsid w:val="00CE7A43"/>
    <w:rsid w:val="00D00A71"/>
    <w:rsid w:val="00D02C1E"/>
    <w:rsid w:val="00D12D83"/>
    <w:rsid w:val="00D316F4"/>
    <w:rsid w:val="00D95FBD"/>
    <w:rsid w:val="00DA4FF5"/>
    <w:rsid w:val="00DD2059"/>
    <w:rsid w:val="00DE138A"/>
    <w:rsid w:val="00DE7750"/>
    <w:rsid w:val="00E622F1"/>
    <w:rsid w:val="00E66893"/>
    <w:rsid w:val="00E72819"/>
    <w:rsid w:val="00EA542A"/>
    <w:rsid w:val="00EE73C1"/>
    <w:rsid w:val="00EF0EEC"/>
    <w:rsid w:val="00F02EAA"/>
    <w:rsid w:val="00F11D4D"/>
    <w:rsid w:val="00F569C7"/>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qFormat/>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customStyle="1" w:styleId="C2CBullets">
    <w:name w:val="C2C Bullets"/>
    <w:basedOn w:val="C2CText"/>
    <w:qFormat/>
    <w:rsid w:val="00357A5B"/>
    <w:pPr>
      <w:numPr>
        <w:numId w:val="4"/>
      </w:numPr>
    </w:pPr>
  </w:style>
  <w:style w:type="paragraph" w:customStyle="1" w:styleId="C2CText">
    <w:name w:val="C2C Text"/>
    <w:basedOn w:val="Heading1"/>
    <w:qFormat/>
    <w:rsid w:val="00357A5B"/>
    <w:pPr>
      <w:keepNext/>
      <w:spacing w:before="40" w:after="40"/>
    </w:pPr>
    <w:rPr>
      <w:rFonts w:cs="Times New Roman"/>
      <w:b w:val="0"/>
      <w:bCs/>
      <w:kern w:val="32"/>
      <w:sz w:val="22"/>
      <w:szCs w:val="32"/>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qFormat/>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customStyle="1" w:styleId="C2CBullets">
    <w:name w:val="C2C Bullets"/>
    <w:basedOn w:val="C2CText"/>
    <w:qFormat/>
    <w:rsid w:val="00357A5B"/>
    <w:pPr>
      <w:numPr>
        <w:numId w:val="4"/>
      </w:numPr>
    </w:pPr>
  </w:style>
  <w:style w:type="paragraph" w:customStyle="1" w:styleId="C2CText">
    <w:name w:val="C2C Text"/>
    <w:basedOn w:val="Heading1"/>
    <w:qFormat/>
    <w:rsid w:val="00357A5B"/>
    <w:pPr>
      <w:keepNext/>
      <w:spacing w:before="40" w:after="40"/>
    </w:pPr>
    <w:rPr>
      <w:rFonts w:cs="Times New Roman"/>
      <w:b w:val="0"/>
      <w:bCs/>
      <w:kern w:val="32"/>
      <w:sz w:val="22"/>
      <w:szCs w:val="3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Uni">
  <a:themeElements>
    <a:clrScheme name="Languages">
      <a:dk1>
        <a:sysClr val="windowText" lastClr="000000"/>
      </a:dk1>
      <a:lt1>
        <a:sysClr val="window" lastClr="FFFFFF"/>
      </a:lt1>
      <a:dk2>
        <a:srgbClr val="1F497D"/>
      </a:dk2>
      <a:lt2>
        <a:srgbClr val="EEECE1"/>
      </a:lt2>
      <a:accent1>
        <a:srgbClr val="08959C"/>
      </a:accent1>
      <a:accent2>
        <a:srgbClr val="6FBDA3"/>
      </a:accent2>
      <a:accent3>
        <a:srgbClr val="C0E5E3"/>
      </a:accent3>
      <a:accent4>
        <a:srgbClr val="FFFFFF"/>
      </a:accent4>
      <a:accent5>
        <a:srgbClr val="FFFFFF"/>
      </a:accent5>
      <a:accent6>
        <a:srgbClr val="FFFFFF"/>
      </a:accent6>
      <a:hlink>
        <a:srgbClr val="FFFFFF"/>
      </a:hlink>
      <a:folHlink>
        <a:srgbClr val="FFFFFF"/>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3CDDD"/>
        </a:solidFill>
        <a:ln w="28575" cmpd="sng">
          <a:solidFill>
            <a:srgbClr val="4F81BD"/>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677AD8-5CF7-4B29-B7D3-96754F2D2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0</TotalTime>
  <Pages>1</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3060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SCHOFIELD, Helen</cp:lastModifiedBy>
  <cp:revision>2</cp:revision>
  <dcterms:created xsi:type="dcterms:W3CDTF">2017-04-26T02:07:00Z</dcterms:created>
  <dcterms:modified xsi:type="dcterms:W3CDTF">2017-04-26T02:07:00Z</dcterms:modified>
</cp:coreProperties>
</file>