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DSR Portal Webstack Progress Report</w:t>
      </w:r>
    </w:p>
    <w:p>
      <w:pPr>
        <w:spacing w:after="360"/>
      </w:pPr>
      <w:r>
        <w:rPr>
          <w:color w:val="555555"/>
          <w:sz w:val="24"/>
        </w:rPr>
        <w:t>Architecture, implementation status, cleanup summary, and next milestones</w:t>
      </w:r>
    </w:p>
    <w:tbl>
      <w:tblPr>
        <w:tblStyle w:val="TableGrid"/>
        <w:tblW w:type="dxa" w:w="9360"/>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pPr>
              <w:spacing w:after="40" w:line="264" w:lineRule="auto"/>
            </w:pPr>
            <w:r>
              <w:rPr>
                <w:rFonts w:ascii="Calibri" w:hAnsi="Calibri"/>
                <w:b/>
                <w:color w:val="0B2545"/>
                <w:sz w:val="19"/>
              </w:rPr>
              <w:t>Field</w:t>
            </w:r>
          </w:p>
        </w:tc>
        <w:tc>
          <w:tcPr>
            <w:tcW w:type="dxa" w:w="7160"/>
            <w:shd w:fill="F2F4F7"/>
            <w:vAlign w:val="center"/>
            <w:tcMar>
              <w:top w:w="80" w:type="dxa"/>
              <w:start w:w="120" w:type="dxa"/>
              <w:bottom w:w="80" w:type="dxa"/>
              <w:end w:w="120" w:type="dxa"/>
            </w:tcMar>
          </w:tcPr>
          <w:p>
            <w:pPr>
              <w:spacing w:after="40" w:line="264" w:lineRule="auto"/>
            </w:pPr>
            <w:r>
              <w:rPr>
                <w:rFonts w:ascii="Calibri" w:hAnsi="Calibri"/>
                <w:b/>
                <w:color w:val="0B2545"/>
                <w:sz w:val="19"/>
              </w:rPr>
              <w:t>Value</w:t>
            </w:r>
          </w:p>
        </w:tc>
      </w:tr>
      <w:tr>
        <w:tc>
          <w:tcPr>
            <w:tcW w:type="dxa" w:w="2200"/>
            <w:vAlign w:val="center"/>
            <w:tcMar>
              <w:top w:w="80" w:type="dxa"/>
              <w:start w:w="120" w:type="dxa"/>
              <w:bottom w:w="80" w:type="dxa"/>
              <w:end w:w="120" w:type="dxa"/>
            </w:tcMar>
          </w:tcPr>
          <w:p>
            <w:pPr>
              <w:spacing w:after="40" w:line="264" w:lineRule="auto"/>
            </w:pPr>
            <w:r>
              <w:rPr>
                <w:rFonts w:ascii="Calibri" w:hAnsi="Calibri"/>
                <w:sz w:val="19"/>
              </w:rPr>
              <w:t>Project</w:t>
            </w:r>
          </w:p>
        </w:tc>
        <w:tc>
          <w:tcPr>
            <w:tcW w:type="dxa" w:w="7160"/>
            <w:vAlign w:val="center"/>
            <w:tcMar>
              <w:top w:w="80" w:type="dxa"/>
              <w:start w:w="120" w:type="dxa"/>
              <w:bottom w:w="80" w:type="dxa"/>
              <w:end w:w="120" w:type="dxa"/>
            </w:tcMar>
          </w:tcPr>
          <w:p>
            <w:pPr>
              <w:spacing w:after="40" w:line="264" w:lineRule="auto"/>
            </w:pPr>
            <w:r>
              <w:rPr>
                <w:rFonts w:ascii="Calibri" w:hAnsi="Calibri"/>
                <w:sz w:val="19"/>
              </w:rPr>
              <w:t>updated-webstack-of-dsr--portal</w:t>
            </w:r>
          </w:p>
        </w:tc>
      </w:tr>
      <w:tr>
        <w:tc>
          <w:tcPr>
            <w:tcW w:type="dxa" w:w="2200"/>
            <w:vAlign w:val="center"/>
            <w:tcMar>
              <w:top w:w="80" w:type="dxa"/>
              <w:start w:w="120" w:type="dxa"/>
              <w:bottom w:w="80" w:type="dxa"/>
              <w:end w:w="120" w:type="dxa"/>
            </w:tcMar>
          </w:tcPr>
          <w:p>
            <w:pPr>
              <w:spacing w:after="40" w:line="264" w:lineRule="auto"/>
            </w:pPr>
            <w:r>
              <w:rPr>
                <w:rFonts w:ascii="Calibri" w:hAnsi="Calibri"/>
                <w:sz w:val="19"/>
              </w:rPr>
              <w:t>Prepared on</w:t>
            </w:r>
          </w:p>
        </w:tc>
        <w:tc>
          <w:tcPr>
            <w:tcW w:type="dxa" w:w="7160"/>
            <w:vAlign w:val="center"/>
            <w:tcMar>
              <w:top w:w="80" w:type="dxa"/>
              <w:start w:w="120" w:type="dxa"/>
              <w:bottom w:w="80" w:type="dxa"/>
              <w:end w:w="120" w:type="dxa"/>
            </w:tcMar>
          </w:tcPr>
          <w:p>
            <w:pPr>
              <w:spacing w:after="40" w:line="264" w:lineRule="auto"/>
            </w:pPr>
            <w:r>
              <w:rPr>
                <w:rFonts w:ascii="Calibri" w:hAnsi="Calibri"/>
                <w:sz w:val="19"/>
              </w:rPr>
              <w:t>11 June 2026</w:t>
            </w:r>
          </w:p>
        </w:tc>
      </w:tr>
      <w:tr>
        <w:tc>
          <w:tcPr>
            <w:tcW w:type="dxa" w:w="2200"/>
            <w:vAlign w:val="center"/>
            <w:tcMar>
              <w:top w:w="80" w:type="dxa"/>
              <w:start w:w="120" w:type="dxa"/>
              <w:bottom w:w="80" w:type="dxa"/>
              <w:end w:w="120" w:type="dxa"/>
            </w:tcMar>
          </w:tcPr>
          <w:p>
            <w:pPr>
              <w:spacing w:after="40" w:line="264" w:lineRule="auto"/>
            </w:pPr>
            <w:r>
              <w:rPr>
                <w:rFonts w:ascii="Calibri" w:hAnsi="Calibri"/>
                <w:sz w:val="19"/>
              </w:rPr>
              <w:t>Scope</w:t>
            </w:r>
          </w:p>
        </w:tc>
        <w:tc>
          <w:tcPr>
            <w:tcW w:type="dxa" w:w="7160"/>
            <w:vAlign w:val="center"/>
            <w:tcMar>
              <w:top w:w="80" w:type="dxa"/>
              <w:start w:w="120" w:type="dxa"/>
              <w:bottom w:w="80" w:type="dxa"/>
              <w:end w:w="120" w:type="dxa"/>
            </w:tcMar>
          </w:tcPr>
          <w:p>
            <w:pPr>
              <w:spacing w:after="40" w:line="264" w:lineRule="auto"/>
            </w:pPr>
            <w:r>
              <w:rPr>
                <w:rFonts w:ascii="Calibri" w:hAnsi="Calibri"/>
                <w:sz w:val="19"/>
              </w:rPr>
              <w:t>Full webstack: Next.js web app, Express API, Prisma/PostgreSQL schema, and legacy DSR portal frontend</w:t>
            </w:r>
          </w:p>
        </w:tc>
      </w:tr>
      <w:tr>
        <w:tc>
          <w:tcPr>
            <w:tcW w:type="dxa" w:w="2200"/>
            <w:vAlign w:val="center"/>
            <w:tcMar>
              <w:top w:w="80" w:type="dxa"/>
              <w:start w:w="120" w:type="dxa"/>
              <w:bottom w:w="80" w:type="dxa"/>
              <w:end w:w="120" w:type="dxa"/>
            </w:tcMar>
          </w:tcPr>
          <w:p>
            <w:pPr>
              <w:spacing w:after="40" w:line="264" w:lineRule="auto"/>
            </w:pPr>
            <w:r>
              <w:rPr>
                <w:rFonts w:ascii="Calibri" w:hAnsi="Calibri"/>
                <w:sz w:val="19"/>
              </w:rPr>
              <w:t>Report status</w:t>
            </w:r>
          </w:p>
        </w:tc>
        <w:tc>
          <w:tcPr>
            <w:tcW w:type="dxa" w:w="7160"/>
            <w:vAlign w:val="center"/>
            <w:tcMar>
              <w:top w:w="80" w:type="dxa"/>
              <w:start w:w="120" w:type="dxa"/>
              <w:bottom w:w="80" w:type="dxa"/>
              <w:end w:w="120" w:type="dxa"/>
            </w:tcMar>
          </w:tcPr>
          <w:p>
            <w:pPr>
              <w:spacing w:after="40" w:line="264" w:lineRule="auto"/>
            </w:pPr>
            <w:r>
              <w:rPr>
                <w:rFonts w:ascii="Calibri" w:hAnsi="Calibri"/>
                <w:sz w:val="19"/>
              </w:rPr>
              <w:t>Working progress report based on current local repository state</w:t>
            </w:r>
          </w:p>
        </w:tc>
      </w:tr>
    </w:tbl>
    <w:p>
      <w:r>
        <w:br w:type="page"/>
      </w:r>
    </w:p>
    <w:p>
      <w:pPr>
        <w:pStyle w:val="Heading1"/>
      </w:pPr>
      <w:r>
        <w:t>Executive Summary</w:t>
      </w:r>
    </w:p>
    <w:p>
      <w:r>
        <w:t>The DSR Portal repository is a modernized monorepo around a Next.js web package, an Express API package, a Prisma/PostgreSQL persistence layer, and a large legacy browser portal that remains the main feature surface for DSR data entry, annexures, PDF workflows, dashboard tracking, roles, and project phases.</w:t>
      </w:r>
    </w:p>
    <w:tbl>
      <w:tblPr>
        <w:tblStyle w:val="TableGrid"/>
        <w:tblW w:type="dxa" w:w="9360"/>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after="40"/>
            </w:pPr>
            <w:r>
              <w:rPr>
                <w:b/>
                <w:color w:val="1F4D78"/>
              </w:rPr>
              <w:t>Current direction:</w:t>
            </w:r>
            <w:r>
              <w:t xml:space="preserve"> Keep the working project stable while cleaning visible background effects, redundant temporary files, and low-risk noise. Large CSS override cleanup should be handled in reviewed batches because many duplicate-looking rules are cross-file fallbacks.</w:t>
            </w:r>
          </w:p>
        </w:tc>
      </w:tr>
    </w:tbl>
    <w:p/>
    <w:p>
      <w:pPr>
        <w:pStyle w:val="Heading1"/>
      </w:pPr>
      <w:r>
        <w:t>Webstack Overview</w:t>
      </w:r>
    </w:p>
    <w:tbl>
      <w:tblPr>
        <w:tblStyle w:val="TableGrid"/>
        <w:tblW w:type="dxa" w:w="9360"/>
        <w:tblLook w:firstColumn="1" w:firstRow="1" w:lastColumn="0" w:lastRow="0" w:noHBand="0" w:noVBand="1" w:val="04A0"/>
        <w:tblInd w:w="120" w:type="dxa"/>
      </w:tblPr>
      <w:tblGrid>
        <w:gridCol w:w="1700"/>
        <w:gridCol w:w="3300"/>
        <w:gridCol w:w="4360"/>
      </w:tblGrid>
      <w:tr>
        <w:tc>
          <w:tcPr>
            <w:tcW w:type="dxa" w:w="1700"/>
            <w:shd w:fill="F2F4F7"/>
            <w:vAlign w:val="center"/>
            <w:tcMar>
              <w:top w:w="80" w:type="dxa"/>
              <w:start w:w="120" w:type="dxa"/>
              <w:bottom w:w="80" w:type="dxa"/>
              <w:end w:w="120" w:type="dxa"/>
            </w:tcMar>
          </w:tcPr>
          <w:p>
            <w:pPr>
              <w:spacing w:after="40" w:line="264" w:lineRule="auto"/>
            </w:pPr>
            <w:r>
              <w:rPr>
                <w:rFonts w:ascii="Calibri" w:hAnsi="Calibri"/>
                <w:b/>
                <w:color w:val="0B2545"/>
                <w:sz w:val="19"/>
              </w:rPr>
              <w:t>Layer</w:t>
            </w:r>
          </w:p>
        </w:tc>
        <w:tc>
          <w:tcPr>
            <w:tcW w:type="dxa" w:w="3300"/>
            <w:shd w:fill="F2F4F7"/>
            <w:vAlign w:val="center"/>
            <w:tcMar>
              <w:top w:w="80" w:type="dxa"/>
              <w:start w:w="120" w:type="dxa"/>
              <w:bottom w:w="80" w:type="dxa"/>
              <w:end w:w="120" w:type="dxa"/>
            </w:tcMar>
          </w:tcPr>
          <w:p>
            <w:pPr>
              <w:spacing w:after="40" w:line="264" w:lineRule="auto"/>
            </w:pPr>
            <w:r>
              <w:rPr>
                <w:rFonts w:ascii="Calibri" w:hAnsi="Calibri"/>
                <w:b/>
                <w:color w:val="0B2545"/>
                <w:sz w:val="19"/>
              </w:rPr>
              <w:t>Current implementation</w:t>
            </w:r>
          </w:p>
        </w:tc>
        <w:tc>
          <w:tcPr>
            <w:tcW w:type="dxa" w:w="4360"/>
            <w:shd w:fill="F2F4F7"/>
            <w:vAlign w:val="center"/>
            <w:tcMar>
              <w:top w:w="80" w:type="dxa"/>
              <w:start w:w="120" w:type="dxa"/>
              <w:bottom w:w="80" w:type="dxa"/>
              <w:end w:w="120" w:type="dxa"/>
            </w:tcMar>
          </w:tcPr>
          <w:p>
            <w:pPr>
              <w:spacing w:after="40" w:line="264" w:lineRule="auto"/>
            </w:pPr>
            <w:r>
              <w:rPr>
                <w:rFonts w:ascii="Calibri" w:hAnsi="Calibri"/>
                <w:b/>
                <w:color w:val="0B2545"/>
                <w:sz w:val="19"/>
              </w:rPr>
              <w:t>Purpose</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Workspace</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npm workspaces: apps/* and packages/*</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Keeps API and web packages under one project root.</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Web</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Next.js 15, React 19, TypeScript, Tailwind-related utilities</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Modern app shell and local dev server on port 3000.</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Legacy UI</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Static HTML/CSS/JS bundle under apps/web/public/legacy</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Current DSR portal screens, dashboard, annexures, PDF preview, auth UI, and theme system.</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API</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Express 4, TypeScript, helmet, cors, rate limits, cookie-parser, JWT</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Authenticated backend routes for projects, files, reports, users, dashboard, and PDF actions.</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Database</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Prisma 6 with PostgreSQL datasource</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Users, projects, reports, workflow history, audit logs, and uploaded DSR files.</w:t>
            </w:r>
          </w:p>
        </w:tc>
      </w:tr>
      <w:tr>
        <w:tc>
          <w:tcPr>
            <w:tcW w:type="dxa" w:w="1700"/>
            <w:vAlign w:val="center"/>
            <w:tcMar>
              <w:top w:w="80" w:type="dxa"/>
              <w:start w:w="120" w:type="dxa"/>
              <w:bottom w:w="80" w:type="dxa"/>
              <w:end w:w="120" w:type="dxa"/>
            </w:tcMar>
          </w:tcPr>
          <w:p>
            <w:pPr>
              <w:spacing w:after="40" w:line="264" w:lineRule="auto"/>
            </w:pPr>
            <w:r>
              <w:rPr>
                <w:rFonts w:ascii="Calibri" w:hAnsi="Calibri"/>
                <w:sz w:val="19"/>
              </w:rPr>
              <w:t>Jobs/files</w:t>
            </w:r>
          </w:p>
        </w:tc>
        <w:tc>
          <w:tcPr>
            <w:tcW w:type="dxa" w:w="3300"/>
            <w:vAlign w:val="center"/>
            <w:tcMar>
              <w:top w:w="80" w:type="dxa"/>
              <w:start w:w="120" w:type="dxa"/>
              <w:bottom w:w="80" w:type="dxa"/>
              <w:end w:w="120" w:type="dxa"/>
            </w:tcMar>
          </w:tcPr>
          <w:p>
            <w:pPr>
              <w:spacing w:after="40" w:line="264" w:lineRule="auto"/>
            </w:pPr>
            <w:r>
              <w:rPr>
                <w:rFonts w:ascii="Calibri" w:hAnsi="Calibri"/>
                <w:sz w:val="19"/>
              </w:rPr>
              <w:t>BullMQ, multer, AWS S3 SDK</w:t>
            </w:r>
          </w:p>
        </w:tc>
        <w:tc>
          <w:tcPr>
            <w:tcW w:type="dxa" w:w="4360"/>
            <w:vAlign w:val="center"/>
            <w:tcMar>
              <w:top w:w="80" w:type="dxa"/>
              <w:start w:w="120" w:type="dxa"/>
              <w:bottom w:w="80" w:type="dxa"/>
              <w:end w:w="120" w:type="dxa"/>
            </w:tcMar>
          </w:tcPr>
          <w:p>
            <w:pPr>
              <w:spacing w:after="40" w:line="264" w:lineRule="auto"/>
            </w:pPr>
            <w:r>
              <w:rPr>
                <w:rFonts w:ascii="Calibri" w:hAnsi="Calibri"/>
                <w:sz w:val="19"/>
              </w:rPr>
              <w:t>Background job and file upload/storage foundation.</w:t>
            </w:r>
          </w:p>
        </w:tc>
      </w:tr>
    </w:tbl>
    <w:p>
      <w:pPr>
        <w:pStyle w:val="Heading1"/>
      </w:pPr>
      <w:r>
        <w:t>Repository Metrics</w:t>
      </w:r>
    </w:p>
    <w:tbl>
      <w:tblPr>
        <w:tblStyle w:val="TableGrid"/>
        <w:tblW w:type="dxa" w:w="9360"/>
        <w:tblLook w:firstColumn="1" w:firstRow="1" w:lastColumn="0" w:lastRow="0" w:noHBand="0" w:noVBand="1" w:val="04A0"/>
        <w:tblInd w:w="120" w:type="dxa"/>
      </w:tblPr>
      <w:tblGrid>
        <w:gridCol w:w="2600"/>
        <w:gridCol w:w="2000"/>
        <w:gridCol w:w="4760"/>
      </w:tblGrid>
      <w:tr>
        <w:tc>
          <w:tcPr>
            <w:tcW w:type="dxa" w:w="2600"/>
            <w:shd w:fill="F2F4F7"/>
            <w:vAlign w:val="center"/>
            <w:tcMar>
              <w:top w:w="80" w:type="dxa"/>
              <w:start w:w="120" w:type="dxa"/>
              <w:bottom w:w="80" w:type="dxa"/>
              <w:end w:w="120" w:type="dxa"/>
            </w:tcMar>
          </w:tcPr>
          <w:p>
            <w:pPr>
              <w:spacing w:after="40" w:line="264" w:lineRule="auto"/>
            </w:pPr>
            <w:r>
              <w:rPr>
                <w:rFonts w:ascii="Calibri" w:hAnsi="Calibri"/>
                <w:b/>
                <w:color w:val="0B2545"/>
                <w:sz w:val="19"/>
              </w:rPr>
              <w:t>Metric</w:t>
            </w:r>
          </w:p>
        </w:tc>
        <w:tc>
          <w:tcPr>
            <w:tcW w:type="dxa" w:w="2000"/>
            <w:shd w:fill="F2F4F7"/>
            <w:vAlign w:val="center"/>
            <w:tcMar>
              <w:top w:w="80" w:type="dxa"/>
              <w:start w:w="120" w:type="dxa"/>
              <w:bottom w:w="80" w:type="dxa"/>
              <w:end w:w="120" w:type="dxa"/>
            </w:tcMar>
          </w:tcPr>
          <w:p>
            <w:pPr>
              <w:spacing w:after="40" w:line="264" w:lineRule="auto"/>
            </w:pPr>
            <w:r>
              <w:rPr>
                <w:rFonts w:ascii="Calibri" w:hAnsi="Calibri"/>
                <w:b/>
                <w:color w:val="0B2545"/>
                <w:sz w:val="19"/>
              </w:rPr>
              <w:t>Value</w:t>
            </w:r>
          </w:p>
        </w:tc>
        <w:tc>
          <w:tcPr>
            <w:tcW w:type="dxa" w:w="4760"/>
            <w:shd w:fill="F2F4F7"/>
            <w:vAlign w:val="center"/>
            <w:tcMar>
              <w:top w:w="80" w:type="dxa"/>
              <w:start w:w="120" w:type="dxa"/>
              <w:bottom w:w="80" w:type="dxa"/>
              <w:end w:w="120" w:type="dxa"/>
            </w:tcMar>
          </w:tcPr>
          <w:p>
            <w:pPr>
              <w:spacing w:after="40" w:line="264" w:lineRule="auto"/>
            </w:pPr>
            <w:r>
              <w:rPr>
                <w:rFonts w:ascii="Calibri" w:hAnsi="Calibri"/>
                <w:b/>
                <w:color w:val="0B2545"/>
                <w:sz w:val="19"/>
              </w:rPr>
              <w:t>Notes</w:t>
            </w:r>
          </w:p>
        </w:tc>
      </w:tr>
      <w:tr>
        <w:tc>
          <w:tcPr>
            <w:tcW w:type="dxa" w:w="2600"/>
            <w:vAlign w:val="center"/>
            <w:tcMar>
              <w:top w:w="80" w:type="dxa"/>
              <w:start w:w="120" w:type="dxa"/>
              <w:bottom w:w="80" w:type="dxa"/>
              <w:end w:w="120" w:type="dxa"/>
            </w:tcMar>
          </w:tcPr>
          <w:p>
            <w:pPr>
              <w:spacing w:after="40" w:line="264" w:lineRule="auto"/>
            </w:pPr>
            <w:r>
              <w:rPr>
                <w:rFonts w:ascii="Calibri" w:hAnsi="Calibri"/>
                <w:sz w:val="19"/>
              </w:rPr>
              <w:t>Tracked source files counted</w:t>
            </w:r>
          </w:p>
        </w:tc>
        <w:tc>
          <w:tcPr>
            <w:tcW w:type="dxa" w:w="2000"/>
            <w:vAlign w:val="center"/>
            <w:tcMar>
              <w:top w:w="80" w:type="dxa"/>
              <w:start w:w="120" w:type="dxa"/>
              <w:bottom w:w="80" w:type="dxa"/>
              <w:end w:w="120" w:type="dxa"/>
            </w:tcMar>
          </w:tcPr>
          <w:p>
            <w:pPr>
              <w:spacing w:after="40" w:line="264" w:lineRule="auto"/>
            </w:pPr>
            <w:r>
              <w:rPr>
                <w:rFonts w:ascii="Calibri" w:hAnsi="Calibri"/>
                <w:sz w:val="19"/>
              </w:rPr>
              <w:t>153</w:t>
            </w:r>
          </w:p>
        </w:tc>
        <w:tc>
          <w:tcPr>
            <w:tcW w:type="dxa" w:w="4760"/>
            <w:vAlign w:val="center"/>
            <w:tcMar>
              <w:top w:w="80" w:type="dxa"/>
              <w:start w:w="120" w:type="dxa"/>
              <w:bottom w:w="80" w:type="dxa"/>
              <w:end w:w="120" w:type="dxa"/>
            </w:tcMar>
          </w:tcPr>
          <w:p>
            <w:pPr>
              <w:spacing w:after="40" w:line="264" w:lineRule="auto"/>
            </w:pPr>
            <w:r>
              <w:rPr>
                <w:rFonts w:ascii="Calibri" w:hAnsi="Calibri"/>
                <w:sz w:val="19"/>
              </w:rPr>
              <w:t>Excludes node_modules, .git, package-lock.json, and large legacy projects.json demo data.</w:t>
            </w:r>
          </w:p>
        </w:tc>
      </w:tr>
      <w:tr>
        <w:tc>
          <w:tcPr>
            <w:tcW w:type="dxa" w:w="2600"/>
            <w:vAlign w:val="center"/>
            <w:tcMar>
              <w:top w:w="80" w:type="dxa"/>
              <w:start w:w="120" w:type="dxa"/>
              <w:bottom w:w="80" w:type="dxa"/>
              <w:end w:w="120" w:type="dxa"/>
            </w:tcMar>
          </w:tcPr>
          <w:p>
            <w:pPr>
              <w:spacing w:after="40" w:line="264" w:lineRule="auto"/>
            </w:pPr>
            <w:r>
              <w:rPr>
                <w:rFonts w:ascii="Calibri" w:hAnsi="Calibri"/>
                <w:sz w:val="19"/>
              </w:rPr>
              <w:t>Approximate source lines</w:t>
            </w:r>
          </w:p>
        </w:tc>
        <w:tc>
          <w:tcPr>
            <w:tcW w:type="dxa" w:w="2000"/>
            <w:vAlign w:val="center"/>
            <w:tcMar>
              <w:top w:w="80" w:type="dxa"/>
              <w:start w:w="120" w:type="dxa"/>
              <w:bottom w:w="80" w:type="dxa"/>
              <w:end w:w="120" w:type="dxa"/>
            </w:tcMar>
          </w:tcPr>
          <w:p>
            <w:pPr>
              <w:spacing w:after="40" w:line="264" w:lineRule="auto"/>
            </w:pPr>
            <w:r>
              <w:rPr>
                <w:rFonts w:ascii="Calibri" w:hAnsi="Calibri"/>
                <w:sz w:val="19"/>
              </w:rPr>
              <w:t>39k-43k</w:t>
            </w:r>
          </w:p>
        </w:tc>
        <w:tc>
          <w:tcPr>
            <w:tcW w:type="dxa" w:w="4760"/>
            <w:vAlign w:val="center"/>
            <w:tcMar>
              <w:top w:w="80" w:type="dxa"/>
              <w:start w:w="120" w:type="dxa"/>
              <w:bottom w:w="80" w:type="dxa"/>
              <w:end w:w="120" w:type="dxa"/>
            </w:tcMar>
          </w:tcPr>
          <w:p>
            <w:pPr>
              <w:spacing w:after="40" w:line="264" w:lineRule="auto"/>
            </w:pPr>
            <w:r>
              <w:rPr>
                <w:rFonts w:ascii="Calibri" w:hAnsi="Calibri"/>
                <w:sz w:val="19"/>
              </w:rPr>
              <w:t>Range depends on whether generated HTML and binary-like assets are counted.</w:t>
            </w:r>
          </w:p>
        </w:tc>
      </w:tr>
      <w:tr>
        <w:tc>
          <w:tcPr>
            <w:tcW w:type="dxa" w:w="2600"/>
            <w:vAlign w:val="center"/>
            <w:tcMar>
              <w:top w:w="80" w:type="dxa"/>
              <w:start w:w="120" w:type="dxa"/>
              <w:bottom w:w="80" w:type="dxa"/>
              <w:end w:w="120" w:type="dxa"/>
            </w:tcMar>
          </w:tcPr>
          <w:p>
            <w:pPr>
              <w:spacing w:after="40" w:line="264" w:lineRule="auto"/>
            </w:pPr>
            <w:r>
              <w:rPr>
                <w:rFonts w:ascii="Calibri" w:hAnsi="Calibri"/>
                <w:sz w:val="19"/>
              </w:rPr>
              <w:t>Main legacy JS files</w:t>
            </w:r>
          </w:p>
        </w:tc>
        <w:tc>
          <w:tcPr>
            <w:tcW w:type="dxa" w:w="2000"/>
            <w:vAlign w:val="center"/>
            <w:tcMar>
              <w:top w:w="80" w:type="dxa"/>
              <w:start w:w="120" w:type="dxa"/>
              <w:bottom w:w="80" w:type="dxa"/>
              <w:end w:w="120" w:type="dxa"/>
            </w:tcMar>
          </w:tcPr>
          <w:p>
            <w:pPr>
              <w:spacing w:after="40" w:line="264" w:lineRule="auto"/>
            </w:pPr>
            <w:r>
              <w:rPr>
                <w:rFonts w:ascii="Calibri" w:hAnsi="Calibri"/>
                <w:sz w:val="19"/>
              </w:rPr>
              <w:t>42</w:t>
            </w:r>
          </w:p>
        </w:tc>
        <w:tc>
          <w:tcPr>
            <w:tcW w:type="dxa" w:w="4760"/>
            <w:vAlign w:val="center"/>
            <w:tcMar>
              <w:top w:w="80" w:type="dxa"/>
              <w:start w:w="120" w:type="dxa"/>
              <w:bottom w:w="80" w:type="dxa"/>
              <w:end w:w="120" w:type="dxa"/>
            </w:tcMar>
          </w:tcPr>
          <w:p>
            <w:pPr>
              <w:spacing w:after="40" w:line="264" w:lineRule="auto"/>
            </w:pPr>
            <w:r>
              <w:rPr>
                <w:rFonts w:ascii="Calibri" w:hAnsi="Calibri"/>
                <w:sz w:val="19"/>
              </w:rPr>
              <w:t>Annexures, project state, PDF preview, navigation, roles, auth, theme, and dashboard behavior.</w:t>
            </w:r>
          </w:p>
        </w:tc>
      </w:tr>
      <w:tr>
        <w:tc>
          <w:tcPr>
            <w:tcW w:type="dxa" w:w="2600"/>
            <w:vAlign w:val="center"/>
            <w:tcMar>
              <w:top w:w="80" w:type="dxa"/>
              <w:start w:w="120" w:type="dxa"/>
              <w:bottom w:w="80" w:type="dxa"/>
              <w:end w:w="120" w:type="dxa"/>
            </w:tcMar>
          </w:tcPr>
          <w:p>
            <w:pPr>
              <w:spacing w:after="40" w:line="264" w:lineRule="auto"/>
            </w:pPr>
            <w:r>
              <w:rPr>
                <w:rFonts w:ascii="Calibri" w:hAnsi="Calibri"/>
                <w:sz w:val="19"/>
              </w:rPr>
              <w:t>Main legacy HTML templates/files</w:t>
            </w:r>
          </w:p>
        </w:tc>
        <w:tc>
          <w:tcPr>
            <w:tcW w:type="dxa" w:w="2000"/>
            <w:vAlign w:val="center"/>
            <w:tcMar>
              <w:top w:w="80" w:type="dxa"/>
              <w:start w:w="120" w:type="dxa"/>
              <w:bottom w:w="80" w:type="dxa"/>
              <w:end w:w="120" w:type="dxa"/>
            </w:tcMar>
          </w:tcPr>
          <w:p>
            <w:pPr>
              <w:spacing w:after="40" w:line="264" w:lineRule="auto"/>
            </w:pPr>
            <w:r>
              <w:rPr>
                <w:rFonts w:ascii="Calibri" w:hAnsi="Calibri"/>
                <w:sz w:val="19"/>
              </w:rPr>
              <w:t>46</w:t>
            </w:r>
          </w:p>
        </w:tc>
        <w:tc>
          <w:tcPr>
            <w:tcW w:type="dxa" w:w="4760"/>
            <w:vAlign w:val="center"/>
            <w:tcMar>
              <w:top w:w="80" w:type="dxa"/>
              <w:start w:w="120" w:type="dxa"/>
              <w:bottom w:w="80" w:type="dxa"/>
              <w:end w:w="120" w:type="dxa"/>
            </w:tcMar>
          </w:tcPr>
          <w:p>
            <w:pPr>
              <w:spacing w:after="40" w:line="264" w:lineRule="auto"/>
            </w:pPr>
            <w:r>
              <w:rPr>
                <w:rFonts w:ascii="Calibri" w:hAnsi="Calibri"/>
                <w:sz w:val="19"/>
              </w:rPr>
              <w:t>Build script composes templates into login.html, home.html, and index.html.</w:t>
            </w:r>
          </w:p>
        </w:tc>
      </w:tr>
      <w:tr>
        <w:tc>
          <w:tcPr>
            <w:tcW w:type="dxa" w:w="2600"/>
            <w:vAlign w:val="center"/>
            <w:tcMar>
              <w:top w:w="80" w:type="dxa"/>
              <w:start w:w="120" w:type="dxa"/>
              <w:bottom w:w="80" w:type="dxa"/>
              <w:end w:w="120" w:type="dxa"/>
            </w:tcMar>
          </w:tcPr>
          <w:p>
            <w:pPr>
              <w:spacing w:after="40" w:line="264" w:lineRule="auto"/>
            </w:pPr>
            <w:r>
              <w:rPr>
                <w:rFonts w:ascii="Calibri" w:hAnsi="Calibri"/>
                <w:sz w:val="19"/>
              </w:rPr>
              <w:t>Main CSS files</w:t>
            </w:r>
          </w:p>
        </w:tc>
        <w:tc>
          <w:tcPr>
            <w:tcW w:type="dxa" w:w="2000"/>
            <w:vAlign w:val="center"/>
            <w:tcMar>
              <w:top w:w="80" w:type="dxa"/>
              <w:start w:w="120" w:type="dxa"/>
              <w:bottom w:w="80" w:type="dxa"/>
              <w:end w:w="120" w:type="dxa"/>
            </w:tcMar>
          </w:tcPr>
          <w:p>
            <w:pPr>
              <w:spacing w:after="40" w:line="264" w:lineRule="auto"/>
            </w:pPr>
            <w:r>
              <w:rPr>
                <w:rFonts w:ascii="Calibri" w:hAnsi="Calibri"/>
                <w:sz w:val="19"/>
              </w:rPr>
              <w:t>3</w:t>
            </w:r>
          </w:p>
        </w:tc>
        <w:tc>
          <w:tcPr>
            <w:tcW w:type="dxa" w:w="4760"/>
            <w:vAlign w:val="center"/>
            <w:tcMar>
              <w:top w:w="80" w:type="dxa"/>
              <w:start w:w="120" w:type="dxa"/>
              <w:bottom w:w="80" w:type="dxa"/>
              <w:end w:w="120" w:type="dxa"/>
            </w:tcMar>
          </w:tcPr>
          <w:p>
            <w:pPr>
              <w:spacing w:after="40" w:line="264" w:lineRule="auto"/>
            </w:pPr>
            <w:r>
              <w:rPr>
                <w:rFonts w:ascii="Calibri" w:hAnsi="Calibri"/>
                <w:sz w:val="19"/>
              </w:rPr>
              <w:t>styles.css, premium-theme.css, and supporting style assets.</w:t>
            </w:r>
          </w:p>
        </w:tc>
      </w:tr>
    </w:tbl>
    <w:p>
      <w:pPr>
        <w:pStyle w:val="Heading1"/>
      </w:pPr>
      <w:r>
        <w:t>Implemented Functional Areas</w:t>
      </w:r>
    </w:p>
    <w:p>
      <w:pPr>
        <w:pStyle w:val="ListBullet"/>
        <w:spacing w:after="80"/>
      </w:pPr>
      <w:r>
        <w:t>Role-aware login and portal access paths for staff, government authority, and SDLC style entry points.</w:t>
      </w:r>
    </w:p>
    <w:p>
      <w:pPr>
        <w:pStyle w:val="ListBullet"/>
        <w:spacing w:after="80"/>
      </w:pPr>
      <w:r>
        <w:t>Project dashboard with district filtering, project cards, progress/status indicators, and shortcut search.</w:t>
      </w:r>
    </w:p>
    <w:p>
      <w:pPr>
        <w:pStyle w:val="ListBullet"/>
        <w:spacing w:after="80"/>
      </w:pPr>
      <w:r>
        <w:t>Project lifecycle storage including active project state, phase metadata, phase locks, and child phase creation.</w:t>
      </w:r>
    </w:p>
    <w:p>
      <w:pPr>
        <w:pStyle w:val="ListBullet"/>
        <w:spacing w:after="80"/>
      </w:pPr>
      <w:r>
        <w:t>Front matter, chapters, plates, annexures, more-annexures, tables, graphs, signatures, workflow, and audit views.</w:t>
      </w:r>
    </w:p>
    <w:p>
      <w:pPr>
        <w:pStyle w:val="ListBullet"/>
        <w:spacing w:after="80"/>
      </w:pPr>
      <w:r>
        <w:t>PDF upload, preview, generated final PDF download, and annexure-specific PDF generation flows.</w:t>
      </w:r>
    </w:p>
    <w:p>
      <w:pPr>
        <w:pStyle w:val="ListBullet"/>
        <w:spacing w:after="80"/>
      </w:pPr>
      <w:r>
        <w:t>Backend authentication, dashboard stats, project CRUD/state persistence, report workflow, file upload, jobs, users, and PDF endpoints.</w:t>
      </w:r>
    </w:p>
    <w:p>
      <w:pPr>
        <w:pStyle w:val="ListBullet"/>
        <w:spacing w:after="80"/>
      </w:pPr>
      <w:r>
        <w:t>Dark/light theme handling with visual branding, watermark, and legacy app styling continuity.</w:t>
      </w:r>
    </w:p>
    <w:p>
      <w:pPr>
        <w:pStyle w:val="Heading1"/>
      </w:pPr>
      <w:r>
        <w:t>Recent Progress Completed</w:t>
      </w:r>
    </w:p>
    <w:tbl>
      <w:tblPr>
        <w:tblStyle w:val="TableGrid"/>
        <w:tblW w:type="dxa" w:w="9360"/>
        <w:tblLook w:firstColumn="1" w:firstRow="1" w:lastColumn="0" w:lastRow="0" w:noHBand="0" w:noVBand="1" w:val="04A0"/>
        <w:tblInd w:w="120" w:type="dxa"/>
      </w:tblPr>
      <w:tblGrid>
        <w:gridCol w:w="2100"/>
        <w:gridCol w:w="4300"/>
        <w:gridCol w:w="2960"/>
      </w:tblGrid>
      <w:tr>
        <w:tc>
          <w:tcPr>
            <w:tcW w:type="dxa" w:w="2100"/>
            <w:shd w:fill="F2F4F7"/>
            <w:vAlign w:val="center"/>
            <w:tcMar>
              <w:top w:w="80" w:type="dxa"/>
              <w:start w:w="120" w:type="dxa"/>
              <w:bottom w:w="80" w:type="dxa"/>
              <w:end w:w="120" w:type="dxa"/>
            </w:tcMar>
          </w:tcPr>
          <w:p>
            <w:pPr>
              <w:spacing w:after="40" w:line="264" w:lineRule="auto"/>
            </w:pPr>
            <w:r>
              <w:rPr>
                <w:rFonts w:ascii="Calibri" w:hAnsi="Calibri"/>
                <w:b/>
                <w:color w:val="0B2545"/>
                <w:sz w:val="19"/>
              </w:rPr>
              <w:t>Area</w:t>
            </w:r>
          </w:p>
        </w:tc>
        <w:tc>
          <w:tcPr>
            <w:tcW w:type="dxa" w:w="4300"/>
            <w:shd w:fill="F2F4F7"/>
            <w:vAlign w:val="center"/>
            <w:tcMar>
              <w:top w:w="80" w:type="dxa"/>
              <w:start w:w="120" w:type="dxa"/>
              <w:bottom w:w="80" w:type="dxa"/>
              <w:end w:w="120" w:type="dxa"/>
            </w:tcMar>
          </w:tcPr>
          <w:p>
            <w:pPr>
              <w:spacing w:after="40" w:line="264" w:lineRule="auto"/>
            </w:pPr>
            <w:r>
              <w:rPr>
                <w:rFonts w:ascii="Calibri" w:hAnsi="Calibri"/>
                <w:b/>
                <w:color w:val="0B2545"/>
                <w:sz w:val="19"/>
              </w:rPr>
              <w:t>Progress</w:t>
            </w:r>
          </w:p>
        </w:tc>
        <w:tc>
          <w:tcPr>
            <w:tcW w:type="dxa" w:w="2960"/>
            <w:shd w:fill="F2F4F7"/>
            <w:vAlign w:val="center"/>
            <w:tcMar>
              <w:top w:w="80" w:type="dxa"/>
              <w:start w:w="120" w:type="dxa"/>
              <w:bottom w:w="80" w:type="dxa"/>
              <w:end w:w="120" w:type="dxa"/>
            </w:tcMar>
          </w:tcPr>
          <w:p>
            <w:pPr>
              <w:spacing w:after="40" w:line="264" w:lineRule="auto"/>
            </w:pPr>
            <w:r>
              <w:rPr>
                <w:rFonts w:ascii="Calibri" w:hAnsi="Calibri"/>
                <w:b/>
                <w:color w:val="0B2545"/>
                <w:sz w:val="19"/>
              </w:rPr>
              <w:t>Project impact</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Background system</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Removed old DOM-based live-lines overlay/classes and replaced with CSS-only global grid plus four floating directional lines.</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Lower DOM noise; same visible intent; no feature logic changed.</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Dark mode visible lines</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Removed the earlier harsh neon/drop-shadow line traces from the old system.</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Dark mode background is calmer and less intrusive.</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Templates/generated HTML</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Regenerated login.html, home.html, and index.html from templates with asset version grid-live-lines-cleanup-20260611.</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Browser cache receives the corrected CSS/JS version.</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Cleanup</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Deleted fix.js, an unused one-off encoding repair script with no app references.</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Safe removal; not part of runtime.</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Console noise</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Removed harmless informational console logs from frontmatter/main paths while keeping user-facing fallbacks.</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Cleaner dev console without changing UI behavior.</w:t>
            </w:r>
          </w:p>
        </w:tc>
      </w:tr>
      <w:tr>
        <w:tc>
          <w:tcPr>
            <w:tcW w:type="dxa" w:w="2100"/>
            <w:vAlign w:val="center"/>
            <w:tcMar>
              <w:top w:w="80" w:type="dxa"/>
              <w:start w:w="120" w:type="dxa"/>
              <w:bottom w:w="80" w:type="dxa"/>
              <w:end w:w="120" w:type="dxa"/>
            </w:tcMar>
          </w:tcPr>
          <w:p>
            <w:pPr>
              <w:spacing w:after="40" w:line="264" w:lineRule="auto"/>
            </w:pPr>
            <w:r>
              <w:rPr>
                <w:rFonts w:ascii="Calibri" w:hAnsi="Calibri"/>
                <w:sz w:val="19"/>
              </w:rPr>
              <w:t>CSS safety</w:t>
            </w:r>
          </w:p>
        </w:tc>
        <w:tc>
          <w:tcPr>
            <w:tcW w:type="dxa" w:w="4300"/>
            <w:vAlign w:val="center"/>
            <w:tcMar>
              <w:top w:w="80" w:type="dxa"/>
              <w:start w:w="120" w:type="dxa"/>
              <w:bottom w:w="80" w:type="dxa"/>
              <w:end w:w="120" w:type="dxa"/>
            </w:tcMar>
          </w:tcPr>
          <w:p>
            <w:pPr>
              <w:spacing w:after="40" w:line="264" w:lineRule="auto"/>
            </w:pPr>
            <w:r>
              <w:rPr>
                <w:rFonts w:ascii="Calibri" w:hAnsi="Calibri"/>
                <w:sz w:val="19"/>
              </w:rPr>
              <w:t>Restored malformed reset selectors and converted an orphan heading into a comment.</w:t>
            </w:r>
          </w:p>
        </w:tc>
        <w:tc>
          <w:tcPr>
            <w:tcW w:type="dxa" w:w="2960"/>
            <w:vAlign w:val="center"/>
            <w:tcMar>
              <w:top w:w="80" w:type="dxa"/>
              <w:start w:w="120" w:type="dxa"/>
              <w:bottom w:w="80" w:type="dxa"/>
              <w:end w:w="120" w:type="dxa"/>
            </w:tcMar>
          </w:tcPr>
          <w:p>
            <w:pPr>
              <w:spacing w:after="40" w:line="264" w:lineRule="auto"/>
            </w:pPr>
            <w:r>
              <w:rPr>
                <w:rFonts w:ascii="Calibri" w:hAnsi="Calibri"/>
                <w:sz w:val="19"/>
              </w:rPr>
              <w:t>CSS parses cleanly and avoids accidental invalid selector behavior.</w:t>
            </w:r>
          </w:p>
        </w:tc>
      </w:tr>
    </w:tbl>
    <w:p>
      <w:pPr>
        <w:pStyle w:val="Heading1"/>
      </w:pPr>
      <w:r>
        <w:t>Current Verification Status</w:t>
      </w:r>
    </w:p>
    <w:tbl>
      <w:tblPr>
        <w:tblStyle w:val="TableGrid"/>
        <w:tblW w:type="dxa" w:w="9360"/>
        <w:tblLook w:firstColumn="1" w:firstRow="1" w:lastColumn="0" w:lastRow="0" w:noHBand="0" w:noVBand="1" w:val="04A0"/>
        <w:tblInd w:w="120" w:type="dxa"/>
      </w:tblPr>
      <w:tblGrid>
        <w:gridCol w:w="3300"/>
        <w:gridCol w:w="6060"/>
      </w:tblGrid>
      <w:tr>
        <w:tc>
          <w:tcPr>
            <w:tcW w:type="dxa" w:w="3300"/>
            <w:shd w:fill="F2F4F7"/>
            <w:vAlign w:val="center"/>
            <w:tcMar>
              <w:top w:w="80" w:type="dxa"/>
              <w:start w:w="120" w:type="dxa"/>
              <w:bottom w:w="80" w:type="dxa"/>
              <w:end w:w="120" w:type="dxa"/>
            </w:tcMar>
          </w:tcPr>
          <w:p>
            <w:pPr>
              <w:spacing w:after="40" w:line="264" w:lineRule="auto"/>
            </w:pPr>
            <w:r>
              <w:rPr>
                <w:rFonts w:ascii="Calibri" w:hAnsi="Calibri"/>
                <w:b/>
                <w:color w:val="0B2545"/>
                <w:sz w:val="19"/>
              </w:rPr>
              <w:t>Check</w:t>
            </w:r>
          </w:p>
        </w:tc>
        <w:tc>
          <w:tcPr>
            <w:tcW w:type="dxa" w:w="6060"/>
            <w:shd w:fill="F2F4F7"/>
            <w:vAlign w:val="center"/>
            <w:tcMar>
              <w:top w:w="80" w:type="dxa"/>
              <w:start w:w="120" w:type="dxa"/>
              <w:bottom w:w="80" w:type="dxa"/>
              <w:end w:w="120" w:type="dxa"/>
            </w:tcMar>
          </w:tcPr>
          <w:p>
            <w:pPr>
              <w:spacing w:after="40" w:line="264" w:lineRule="auto"/>
            </w:pPr>
            <w:r>
              <w:rPr>
                <w:rFonts w:ascii="Calibri" w:hAnsi="Calibri"/>
                <w:b/>
                <w:color w:val="0B2545"/>
                <w:sz w:val="19"/>
              </w:rPr>
              <w:t>Result</w:t>
            </w:r>
          </w:p>
        </w:tc>
      </w:tr>
      <w:tr>
        <w:tc>
          <w:tcPr>
            <w:tcW w:type="dxa" w:w="3300"/>
            <w:vAlign w:val="center"/>
            <w:tcMar>
              <w:top w:w="80" w:type="dxa"/>
              <w:start w:w="120" w:type="dxa"/>
              <w:bottom w:w="80" w:type="dxa"/>
              <w:end w:w="120" w:type="dxa"/>
            </w:tcMar>
          </w:tcPr>
          <w:p>
            <w:pPr>
              <w:spacing w:after="40" w:line="264" w:lineRule="auto"/>
            </w:pPr>
            <w:r>
              <w:rPr>
                <w:rFonts w:ascii="Calibri" w:hAnsi="Calibri"/>
                <w:sz w:val="19"/>
              </w:rPr>
              <w:t>CSS parse check</w:t>
            </w:r>
          </w:p>
        </w:tc>
        <w:tc>
          <w:tcPr>
            <w:tcW w:type="dxa" w:w="6060"/>
            <w:vAlign w:val="center"/>
            <w:tcMar>
              <w:top w:w="80" w:type="dxa"/>
              <w:start w:w="120" w:type="dxa"/>
              <w:bottom w:w="80" w:type="dxa"/>
              <w:end w:w="120" w:type="dxa"/>
            </w:tcMar>
          </w:tcPr>
          <w:p>
            <w:pPr>
              <w:spacing w:after="40" w:line="264" w:lineRule="auto"/>
            </w:pPr>
            <w:r>
              <w:rPr>
                <w:rFonts w:ascii="Calibri" w:hAnsi="Calibri"/>
                <w:sz w:val="19"/>
              </w:rPr>
              <w:t>styles.css OK; premium-theme.css OK.</w:t>
            </w:r>
          </w:p>
        </w:tc>
      </w:tr>
      <w:tr>
        <w:tc>
          <w:tcPr>
            <w:tcW w:type="dxa" w:w="3300"/>
            <w:vAlign w:val="center"/>
            <w:tcMar>
              <w:top w:w="80" w:type="dxa"/>
              <w:start w:w="120" w:type="dxa"/>
              <w:bottom w:w="80" w:type="dxa"/>
              <w:end w:w="120" w:type="dxa"/>
            </w:tcMar>
          </w:tcPr>
          <w:p>
            <w:pPr>
              <w:spacing w:after="40" w:line="264" w:lineRule="auto"/>
            </w:pPr>
            <w:r>
              <w:rPr>
                <w:rFonts w:ascii="Calibri" w:hAnsi="Calibri"/>
                <w:sz w:val="19"/>
              </w:rPr>
              <w:t>Old line system search</w:t>
            </w:r>
          </w:p>
        </w:tc>
        <w:tc>
          <w:tcPr>
            <w:tcW w:type="dxa" w:w="6060"/>
            <w:vAlign w:val="center"/>
            <w:tcMar>
              <w:top w:w="80" w:type="dxa"/>
              <w:start w:w="120" w:type="dxa"/>
              <w:bottom w:w="80" w:type="dxa"/>
              <w:end w:w="120" w:type="dxa"/>
            </w:tcMar>
          </w:tcPr>
          <w:p>
            <w:pPr>
              <w:spacing w:after="40" w:line="264" w:lineRule="auto"/>
            </w:pPr>
            <w:r>
              <w:rPr>
                <w:rFonts w:ascii="Calibri" w:hAnsi="Calibri"/>
                <w:sz w:val="19"/>
              </w:rPr>
              <w:t>No live-lines-overlay, interactive-grid-bg, live-line, old scan animation, dense/neon line variant, or old drop-shadow trace found.</w:t>
            </w:r>
          </w:p>
        </w:tc>
      </w:tr>
      <w:tr>
        <w:tc>
          <w:tcPr>
            <w:tcW w:type="dxa" w:w="3300"/>
            <w:vAlign w:val="center"/>
            <w:tcMar>
              <w:top w:w="80" w:type="dxa"/>
              <w:start w:w="120" w:type="dxa"/>
              <w:bottom w:w="80" w:type="dxa"/>
              <w:end w:w="120" w:type="dxa"/>
            </w:tcMar>
          </w:tcPr>
          <w:p>
            <w:pPr>
              <w:spacing w:after="40" w:line="264" w:lineRule="auto"/>
            </w:pPr>
            <w:r>
              <w:rPr>
                <w:rFonts w:ascii="Calibri" w:hAnsi="Calibri"/>
                <w:sz w:val="19"/>
              </w:rPr>
              <w:t>Scoped diff for cleanup</w:t>
            </w:r>
          </w:p>
        </w:tc>
        <w:tc>
          <w:tcPr>
            <w:tcW w:type="dxa" w:w="6060"/>
            <w:vAlign w:val="center"/>
            <w:tcMar>
              <w:top w:w="80" w:type="dxa"/>
              <w:start w:w="120" w:type="dxa"/>
              <w:bottom w:w="80" w:type="dxa"/>
              <w:end w:w="120" w:type="dxa"/>
            </w:tcMar>
          </w:tcPr>
          <w:p>
            <w:pPr>
              <w:spacing w:after="40" w:line="264" w:lineRule="auto"/>
            </w:pPr>
            <w:r>
              <w:rPr>
                <w:rFonts w:ascii="Calibri" w:hAnsi="Calibri"/>
                <w:sz w:val="19"/>
              </w:rPr>
              <w:t>11 legacy files changed in the cleanup scope: 179 insertions and 2,338 deletions, mostly comments/blank lines plus old line system removal.</w:t>
            </w:r>
          </w:p>
        </w:tc>
      </w:tr>
      <w:tr>
        <w:tc>
          <w:tcPr>
            <w:tcW w:type="dxa" w:w="3300"/>
            <w:vAlign w:val="center"/>
            <w:tcMar>
              <w:top w:w="80" w:type="dxa"/>
              <w:start w:w="120" w:type="dxa"/>
              <w:bottom w:w="80" w:type="dxa"/>
              <w:end w:w="120" w:type="dxa"/>
            </w:tcMar>
          </w:tcPr>
          <w:p>
            <w:pPr>
              <w:spacing w:after="40" w:line="264" w:lineRule="auto"/>
            </w:pPr>
            <w:r>
              <w:rPr>
                <w:rFonts w:ascii="Calibri" w:hAnsi="Calibri"/>
                <w:sz w:val="19"/>
              </w:rPr>
              <w:t>Risk posture</w:t>
            </w:r>
          </w:p>
        </w:tc>
        <w:tc>
          <w:tcPr>
            <w:tcW w:type="dxa" w:w="6060"/>
            <w:vAlign w:val="center"/>
            <w:tcMar>
              <w:top w:w="80" w:type="dxa"/>
              <w:start w:w="120" w:type="dxa"/>
              <w:bottom w:w="80" w:type="dxa"/>
              <w:end w:w="120" w:type="dxa"/>
            </w:tcMar>
          </w:tcPr>
          <w:p>
            <w:pPr>
              <w:spacing w:after="40" w:line="264" w:lineRule="auto"/>
            </w:pPr>
            <w:r>
              <w:rPr>
                <w:rFonts w:ascii="Calibri" w:hAnsi="Calibri"/>
                <w:sz w:val="19"/>
              </w:rPr>
              <w:t>No aggressive CSS override deletion performed beyond low-risk exact/unused items.</w:t>
            </w:r>
          </w:p>
        </w:tc>
      </w:tr>
    </w:tbl>
    <w:p>
      <w:pPr>
        <w:pStyle w:val="Heading1"/>
      </w:pPr>
      <w:r>
        <w:t>Backend/Data Model Progress</w:t>
      </w:r>
    </w:p>
    <w:tbl>
      <w:tblPr>
        <w:tblStyle w:val="TableGrid"/>
        <w:tblW w:type="dxa" w:w="9360"/>
        <w:tblLook w:firstColumn="1" w:firstRow="1" w:lastColumn="0" w:lastRow="0" w:noHBand="0" w:noVBand="1" w:val="04A0"/>
        <w:tblInd w:w="120" w:type="dxa"/>
      </w:tblPr>
      <w:tblGrid>
        <w:gridCol w:w="3000"/>
        <w:gridCol w:w="6360"/>
      </w:tblGrid>
      <w:tr>
        <w:tc>
          <w:tcPr>
            <w:tcW w:type="dxa" w:w="3000"/>
            <w:shd w:fill="F2F4F7"/>
            <w:vAlign w:val="center"/>
            <w:tcMar>
              <w:top w:w="80" w:type="dxa"/>
              <w:start w:w="120" w:type="dxa"/>
              <w:bottom w:w="80" w:type="dxa"/>
              <w:end w:w="120" w:type="dxa"/>
            </w:tcMar>
          </w:tcPr>
          <w:p>
            <w:pPr>
              <w:spacing w:after="40" w:line="264" w:lineRule="auto"/>
            </w:pPr>
            <w:r>
              <w:rPr>
                <w:rFonts w:ascii="Calibri" w:hAnsi="Calibri"/>
                <w:b/>
                <w:color w:val="0B2545"/>
                <w:sz w:val="19"/>
              </w:rPr>
              <w:t>Component</w:t>
            </w:r>
          </w:p>
        </w:tc>
        <w:tc>
          <w:tcPr>
            <w:tcW w:type="dxa" w:w="6360"/>
            <w:shd w:fill="F2F4F7"/>
            <w:vAlign w:val="center"/>
            <w:tcMar>
              <w:top w:w="80" w:type="dxa"/>
              <w:start w:w="120" w:type="dxa"/>
              <w:bottom w:w="80" w:type="dxa"/>
              <w:end w:w="120" w:type="dxa"/>
            </w:tcMar>
          </w:tcPr>
          <w:p>
            <w:pPr>
              <w:spacing w:after="40" w:line="264" w:lineRule="auto"/>
            </w:pPr>
            <w:r>
              <w:rPr>
                <w:rFonts w:ascii="Calibri" w:hAnsi="Calibri"/>
                <w:b/>
                <w:color w:val="0B2545"/>
                <w:sz w:val="19"/>
              </w:rPr>
              <w:t>Status</w:t>
            </w:r>
          </w:p>
        </w:tc>
      </w:tr>
      <w:tr>
        <w:tc>
          <w:tcPr>
            <w:tcW w:type="dxa" w:w="3000"/>
            <w:vAlign w:val="center"/>
            <w:tcMar>
              <w:top w:w="80" w:type="dxa"/>
              <w:start w:w="120" w:type="dxa"/>
              <w:bottom w:w="80" w:type="dxa"/>
              <w:end w:w="120" w:type="dxa"/>
            </w:tcMar>
          </w:tcPr>
          <w:p>
            <w:pPr>
              <w:spacing w:after="40" w:line="264" w:lineRule="auto"/>
            </w:pPr>
            <w:r>
              <w:rPr>
                <w:rFonts w:ascii="Calibri" w:hAnsi="Calibri"/>
                <w:sz w:val="19"/>
              </w:rPr>
              <w:t>Prisma enums</w:t>
            </w:r>
          </w:p>
        </w:tc>
        <w:tc>
          <w:tcPr>
            <w:tcW w:type="dxa" w:w="6360"/>
            <w:vAlign w:val="center"/>
            <w:tcMar>
              <w:top w:w="80" w:type="dxa"/>
              <w:start w:w="120" w:type="dxa"/>
              <w:bottom w:w="80" w:type="dxa"/>
              <w:end w:w="120" w:type="dxa"/>
            </w:tcMar>
          </w:tcPr>
          <w:p>
            <w:pPr>
              <w:spacing w:after="40" w:line="264" w:lineRule="auto"/>
            </w:pPr>
            <w:r>
              <w:rPr>
                <w:rFonts w:ascii="Calibri" w:hAnsi="Calibri"/>
                <w:sz w:val="19"/>
              </w:rPr>
              <w:t>Role, ProjectStatus, and ReportStatus are present.</w:t>
            </w:r>
          </w:p>
        </w:tc>
      </w:tr>
      <w:tr>
        <w:tc>
          <w:tcPr>
            <w:tcW w:type="dxa" w:w="3000"/>
            <w:vAlign w:val="center"/>
            <w:tcMar>
              <w:top w:w="80" w:type="dxa"/>
              <w:start w:w="120" w:type="dxa"/>
              <w:bottom w:w="80" w:type="dxa"/>
              <w:end w:w="120" w:type="dxa"/>
            </w:tcMar>
          </w:tcPr>
          <w:p>
            <w:pPr>
              <w:spacing w:after="40" w:line="264" w:lineRule="auto"/>
            </w:pPr>
            <w:r>
              <w:rPr>
                <w:rFonts w:ascii="Calibri" w:hAnsi="Calibri"/>
                <w:sz w:val="19"/>
              </w:rPr>
              <w:t>Core models</w:t>
            </w:r>
          </w:p>
        </w:tc>
        <w:tc>
          <w:tcPr>
            <w:tcW w:type="dxa" w:w="6360"/>
            <w:vAlign w:val="center"/>
            <w:tcMar>
              <w:top w:w="80" w:type="dxa"/>
              <w:start w:w="120" w:type="dxa"/>
              <w:bottom w:w="80" w:type="dxa"/>
              <w:end w:w="120" w:type="dxa"/>
            </w:tcMar>
          </w:tcPr>
          <w:p>
            <w:pPr>
              <w:spacing w:after="40" w:line="264" w:lineRule="auto"/>
            </w:pPr>
            <w:r>
              <w:rPr>
                <w:rFonts w:ascii="Calibri" w:hAnsi="Calibri"/>
                <w:sz w:val="19"/>
              </w:rPr>
              <w:t>User, Project, Report, WorkflowHistory, AuditLog, and DsrFile support the portal workflow.</w:t>
            </w:r>
          </w:p>
        </w:tc>
      </w:tr>
      <w:tr>
        <w:tc>
          <w:tcPr>
            <w:tcW w:type="dxa" w:w="3000"/>
            <w:vAlign w:val="center"/>
            <w:tcMar>
              <w:top w:w="80" w:type="dxa"/>
              <w:start w:w="120" w:type="dxa"/>
              <w:bottom w:w="80" w:type="dxa"/>
              <w:end w:w="120" w:type="dxa"/>
            </w:tcMar>
          </w:tcPr>
          <w:p>
            <w:pPr>
              <w:spacing w:after="40" w:line="264" w:lineRule="auto"/>
            </w:pPr>
            <w:r>
              <w:rPr>
                <w:rFonts w:ascii="Calibri" w:hAnsi="Calibri"/>
                <w:sz w:val="19"/>
              </w:rPr>
              <w:t>Phase model additions</w:t>
            </w:r>
          </w:p>
        </w:tc>
        <w:tc>
          <w:tcPr>
            <w:tcW w:type="dxa" w:w="6360"/>
            <w:vAlign w:val="center"/>
            <w:tcMar>
              <w:top w:w="80" w:type="dxa"/>
              <w:start w:w="120" w:type="dxa"/>
              <w:bottom w:w="80" w:type="dxa"/>
              <w:end w:w="120" w:type="dxa"/>
            </w:tcMar>
          </w:tcPr>
          <w:p>
            <w:pPr>
              <w:spacing w:after="40" w:line="264" w:lineRule="auto"/>
            </w:pPr>
            <w:r>
              <w:rPr>
                <w:rFonts w:ascii="Calibri" w:hAnsi="Calibri"/>
                <w:sz w:val="19"/>
              </w:rPr>
              <w:t>Project includes phaseNo, parentPhaseId, phaseLocked, phaseOrigin, and parent/child phase relations.</w:t>
            </w:r>
          </w:p>
        </w:tc>
      </w:tr>
      <w:tr>
        <w:tc>
          <w:tcPr>
            <w:tcW w:type="dxa" w:w="3000"/>
            <w:vAlign w:val="center"/>
            <w:tcMar>
              <w:top w:w="80" w:type="dxa"/>
              <w:start w:w="120" w:type="dxa"/>
              <w:bottom w:w="80" w:type="dxa"/>
              <w:end w:w="120" w:type="dxa"/>
            </w:tcMar>
          </w:tcPr>
          <w:p>
            <w:pPr>
              <w:spacing w:after="40" w:line="264" w:lineRule="auto"/>
            </w:pPr>
            <w:r>
              <w:rPr>
                <w:rFonts w:ascii="Calibri" w:hAnsi="Calibri"/>
                <w:sz w:val="19"/>
              </w:rPr>
              <w:t>Main API routes</w:t>
            </w:r>
          </w:p>
        </w:tc>
        <w:tc>
          <w:tcPr>
            <w:tcW w:type="dxa" w:w="6360"/>
            <w:vAlign w:val="center"/>
            <w:tcMar>
              <w:top w:w="80" w:type="dxa"/>
              <w:start w:w="120" w:type="dxa"/>
              <w:bottom w:w="80" w:type="dxa"/>
              <w:end w:w="120" w:type="dxa"/>
            </w:tcMar>
          </w:tcPr>
          <w:p>
            <w:pPr>
              <w:spacing w:after="40" w:line="264" w:lineRule="auto"/>
            </w:pPr>
            <w:r>
              <w:rPr>
                <w:rFonts w:ascii="Calibri" w:hAnsi="Calibri"/>
                <w:sz w:val="19"/>
              </w:rPr>
              <w:t>Auth, dashboard, files, jobs, projects, reports, users, and PDF endpoints are wired in server.ts.</w:t>
            </w:r>
          </w:p>
        </w:tc>
      </w:tr>
      <w:tr>
        <w:tc>
          <w:tcPr>
            <w:tcW w:type="dxa" w:w="3000"/>
            <w:vAlign w:val="center"/>
            <w:tcMar>
              <w:top w:w="80" w:type="dxa"/>
              <w:start w:w="120" w:type="dxa"/>
              <w:bottom w:w="80" w:type="dxa"/>
              <w:end w:w="120" w:type="dxa"/>
            </w:tcMar>
          </w:tcPr>
          <w:p>
            <w:pPr>
              <w:spacing w:after="40" w:line="264" w:lineRule="auto"/>
            </w:pPr>
            <w:r>
              <w:rPr>
                <w:rFonts w:ascii="Calibri" w:hAnsi="Calibri"/>
                <w:sz w:val="19"/>
              </w:rPr>
              <w:t>Security middleware</w:t>
            </w:r>
          </w:p>
        </w:tc>
        <w:tc>
          <w:tcPr>
            <w:tcW w:type="dxa" w:w="6360"/>
            <w:vAlign w:val="center"/>
            <w:tcMar>
              <w:top w:w="80" w:type="dxa"/>
              <w:start w:w="120" w:type="dxa"/>
              <w:bottom w:w="80" w:type="dxa"/>
              <w:end w:w="120" w:type="dxa"/>
            </w:tcMar>
          </w:tcPr>
          <w:p>
            <w:pPr>
              <w:spacing w:after="40" w:line="264" w:lineRule="auto"/>
            </w:pPr>
            <w:r>
              <w:rPr>
                <w:rFonts w:ascii="Calibri" w:hAnsi="Calibri"/>
                <w:sz w:val="19"/>
              </w:rPr>
              <w:t>Helmet, CORS, cookie parser, JSON body limits, route-level auth, audit mutations, and rate limits are present.</w:t>
            </w:r>
          </w:p>
        </w:tc>
      </w:tr>
    </w:tbl>
    <w:p>
      <w:pPr>
        <w:pStyle w:val="Heading1"/>
      </w:pPr>
      <w:r>
        <w:t>Cleanup Candidates and Risk</w:t>
      </w:r>
    </w:p>
    <w:p>
      <w:r>
        <w:t>A CSS audit found many candidates that look overwritten or duplicated, but not all are safe to remove immediately. The legacy app loads styles differently across login, generated portal pages, and home page, so a rule that appears redundant in one page can still act as fallback in another.</w:t>
      </w:r>
    </w:p>
    <w:tbl>
      <w:tblPr>
        <w:tblStyle w:val="TableGrid"/>
        <w:tblW w:type="dxa" w:w="9360"/>
        <w:tblLook w:firstColumn="1" w:firstRow="1" w:lastColumn="0" w:lastRow="0" w:noHBand="0" w:noVBand="1" w:val="04A0"/>
        <w:tblInd w:w="120" w:type="dxa"/>
      </w:tblPr>
      <w:tblGrid>
        <w:gridCol w:w="3100"/>
        <w:gridCol w:w="1800"/>
        <w:gridCol w:w="4460"/>
      </w:tblGrid>
      <w:tr>
        <w:tc>
          <w:tcPr>
            <w:tcW w:type="dxa" w:w="3100"/>
            <w:shd w:fill="F2F4F7"/>
            <w:vAlign w:val="center"/>
            <w:tcMar>
              <w:top w:w="80" w:type="dxa"/>
              <w:start w:w="120" w:type="dxa"/>
              <w:bottom w:w="80" w:type="dxa"/>
              <w:end w:w="120" w:type="dxa"/>
            </w:tcMar>
          </w:tcPr>
          <w:p>
            <w:pPr>
              <w:spacing w:after="40" w:line="264" w:lineRule="auto"/>
            </w:pPr>
            <w:r>
              <w:rPr>
                <w:rFonts w:ascii="Calibri" w:hAnsi="Calibri"/>
                <w:b/>
                <w:color w:val="0B2545"/>
                <w:sz w:val="19"/>
              </w:rPr>
              <w:t>Candidate</w:t>
            </w:r>
          </w:p>
        </w:tc>
        <w:tc>
          <w:tcPr>
            <w:tcW w:type="dxa" w:w="1800"/>
            <w:shd w:fill="F2F4F7"/>
            <w:vAlign w:val="center"/>
            <w:tcMar>
              <w:top w:w="80" w:type="dxa"/>
              <w:start w:w="120" w:type="dxa"/>
              <w:bottom w:w="80" w:type="dxa"/>
              <w:end w:w="120" w:type="dxa"/>
            </w:tcMar>
          </w:tcPr>
          <w:p>
            <w:pPr>
              <w:spacing w:after="40" w:line="264" w:lineRule="auto"/>
            </w:pPr>
            <w:r>
              <w:rPr>
                <w:rFonts w:ascii="Calibri" w:hAnsi="Calibri"/>
                <w:b/>
                <w:color w:val="0B2545"/>
                <w:sz w:val="19"/>
              </w:rPr>
              <w:t>Observed count</w:t>
            </w:r>
          </w:p>
        </w:tc>
        <w:tc>
          <w:tcPr>
            <w:tcW w:type="dxa" w:w="4460"/>
            <w:shd w:fill="F2F4F7"/>
            <w:vAlign w:val="center"/>
            <w:tcMar>
              <w:top w:w="80" w:type="dxa"/>
              <w:start w:w="120" w:type="dxa"/>
              <w:bottom w:w="80" w:type="dxa"/>
              <w:end w:w="120" w:type="dxa"/>
            </w:tcMar>
          </w:tcPr>
          <w:p>
            <w:pPr>
              <w:spacing w:after="40" w:line="264" w:lineRule="auto"/>
            </w:pPr>
            <w:r>
              <w:rPr>
                <w:rFonts w:ascii="Calibri" w:hAnsi="Calibri"/>
                <w:b/>
                <w:color w:val="0B2545"/>
                <w:sz w:val="19"/>
              </w:rPr>
              <w:t>Recommendation</w:t>
            </w:r>
          </w:p>
        </w:tc>
      </w:tr>
      <w:tr>
        <w:tc>
          <w:tcPr>
            <w:tcW w:type="dxa" w:w="3100"/>
            <w:vAlign w:val="center"/>
            <w:tcMar>
              <w:top w:w="80" w:type="dxa"/>
              <w:start w:w="120" w:type="dxa"/>
              <w:bottom w:w="80" w:type="dxa"/>
              <w:end w:w="120" w:type="dxa"/>
            </w:tcMar>
          </w:tcPr>
          <w:p>
            <w:pPr>
              <w:spacing w:after="40" w:line="264" w:lineRule="auto"/>
            </w:pPr>
            <w:r>
              <w:rPr>
                <w:rFonts w:ascii="Calibri" w:hAnsi="Calibri"/>
                <w:sz w:val="19"/>
              </w:rPr>
              <w:t>Exact duplicate CSS candidates</w:t>
            </w:r>
          </w:p>
        </w:tc>
        <w:tc>
          <w:tcPr>
            <w:tcW w:type="dxa" w:w="1800"/>
            <w:vAlign w:val="center"/>
            <w:tcMar>
              <w:top w:w="80" w:type="dxa"/>
              <w:start w:w="120" w:type="dxa"/>
              <w:bottom w:w="80" w:type="dxa"/>
              <w:end w:w="120" w:type="dxa"/>
            </w:tcMar>
          </w:tcPr>
          <w:p>
            <w:pPr>
              <w:spacing w:after="40" w:line="264" w:lineRule="auto"/>
            </w:pPr>
            <w:r>
              <w:rPr>
                <w:rFonts w:ascii="Calibri" w:hAnsi="Calibri"/>
                <w:sz w:val="19"/>
              </w:rPr>
              <w:t>About 52 after repair audit</w:t>
            </w:r>
          </w:p>
        </w:tc>
        <w:tc>
          <w:tcPr>
            <w:tcW w:type="dxa" w:w="4460"/>
            <w:vAlign w:val="center"/>
            <w:tcMar>
              <w:top w:w="80" w:type="dxa"/>
              <w:start w:w="120" w:type="dxa"/>
              <w:bottom w:w="80" w:type="dxa"/>
              <w:end w:w="120" w:type="dxa"/>
            </w:tcMar>
          </w:tcPr>
          <w:p>
            <w:pPr>
              <w:spacing w:after="40" w:line="264" w:lineRule="auto"/>
            </w:pPr>
            <w:r>
              <w:rPr>
                <w:rFonts w:ascii="Calibri" w:hAnsi="Calibri"/>
                <w:sz w:val="19"/>
              </w:rPr>
              <w:t>Remove only when selector/file/page context is identical.</w:t>
            </w:r>
          </w:p>
        </w:tc>
      </w:tr>
      <w:tr>
        <w:tc>
          <w:tcPr>
            <w:tcW w:type="dxa" w:w="3100"/>
            <w:vAlign w:val="center"/>
            <w:tcMar>
              <w:top w:w="80" w:type="dxa"/>
              <w:start w:w="120" w:type="dxa"/>
              <w:bottom w:w="80" w:type="dxa"/>
              <w:end w:w="120" w:type="dxa"/>
            </w:tcMar>
          </w:tcPr>
          <w:p>
            <w:pPr>
              <w:spacing w:after="40" w:line="264" w:lineRule="auto"/>
            </w:pPr>
            <w:r>
              <w:rPr>
                <w:rFonts w:ascii="Calibri" w:hAnsi="Calibri"/>
                <w:sz w:val="19"/>
              </w:rPr>
              <w:t>Overwritten CSS candidates</w:t>
            </w:r>
          </w:p>
        </w:tc>
        <w:tc>
          <w:tcPr>
            <w:tcW w:type="dxa" w:w="1800"/>
            <w:vAlign w:val="center"/>
            <w:tcMar>
              <w:top w:w="80" w:type="dxa"/>
              <w:start w:w="120" w:type="dxa"/>
              <w:bottom w:w="80" w:type="dxa"/>
              <w:end w:w="120" w:type="dxa"/>
            </w:tcMar>
          </w:tcPr>
          <w:p>
            <w:pPr>
              <w:spacing w:after="40" w:line="264" w:lineRule="auto"/>
            </w:pPr>
            <w:r>
              <w:rPr>
                <w:rFonts w:ascii="Calibri" w:hAnsi="Calibri"/>
                <w:sz w:val="19"/>
              </w:rPr>
              <w:t>About 561</w:t>
            </w:r>
          </w:p>
        </w:tc>
        <w:tc>
          <w:tcPr>
            <w:tcW w:type="dxa" w:w="4460"/>
            <w:vAlign w:val="center"/>
            <w:tcMar>
              <w:top w:w="80" w:type="dxa"/>
              <w:start w:w="120" w:type="dxa"/>
              <w:bottom w:w="80" w:type="dxa"/>
              <w:end w:w="120" w:type="dxa"/>
            </w:tcMar>
          </w:tcPr>
          <w:p>
            <w:pPr>
              <w:spacing w:after="40" w:line="264" w:lineRule="auto"/>
            </w:pPr>
            <w:r>
              <w:rPr>
                <w:rFonts w:ascii="Calibri" w:hAnsi="Calibri"/>
                <w:sz w:val="19"/>
              </w:rPr>
              <w:t>Batch by component: auth, topbar, sidebar, dashboard, annexures, PDF preview.</w:t>
            </w:r>
          </w:p>
        </w:tc>
      </w:tr>
      <w:tr>
        <w:tc>
          <w:tcPr>
            <w:tcW w:type="dxa" w:w="3100"/>
            <w:vAlign w:val="center"/>
            <w:tcMar>
              <w:top w:w="80" w:type="dxa"/>
              <w:start w:w="120" w:type="dxa"/>
              <w:bottom w:w="80" w:type="dxa"/>
              <w:end w:w="120" w:type="dxa"/>
            </w:tcMar>
          </w:tcPr>
          <w:p>
            <w:pPr>
              <w:spacing w:after="40" w:line="264" w:lineRule="auto"/>
            </w:pPr>
            <w:r>
              <w:rPr>
                <w:rFonts w:ascii="Calibri" w:hAnsi="Calibri"/>
                <w:sz w:val="19"/>
              </w:rPr>
              <w:t>Important declarations</w:t>
            </w:r>
          </w:p>
        </w:tc>
        <w:tc>
          <w:tcPr>
            <w:tcW w:type="dxa" w:w="1800"/>
            <w:vAlign w:val="center"/>
            <w:tcMar>
              <w:top w:w="80" w:type="dxa"/>
              <w:start w:w="120" w:type="dxa"/>
              <w:bottom w:w="80" w:type="dxa"/>
              <w:end w:w="120" w:type="dxa"/>
            </w:tcMar>
          </w:tcPr>
          <w:p>
            <w:pPr>
              <w:spacing w:after="40" w:line="264" w:lineRule="auto"/>
            </w:pPr>
            <w:r>
              <w:rPr>
                <w:rFonts w:ascii="Calibri" w:hAnsi="Calibri"/>
                <w:sz w:val="19"/>
              </w:rPr>
              <w:t>About 1,876</w:t>
            </w:r>
          </w:p>
        </w:tc>
        <w:tc>
          <w:tcPr>
            <w:tcW w:type="dxa" w:w="4460"/>
            <w:vAlign w:val="center"/>
            <w:tcMar>
              <w:top w:w="80" w:type="dxa"/>
              <w:start w:w="120" w:type="dxa"/>
              <w:bottom w:w="80" w:type="dxa"/>
              <w:end w:w="120" w:type="dxa"/>
            </w:tcMar>
          </w:tcPr>
          <w:p>
            <w:pPr>
              <w:spacing w:after="40" w:line="264" w:lineRule="auto"/>
            </w:pPr>
            <w:r>
              <w:rPr>
                <w:rFonts w:ascii="Calibri" w:hAnsi="Calibri"/>
                <w:sz w:val="19"/>
              </w:rPr>
              <w:t>Do not bulk-remove; many are legacy override contracts.</w:t>
            </w:r>
          </w:p>
        </w:tc>
      </w:tr>
      <w:tr>
        <w:tc>
          <w:tcPr>
            <w:tcW w:type="dxa" w:w="3100"/>
            <w:vAlign w:val="center"/>
            <w:tcMar>
              <w:top w:w="80" w:type="dxa"/>
              <w:start w:w="120" w:type="dxa"/>
              <w:bottom w:w="80" w:type="dxa"/>
              <w:end w:w="120" w:type="dxa"/>
            </w:tcMar>
          </w:tcPr>
          <w:p>
            <w:pPr>
              <w:spacing w:after="40" w:line="264" w:lineRule="auto"/>
            </w:pPr>
            <w:r>
              <w:rPr>
                <w:rFonts w:ascii="Calibri" w:hAnsi="Calibri"/>
                <w:sz w:val="19"/>
              </w:rPr>
              <w:t>Large demo/project data</w:t>
            </w:r>
          </w:p>
        </w:tc>
        <w:tc>
          <w:tcPr>
            <w:tcW w:type="dxa" w:w="1800"/>
            <w:vAlign w:val="center"/>
            <w:tcMar>
              <w:top w:w="80" w:type="dxa"/>
              <w:start w:w="120" w:type="dxa"/>
              <w:bottom w:w="80" w:type="dxa"/>
              <w:end w:w="120" w:type="dxa"/>
            </w:tcMar>
          </w:tcPr>
          <w:p>
            <w:pPr>
              <w:spacing w:after="40" w:line="264" w:lineRule="auto"/>
            </w:pPr>
            <w:r>
              <w:rPr>
                <w:rFonts w:ascii="Calibri" w:hAnsi="Calibri"/>
                <w:sz w:val="19"/>
              </w:rPr>
              <w:t>projects.json excluded from LOC count</w:t>
            </w:r>
          </w:p>
        </w:tc>
        <w:tc>
          <w:tcPr>
            <w:tcW w:type="dxa" w:w="4460"/>
            <w:vAlign w:val="center"/>
            <w:tcMar>
              <w:top w:w="80" w:type="dxa"/>
              <w:start w:w="120" w:type="dxa"/>
              <w:bottom w:w="80" w:type="dxa"/>
              <w:end w:w="120" w:type="dxa"/>
            </w:tcMar>
          </w:tcPr>
          <w:p>
            <w:pPr>
              <w:spacing w:after="40" w:line="264" w:lineRule="auto"/>
            </w:pPr>
            <w:r>
              <w:rPr>
                <w:rFonts w:ascii="Calibri" w:hAnsi="Calibri"/>
                <w:sz w:val="19"/>
              </w:rPr>
              <w:t>Review separately before deleting because it may preserve demo state.</w:t>
            </w:r>
          </w:p>
        </w:tc>
      </w:tr>
    </w:tbl>
    <w:p>
      <w:pPr>
        <w:pStyle w:val="Heading1"/>
      </w:pPr>
      <w:r>
        <w:t>Recommended Next Milestones</w:t>
      </w:r>
    </w:p>
    <w:p>
      <w:pPr>
        <w:pStyle w:val="ListNumber"/>
        <w:spacing w:after="80"/>
      </w:pPr>
      <w:r>
        <w:t>Create a visual regression checklist for login, home, dashboard, projects, workflow, front matter, annexures, PDF preview, and dark mode.</w:t>
      </w:r>
    </w:p>
    <w:p>
      <w:pPr>
        <w:pStyle w:val="ListNumber"/>
        <w:spacing w:after="80"/>
      </w:pPr>
      <w:r>
        <w:t>Split CSS cleanup into small batches and verify each batch in browser before continuing.</w:t>
      </w:r>
    </w:p>
    <w:p>
      <w:pPr>
        <w:pStyle w:val="ListNumber"/>
        <w:spacing w:after="80"/>
      </w:pPr>
      <w:r>
        <w:t>Move generated HTML handling behind the existing build script discipline so templates remain the source of truth.</w:t>
      </w:r>
    </w:p>
    <w:p>
      <w:pPr>
        <w:pStyle w:val="ListNumber"/>
        <w:spacing w:after="80"/>
      </w:pPr>
      <w:r>
        <w:t>Add API smoke tests for auth, projects, project state save/load, phase creation, and PDF endpoints.</w:t>
      </w:r>
    </w:p>
    <w:p>
      <w:pPr>
        <w:pStyle w:val="ListNumber"/>
        <w:spacing w:after="80"/>
      </w:pPr>
      <w:r>
        <w:t>Document the role/permission matrix so future UI cleanup does not accidentally expose restricted actions.</w:t>
      </w:r>
    </w:p>
    <w:p>
      <w:pPr>
        <w:pStyle w:val="ListNumber"/>
        <w:spacing w:after="80"/>
      </w:pPr>
      <w:r>
        <w:t>Decide whether legacy UI remains the primary UI or is gradually migrated into Next.js routes.</w:t>
      </w:r>
    </w:p>
    <w:p>
      <w:pPr>
        <w:pStyle w:val="Heading1"/>
      </w:pPr>
      <w:r>
        <w:t>Conclusion</w:t>
      </w:r>
    </w:p>
    <w:p>
      <w:r>
        <w:t>The webstack is functional and broad: it already covers the key DSR portal workflows from authentication and project creation through annexure editing, PDF handling, workflow tracking, and backend persistence. The safest improvement path is incremental: keep runtime behavior stable, remove unused temporary artifacts, and treat CSS override cleanup as a measured refactor with visual checks.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DSR Portal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