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B2204" w14:textId="77777777" w:rsidR="00EE3504" w:rsidRDefault="00796EF2" w:rsidP="004515FE">
      <w:pPr>
        <w:ind w:left="5688"/>
        <w:rPr>
          <w:rFonts w:ascii="Times New Roman"/>
          <w:sz w:val="20"/>
        </w:rPr>
      </w:pPr>
      <w:r>
        <w:rPr>
          <w:rFonts w:ascii="Times New Roman"/>
          <w:noProof/>
          <w:sz w:val="20"/>
        </w:rPr>
        <w:drawing>
          <wp:inline distT="0" distB="0" distL="0" distR="0" wp14:anchorId="11D47315" wp14:editId="0BA328FE">
            <wp:extent cx="2541037" cy="893852"/>
            <wp:effectExtent l="0" t="0" r="0" b="0"/>
            <wp:docPr id="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rotWithShape="1">
                    <a:blip r:embed="rId8" cstate="print">
                      <a:extLst>
                        <a:ext uri="{28A0092B-C50C-407E-A947-70E740481C1C}">
                          <a14:useLocalDpi xmlns:a14="http://schemas.microsoft.com/office/drawing/2010/main" val="0"/>
                        </a:ext>
                      </a:extLst>
                    </a:blip>
                    <a:srcRect b="-1989"/>
                    <a:stretch>
                      <a:fillRect/>
                    </a:stretch>
                  </pic:blipFill>
                  <pic:spPr bwMode="auto">
                    <a:xfrm>
                      <a:off x="0" y="0"/>
                      <a:ext cx="2542540" cy="894381"/>
                    </a:xfrm>
                    <a:prstGeom prst="rect">
                      <a:avLst/>
                    </a:prstGeom>
                    <a:noFill/>
                    <a:ln>
                      <a:noFill/>
                    </a:ln>
                    <a:extLst>
                      <a:ext uri="{53640926-AAD7-44D8-BBD7-CCE9431645EC}">
                        <a14:shadowObscured xmlns:a14="http://schemas.microsoft.com/office/drawing/2010/main"/>
                      </a:ext>
                    </a:extLst>
                  </pic:spPr>
                </pic:pic>
              </a:graphicData>
            </a:graphic>
          </wp:inline>
        </w:drawing>
      </w:r>
    </w:p>
    <w:p w14:paraId="3754D35D" w14:textId="77777777" w:rsidR="00EE3504" w:rsidRDefault="00EE3504">
      <w:pPr>
        <w:rPr>
          <w:rFonts w:ascii="Times New Roman"/>
          <w:sz w:val="74"/>
        </w:rPr>
      </w:pPr>
    </w:p>
    <w:p w14:paraId="4C3D5D71" w14:textId="77777777" w:rsidR="00EE3504" w:rsidRDefault="00EE3504">
      <w:pPr>
        <w:rPr>
          <w:rFonts w:ascii="Times New Roman"/>
          <w:sz w:val="74"/>
        </w:rPr>
      </w:pPr>
    </w:p>
    <w:p w14:paraId="69369CE7" w14:textId="77777777" w:rsidR="00EE3504" w:rsidRDefault="00C412B8">
      <w:pPr>
        <w:rPr>
          <w:rFonts w:ascii="Times New Roman"/>
          <w:sz w:val="74"/>
        </w:rPr>
      </w:pPr>
      <w:r>
        <w:rPr>
          <w:rFonts w:ascii="Times New Roman"/>
          <w:noProof/>
          <w:sz w:val="74"/>
        </w:rPr>
        <w:drawing>
          <wp:anchor distT="0" distB="0" distL="114300" distR="114300" simplePos="0" relativeHeight="251659264" behindDoc="1" locked="0" layoutInCell="1" allowOverlap="1" wp14:anchorId="3FABE23A" wp14:editId="2C320DFC">
            <wp:simplePos x="0" y="0"/>
            <wp:positionH relativeFrom="column">
              <wp:posOffset>-548640</wp:posOffset>
            </wp:positionH>
            <wp:positionV relativeFrom="paragraph">
              <wp:posOffset>347345</wp:posOffset>
            </wp:positionV>
            <wp:extent cx="7059168" cy="6236208"/>
            <wp:effectExtent l="0" t="0" r="2540" b="0"/>
            <wp:wrapNone/>
            <wp:docPr id="45974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45010" name=""/>
                    <pic:cNvPicPr/>
                  </pic:nvPicPr>
                  <pic:blipFill>
                    <a:blip r:embed="rId9">
                      <a:alphaModFix amt="20000"/>
                    </a:blip>
                    <a:stretch>
                      <a:fillRect/>
                    </a:stretch>
                  </pic:blipFill>
                  <pic:spPr>
                    <a:xfrm>
                      <a:off x="0" y="0"/>
                      <a:ext cx="7059168" cy="6236208"/>
                    </a:xfrm>
                    <a:prstGeom prst="rect">
                      <a:avLst/>
                    </a:prstGeom>
                  </pic:spPr>
                </pic:pic>
              </a:graphicData>
            </a:graphic>
            <wp14:sizeRelH relativeFrom="page">
              <wp14:pctWidth>0</wp14:pctWidth>
            </wp14:sizeRelH>
            <wp14:sizeRelV relativeFrom="page">
              <wp14:pctHeight>0</wp14:pctHeight>
            </wp14:sizeRelV>
          </wp:anchor>
        </w:drawing>
      </w:r>
    </w:p>
    <w:p w14:paraId="6F2E367D" w14:textId="77777777" w:rsidR="00EE3504" w:rsidRDefault="00EE3504">
      <w:pPr>
        <w:rPr>
          <w:rFonts w:ascii="Times New Roman"/>
          <w:sz w:val="74"/>
        </w:rPr>
      </w:pPr>
    </w:p>
    <w:p w14:paraId="5AED3AD1" w14:textId="77777777" w:rsidR="00090672" w:rsidRDefault="00090672">
      <w:pPr>
        <w:rPr>
          <w:rFonts w:ascii="Times New Roman"/>
          <w:sz w:val="74"/>
        </w:rPr>
      </w:pPr>
    </w:p>
    <w:p w14:paraId="576FD114" w14:textId="77777777" w:rsidR="00EE3504" w:rsidRDefault="00EE3504">
      <w:pPr>
        <w:spacing w:before="182"/>
        <w:rPr>
          <w:rFonts w:ascii="Times New Roman"/>
          <w:sz w:val="74"/>
        </w:rPr>
      </w:pPr>
    </w:p>
    <w:p w14:paraId="18B3E68A" w14:textId="48A008C9" w:rsidR="005A78C2" w:rsidRDefault="002F75E4" w:rsidP="005A78C2">
      <w:pPr>
        <w:pStyle w:val="Title"/>
        <w:ind w:left="-274"/>
      </w:pPr>
      <w:r>
        <w:t>Resume Entries — CCXP Project</w:t>
      </w:r>
    </w:p>
    <w:p w14:paraId="7D1CD59E" w14:textId="77777777" w:rsidR="005A78C2" w:rsidRDefault="005A78C2" w:rsidP="005A78C2"/>
    <w:p w14:paraId="58E95D0A" w14:textId="77777777" w:rsidR="005A78C2" w:rsidRPr="005A78C2" w:rsidRDefault="005A78C2" w:rsidP="005A78C2"/>
    <w:p w14:paraId="39DE5C40" w14:textId="20B0F4EB" w:rsidR="005C75E7" w:rsidRPr="006210F9" w:rsidRDefault="002F75E4" w:rsidP="006210F9">
      <w:pPr>
        <w:pStyle w:val="Subtitle"/>
        <w:rPr>
          <w:rFonts w:ascii="frutiger lt" w:hAnsi="frutiger lt"/>
        </w:rPr>
        <w:sectPr w:rsidR="005C75E7" w:rsidRPr="006210F9" w:rsidSect="00E65DBE">
          <w:footerReference w:type="even" r:id="rId10"/>
          <w:footerReference w:type="default" r:id="rId11"/>
          <w:headerReference w:type="default" r:id="rId14"/>
          <w:pgSz w:w="12240" w:h="15840"/>
          <w:pgMar w:top="1440" w:right="1440" w:bottom="1440" w:left="1440" w:header="0" w:footer="576" w:gutter="0"/>
          <w:cols w:space="720"/>
          <w:titlePg/>
          <w:docGrid w:linePitch="299"/>
        </w:sectPr>
      </w:pPr>
      <w:r>
        <w:t xml:space="preserve">Danielle Swyhart | Care Compare Experience Platform (CMS) | </w:t>
      </w:r>
      <w:r>
        <w:rPr>
          <w:rStyle w:val="SubtleEmphasis"/>
          <w:i w:val="0"/>
          <w:iCs w:val="0"/>
        </w:rPr>
        <w:t>June 17, 2026</w:t>
      </w:r>
      <w:r w:rsidR="00FD0089">
        <w:rPr>
          <w:rStyle w:val="SubtleEmphasis"/>
          <w:i w:val="0"/>
          <w:iCs w:val="0"/>
        </w:rPr>
      </w:r>
    </w:p>
    <w:p w14:paraId="2F9E4CFD" w14:textId="77777777" w:rsidR="00FD0089" w:rsidRPr="002F75E4" w:rsidRDefault="00FD0089" w:rsidP="00FD0089">
      <w:pPr>
        <w:pStyle w:val="body"/>
        <w:ind w:left="0"/>
      </w:pPr>
    </w:p>
    <w:p>
      <w:pPr>
        <w:pStyle w:val="Heading1"/>
      </w:pPr>
      <w:r>
        <w:t>Resume Entries — Danielle Swyhart</w:t>
      </w:r>
    </w:p>
    <w:p>
      <w:pPr>
        <w:pStyle w:val="Heading2"/>
      </w:pPr>
      <w:r>
        <w:t>Care Compare Experience Platform (CCXP) | Centers for Medicare &amp; Medicaid Services (CMS)</w:t>
      </w:r>
    </w:p>
    <w:p>
      <w:pPr>
        <w:pStyle w:val="Heading3"/>
      </w:pPr>
      <w:r>
        <w:t>Nava PBC | December 2022 – Present</w:t>
      </w:r>
    </w:p>
    <w:p>
      <w:pPr>
        <w:jc w:val="center"/>
      </w:pPr>
      <w:r>
        <w:t>──────────────────────────────────────────────────</w:t>
      </w:r>
    </w:p>
    <w:p/>
    <w:p>
      <w:pPr>
        <w:pStyle w:val="Heading2"/>
      </w:pPr>
      <w:r>
        <w:t>DevOps Engineer</w:t>
      </w:r>
    </w:p>
    <w:p>
      <w:pPr>
        <w:jc w:val="center"/>
      </w:pPr>
      <w:r>
        <w:t>──────────────────────────────────────────────────</w:t>
      </w:r>
    </w:p>
    <w:p/>
    <w:p>
      <w:pPr>
        <w:pStyle w:val="Heading3"/>
      </w:pPr>
      <w:r>
        <w:t>CI/CD Pipeline Engineering &amp; Automation</w:t>
      </w:r>
    </w:p>
    <w:p>
      <w:pPr>
        <w:pStyle w:val="ListBullet"/>
      </w:pPr>
      <w:r>
        <w:t>Architected and implemented end-to-end Jenkins CI/CD pipelines for the new React application repositories (</w:t>
      </w:r>
      <w:r>
        <w:rPr>
          <w:rFonts w:ascii="Courier New" w:hAnsi="Courier New"/>
        </w:rPr>
        <w:t>oc-ccxp-react-client</w:t>
      </w:r>
      <w:r>
        <w:t xml:space="preserve"> and </w:t>
      </w:r>
      <w:r>
        <w:rPr>
          <w:rFonts w:ascii="Courier New" w:hAnsi="Courier New"/>
        </w:rPr>
        <w:t>oc-ccxp-root-config</w:t>
      </w:r>
      <w:r>
        <w:t>) as part of a major Angular-to-React platform migration, including full build, lint, unit test, SonarQube scan, i18n translation, Akamai CDN deployment, source map publishing, and automated smoke/regression test triggering</w:t>
      </w:r>
    </w:p>
    <w:p>
      <w:pPr>
        <w:pStyle w:val="ListBullet"/>
      </w:pPr>
      <w:r>
        <w:t>Engineered critical deployment sequencing logic for the root config pipeline, ensuring atomic, consistent asset delivery by deploying shell JS first, then import maps, then index.html — preventing users from ever loading a mismatched asset set during the Angular-to-React cutover</w:t>
      </w:r>
    </w:p>
    <w:p>
      <w:pPr>
        <w:pStyle w:val="ListBullet"/>
      </w:pPr>
      <w:r>
        <w:t xml:space="preserve">Updated the </w:t>
      </w:r>
      <w:r>
        <w:rPr>
          <w:rFonts w:ascii="Courier New" w:hAnsi="Courier New"/>
        </w:rPr>
        <w:t>ccxp-ci</w:t>
      </w:r>
      <w:r>
        <w:t xml:space="preserve"> shared Jenkins library with SonarQube credentials, project IDs, and New Relic constants for new React repositories, making these reusable across all CCXP pipelines; made a deliberate architectural decision to share the existing New Relic app ID with the Angular app to maintain a unified metrics stream during the migration period</w:t>
      </w:r>
    </w:p>
    <w:p>
      <w:pPr>
        <w:pStyle w:val="ListBullet"/>
      </w:pPr>
      <w:r>
        <w:t>Implemented semantic versioning (</w:t>
      </w:r>
      <w:r>
        <w:rPr>
          <w:rFonts w:ascii="Courier New" w:hAnsi="Courier New"/>
        </w:rPr>
        <w:t>semver</w:t>
      </w:r>
      <w:r>
        <w:t xml:space="preserve">) for </w:t>
      </w:r>
      <w:r>
        <w:rPr>
          <w:rFonts w:ascii="Courier New" w:hAnsi="Courier New"/>
        </w:rPr>
        <w:t>oc-ccxp-next</w:t>
      </w:r>
      <w:r>
        <w:t xml:space="preserve"> and </w:t>
      </w:r>
      <w:r>
        <w:rPr>
          <w:rFonts w:ascii="Courier New" w:hAnsi="Courier New"/>
        </w:rPr>
        <w:t>oc-ccxp-root-config</w:t>
      </w:r>
      <w:r>
        <w:t xml:space="preserve"> repositories, establishing automated, commit-driven version incrementing for the new React platform</w:t>
      </w:r>
    </w:p>
    <w:p>
      <w:pPr>
        <w:pStyle w:val="ListBullet"/>
      </w:pPr>
      <w:r>
        <w:t xml:space="preserve">Refactored New Relic source map publishing from a single-repo function into a reusable shared library function in </w:t>
      </w:r>
      <w:r>
        <w:rPr>
          <w:rFonts w:ascii="Courier New" w:hAnsi="Courier New"/>
        </w:rPr>
        <w:t>ccxp-ci</w:t>
      </w:r>
      <w:r>
        <w:t>, enabling any CCXP repository to publish source maps to New Relic for production error tracing</w:t>
      </w:r>
    </w:p>
    <w:p>
      <w:pPr>
        <w:pStyle w:val="ListBullet"/>
      </w:pPr>
      <w:r>
        <w:t xml:space="preserve">Developed a Jenkins pipeline to support the </w:t>
      </w:r>
      <w:r>
        <w:rPr>
          <w:b/>
        </w:rPr>
        <w:t>SpeedyETL</w:t>
      </w:r>
      <w:r>
        <w:t xml:space="preserve"> data processing framework, modifying Jenkinsfiles and Groovy helper functions to invoke and monitor the new v2 Lambda processor while keeping the legacy ETL pipeline live in parallel — ensuring zero disruption to production data flows during the transition</w:t>
      </w:r>
    </w:p>
    <w:p>
      <w:pPr>
        <w:pStyle w:val="ListBullet"/>
      </w:pPr>
      <w:r>
        <w:t xml:space="preserve">Designed and implemented a </w:t>
      </w:r>
      <w:r>
        <w:rPr>
          <w:b/>
        </w:rPr>
        <w:t>DynamoDB-based deployment tracker proof-of-concept</w:t>
      </w:r>
      <w:r>
        <w:t xml:space="preserve"> to log all CCXP deployment events for QASP metrics reporting and operational auditing, enabling structured querying of deployment history across all environments</w:t>
      </w:r>
    </w:p>
    <w:p>
      <w:pPr>
        <w:jc w:val="center"/>
      </w:pPr>
      <w:r>
        <w:t>──────────────────────────────────────────────────</w:t>
      </w:r>
    </w:p>
    <w:p/>
    <w:p>
      <w:pPr>
        <w:pStyle w:val="Heading3"/>
      </w:pPr>
      <w:r>
        <w:t>Security, Compliance &amp; Vulnerability Management</w:t>
      </w:r>
    </w:p>
    <w:p>
      <w:pPr>
        <w:pStyle w:val="ListBullet"/>
      </w:pPr>
      <w:r>
        <w:t xml:space="preserve">Led the </w:t>
      </w:r>
      <w:r>
        <w:rPr>
          <w:b/>
        </w:rPr>
        <w:t>TruffleHog secret scanning initiative</w:t>
      </w:r>
      <w:r>
        <w:t xml:space="preserve"> from proof-of-concept to full platform rollout: first piloted on the ETL pipeline, then extended to all active CCXP repositories (</w:t>
      </w:r>
      <w:r>
        <w:rPr>
          <w:rFonts w:ascii="Courier New" w:hAnsi="Courier New"/>
        </w:rPr>
        <w:t>ccxp-client</w:t>
      </w:r>
      <w:r>
        <w:t xml:space="preserve">, </w:t>
      </w:r>
      <w:r>
        <w:rPr>
          <w:rFonts w:ascii="Courier New" w:hAnsi="Courier New"/>
        </w:rPr>
        <w:t>ccxp-server</w:t>
      </w:r>
      <w:r>
        <w:t xml:space="preserve">, </w:t>
      </w:r>
      <w:r>
        <w:rPr>
          <w:rFonts w:ascii="Courier New" w:hAnsi="Courier New"/>
        </w:rPr>
        <w:t>ccxp-data</w:t>
      </w:r>
      <w:r>
        <w:t xml:space="preserve">, </w:t>
      </w:r>
      <w:r>
        <w:rPr>
          <w:rFonts w:ascii="Courier New" w:hAnsi="Courier New"/>
        </w:rPr>
        <w:t>ccxp-infrastructure</w:t>
      </w:r>
      <w:r>
        <w:t>) across PR, CI, and deploy pipelines — blocking merges on any detected credential exposure; navigated a Jenkins plugin blocker by coordinating with the CBJ platform team to resolve the dependency</w:t>
      </w:r>
    </w:p>
    <w:p>
      <w:pPr>
        <w:pStyle w:val="ListBullet"/>
      </w:pPr>
      <w:r>
        <w:t xml:space="preserve">Triaged </w:t>
      </w:r>
      <w:r>
        <w:rPr>
          <w:b/>
        </w:rPr>
        <w:t>CVE-2025-12383</w:t>
      </w:r>
      <w:r>
        <w:t xml:space="preserve"> (CVSS 9.4 Critical — Eclipse Jersey SSL race condition in Neo4j Dockerfile), investigated the vulnerability's applicability to CCXP's usage, submitted a formal attestation to CMS, and closed the finding with documented justification that the vulnerable component was bundled but not directly invoked</w:t>
      </w:r>
    </w:p>
    <w:p>
      <w:pPr>
        <w:pStyle w:val="ListBullet"/>
      </w:pPr>
      <w:r>
        <w:t xml:space="preserve">Led the </w:t>
      </w:r>
      <w:r>
        <w:rPr>
          <w:b/>
        </w:rPr>
        <w:t>MOSS CCXP 2026 Risk Assessment (RA)</w:t>
      </w:r>
      <w:r>
        <w:t xml:space="preserve"> epic, owning all pre-RA compliance deliverables with a hard deadline of January 19, 2026, including the </w:t>
      </w:r>
      <w:r>
        <w:rPr>
          <w:b/>
        </w:rPr>
        <w:t>Configuration Management Plan</w:t>
      </w:r>
      <w:r>
        <w:t xml:space="preserve"> (with Jira-based change approval evidence), </w:t>
      </w:r>
      <w:r>
        <w:rPr>
          <w:b/>
        </w:rPr>
        <w:t>Privacy Impact Assessment/Privacy Threshold Analysis (PIA/PTA)</w:t>
      </w:r>
      <w:r>
        <w:t xml:space="preserve">, and </w:t>
      </w:r>
      <w:r>
        <w:rPr>
          <w:b/>
        </w:rPr>
        <w:t>System Design Documents (SDD)</w:t>
      </w:r>
    </w:p>
    <w:p>
      <w:pPr>
        <w:pStyle w:val="ListBullet"/>
      </w:pPr>
      <w:r>
        <w:t xml:space="preserve">Updated Terraform-managed S3 bucket policies for all </w:t>
      </w:r>
      <w:r>
        <w:rPr>
          <w:rFonts w:ascii="Courier New" w:hAnsi="Courier New"/>
        </w:rPr>
        <w:t>ccxp-*</w:t>
      </w:r>
      <w:r>
        <w:t xml:space="preserve"> buckets to enforce least-privilege access controls, carefully coordinating the Terraform </w:t>
      </w:r>
      <w:r>
        <w:rPr>
          <w:rFonts w:ascii="Courier New" w:hAnsi="Courier New"/>
        </w:rPr>
        <w:t>apply</w:t>
      </w:r>
      <w:r>
        <w:t xml:space="preserve"> across all environments after the initial handoff from the prior vendor</w:t>
      </w:r>
    </w:p>
    <w:p>
      <w:pPr>
        <w:pStyle w:val="ListBullet"/>
      </w:pPr>
      <w:r>
        <w:t>Rotated expiring Akamai CDN purge credentials in Jenkins before the expiration deadline, maintaining uninterrupted cache purge capability for production deployments</w:t>
      </w:r>
    </w:p>
    <w:p>
      <w:pPr>
        <w:pStyle w:val="ListBullet"/>
      </w:pPr>
      <w:r>
        <w:t>Conducted FIPS mode compatibility testing for a new Debian 12.11 gold image on the CCXP server pipeline in the IMPL environment, coordinating with the Gold Image team and CVP team; identified and reported that the new image did not resolve the FIPS-related crypto errors, providing documented logs and findings back to the image maintainers</w:t>
      </w:r>
    </w:p>
    <w:p>
      <w:pPr>
        <w:jc w:val="center"/>
      </w:pPr>
      <w:r>
        <w:t>──────────────────────────────────────────────────</w:t>
      </w:r>
    </w:p>
    <w:p/>
    <w:p>
      <w:pPr>
        <w:pStyle w:val="Heading3"/>
      </w:pPr>
      <w:r>
        <w:t>Code Quality &amp; Observability</w:t>
      </w:r>
    </w:p>
    <w:p>
      <w:pPr>
        <w:pStyle w:val="ListBullet"/>
      </w:pPr>
      <w:r>
        <w:t xml:space="preserve">Configured </w:t>
      </w:r>
      <w:r>
        <w:rPr>
          <w:b/>
        </w:rPr>
        <w:t>SonarQube</w:t>
      </w:r>
      <w:r>
        <w:t xml:space="preserve"> code quality scanning for the new </w:t>
      </w:r>
      <w:r>
        <w:rPr>
          <w:rFonts w:ascii="Courier New" w:hAnsi="Courier New"/>
        </w:rPr>
        <w:t>oc-ccxp-next</w:t>
      </w:r>
      <w:r>
        <w:t xml:space="preserve"> React repository; made a deliberate architectural decision to exclude </w:t>
      </w:r>
      <w:r>
        <w:rPr>
          <w:rFonts w:ascii="Courier New" w:hAnsi="Courier New"/>
        </w:rPr>
        <w:t>oc-ccxp-root-config</w:t>
      </w:r>
      <w:r>
        <w:t xml:space="preserve"> from scanning as it is a temporary configuration-only repository with no user-facing logic</w:t>
      </w:r>
    </w:p>
    <w:p>
      <w:pPr>
        <w:pStyle w:val="ListBullet"/>
      </w:pPr>
      <w:r>
        <w:t>Investigated and validated SonarQube PR quality gate integration as a substitute for full PR decorations, confirming that the quality gate provides sufficient inline feedback for developers without requiring additional decoration configuration</w:t>
      </w:r>
    </w:p>
    <w:p>
      <w:pPr>
        <w:pStyle w:val="ListBullet"/>
      </w:pPr>
      <w:r>
        <w:t xml:space="preserve">Configured </w:t>
      </w:r>
      <w:r>
        <w:rPr>
          <w:b/>
        </w:rPr>
        <w:t>New Relic source map publishing</w:t>
      </w:r>
      <w:r>
        <w:t xml:space="preserve"> for the </w:t>
      </w:r>
      <w:r>
        <w:rPr>
          <w:rFonts w:ascii="Courier New" w:hAnsi="Courier New"/>
        </w:rPr>
        <w:t>oc-ccxp-next</w:t>
      </w:r>
      <w:r>
        <w:t xml:space="preserve"> React application, enabling production errors to be traced back to original TypeScript/JSX source code for faster debugging</w:t>
      </w:r>
    </w:p>
    <w:p>
      <w:pPr>
        <w:pStyle w:val="ListBullet"/>
      </w:pPr>
      <w:r>
        <w:t xml:space="preserve">Enabled </w:t>
      </w:r>
      <w:r>
        <w:rPr>
          <w:b/>
        </w:rPr>
        <w:t>AWS CloudWatch Container Insights</w:t>
      </w:r>
      <w:r>
        <w:t xml:space="preserve"> via Terraform for CCXP ECS clusters with environment-level toggle support, providing container-level CPU, memory, and network metrics for operational monitoring</w:t>
      </w:r>
    </w:p>
    <w:p>
      <w:pPr>
        <w:jc w:val="center"/>
      </w:pPr>
      <w:r>
        <w:t>──────────────────────────────────────────────────</w:t>
      </w:r>
    </w:p>
    <w:p/>
    <w:p>
      <w:pPr>
        <w:pStyle w:val="Heading3"/>
      </w:pPr>
      <w:r>
        <w:t>Infrastructure &amp; Cloud Engineering (AWS / Terraform)</w:t>
      </w:r>
    </w:p>
    <w:p>
      <w:pPr>
        <w:pStyle w:val="ListBullet"/>
      </w:pPr>
      <w:r>
        <w:t xml:space="preserve">Researched, planned, and executed a </w:t>
      </w:r>
      <w:r>
        <w:rPr>
          <w:b/>
        </w:rPr>
        <w:t>PostgreSQL major version upgrade</w:t>
      </w:r>
      <w:r>
        <w:t xml:space="preserve"> from v10/v11 to v14 across all CCXP environments, developing a comprehensive upgrade methodology including: snapshot-based dry-run testing, Aurora query plan baseline capture using </w:t>
      </w:r>
      <w:r>
        <w:rPr>
          <w:rFonts w:ascii="Courier New" w:hAnsi="Courier New"/>
        </w:rPr>
        <w:t>apg_plan_mgmt</w:t>
      </w:r>
      <w:r>
        <w:t>, performance comparison between versions, and a documented rollback plan; authored the upgrade runbook for future use</w:t>
      </w:r>
    </w:p>
    <w:p>
      <w:pPr>
        <w:pStyle w:val="ListBullet"/>
      </w:pPr>
      <w:r>
        <w:t xml:space="preserve">Performed </w:t>
      </w:r>
      <w:r>
        <w:rPr>
          <w:b/>
        </w:rPr>
        <w:t>RDS minor version upgrade to PostgreSQL 17.7</w:t>
      </w:r>
      <w:r>
        <w:t xml:space="preserve"> across all CCXP environments, maintaining database currency and security patch compliance</w:t>
      </w:r>
    </w:p>
    <w:p>
      <w:pPr>
        <w:pStyle w:val="ListBullet"/>
      </w:pPr>
      <w:r>
        <w:t xml:space="preserve">Tested and validated </w:t>
      </w:r>
      <w:r>
        <w:rPr>
          <w:b/>
        </w:rPr>
        <w:t>Alpine Linux</w:t>
      </w:r>
      <w:r>
        <w:t xml:space="preserve"> as a replacement base image for CCXP server containers (Alpine 3.23.3 / Node v25 / Python 3.14), resolving an SSH key algorithm compatibility issue in the Akamai deploy script (</w:t>
      </w:r>
      <w:r>
        <w:rPr>
          <w:rFonts w:ascii="Courier New" w:hAnsi="Courier New"/>
        </w:rPr>
        <w:t>deployToAkamai.groovy</w:t>
      </w:r>
      <w:r>
        <w:t>) to enable successful deploys; opened follow-on tickets for the SWE team to adopt the new image</w:t>
      </w:r>
    </w:p>
    <w:p>
      <w:pPr>
        <w:pStyle w:val="ListBullet"/>
      </w:pPr>
      <w:r>
        <w:t xml:space="preserve">Refactored Terraform </w:t>
      </w:r>
      <w:r>
        <w:rPr>
          <w:b/>
        </w:rPr>
        <w:t>child modules</w:t>
      </w:r>
      <w:r>
        <w:t xml:space="preserve"> (KMS, EventBridge, S3, Taxonomy, App, DB) to eliminate all hardcoded AWS account numbers, ARNs, CIDR blocks, and region values, replacing them with variables — enabling the full CCXP infrastructure to be deployed into a new AWS account without code changes</w:t>
      </w:r>
    </w:p>
    <w:p>
      <w:pPr>
        <w:pStyle w:val="ListBullet"/>
      </w:pPr>
      <w:r>
        <w:t xml:space="preserve">Initiated onboarding of CCXP into </w:t>
      </w:r>
      <w:r>
        <w:rPr>
          <w:b/>
        </w:rPr>
        <w:t>AWS Resilience Hub</w:t>
      </w:r>
      <w:r>
        <w:t>, researching resilience features, creating a POC, and evaluating AWS Fault Injection Service (FIS) integration to establish a formal resilience scoring baseline for the platform</w:t>
      </w:r>
    </w:p>
    <w:p>
      <w:pPr>
        <w:pStyle w:val="ListBullet"/>
      </w:pPr>
      <w:r>
        <w:t xml:space="preserve">Implemented </w:t>
      </w:r>
      <w:r>
        <w:rPr>
          <w:b/>
        </w:rPr>
        <w:t>dynamic Akamai CDN cache purging</w:t>
      </w:r>
      <w:r>
        <w:t xml:space="preserve"> capabilities in Jenkins, enabling granular cache invalidation (full cache, individual files, or targeted paths) across all environments and languages — resolving a production incident caused by stale cached content</w:t>
      </w:r>
    </w:p>
    <w:p>
      <w:pPr>
        <w:pStyle w:val="ListBullet"/>
      </w:pPr>
      <w:r>
        <w:t xml:space="preserve">Diagnosed and fixed a production </w:t>
      </w:r>
      <w:r>
        <w:rPr>
          <w:b/>
        </w:rPr>
        <w:t>Akamai cache purge formatting bug</w:t>
      </w:r>
      <w:r>
        <w:t xml:space="preserve"> where purge requests were being sent as a single malformed string rather than a properly structured API payload, restoring correct CDN cache invalidation behavior</w:t>
      </w:r>
    </w:p>
    <w:p>
      <w:pPr>
        <w:jc w:val="center"/>
      </w:pPr>
      <w:r>
        <w:t>──────────────────────────────────────────────────</w:t>
      </w:r>
    </w:p>
    <w:p/>
    <w:p>
      <w:pPr>
        <w:pStyle w:val="Heading3"/>
      </w:pPr>
      <w:r>
        <w:t>GitHub Enterprise → GitHub.com Migration</w:t>
      </w:r>
    </w:p>
    <w:p>
      <w:pPr>
        <w:pStyle w:val="ListBullet"/>
      </w:pPr>
      <w:r>
        <w:t xml:space="preserve">Led the </w:t>
      </w:r>
      <w:r>
        <w:rPr>
          <w:b/>
        </w:rPr>
        <w:t>CXT team's migration from GitHub Enterprise Server (github.cms.gov) to GitHub.com (CMSgov org)</w:t>
      </w:r>
      <w:r>
        <w:t>, serving as the CMS POC for all contractor onboarding; authored and distributed step-by-step onboarding instructions covering EUA email alias setup, LaunchDarkly/Akamai access restoration, GitHub account creation, and CMSgov org access requests for 13+ team members</w:t>
      </w:r>
    </w:p>
    <w:p>
      <w:pPr>
        <w:pStyle w:val="ListBullet"/>
      </w:pPr>
      <w:r>
        <w:t>Prepared all CCXP repositories for migration by auditing branches, documenting CI/CD pipelines, secrets, and webhooks, reviewing OC GitHub Standards compliance (converting public repos to private/internal), and creating a Confluence migration tracker</w:t>
      </w:r>
    </w:p>
    <w:p>
      <w:pPr>
        <w:pStyle w:val="ListBullet"/>
      </w:pPr>
      <w:r>
        <w:t xml:space="preserve">Created the </w:t>
      </w:r>
      <w:r>
        <w:rPr>
          <w:b/>
        </w:rPr>
        <w:t>`oc-ccxp-ai-tools` repository</w:t>
      </w:r>
      <w:r>
        <w:t xml:space="preserve"> on GitHub.com as the foundation for AI-assisted development tooling for the CCXP platform</w:t>
      </w:r>
    </w:p>
    <w:p>
      <w:pPr>
        <w:jc w:val="center"/>
      </w:pPr>
      <w:r>
        <w:t>──────────────────────────────────────────────────</w:t>
      </w:r>
    </w:p>
    <w:p/>
    <w:p>
      <w:pPr>
        <w:pStyle w:val="Heading3"/>
      </w:pPr>
      <w:r>
        <w:t>Resilience Engineering &amp; Chaos Engineering</w:t>
      </w:r>
    </w:p>
    <w:p>
      <w:pPr>
        <w:pStyle w:val="ListBullet"/>
      </w:pPr>
      <w:r>
        <w:t xml:space="preserve">Authored </w:t>
      </w:r>
      <w:r>
        <w:rPr>
          <w:b/>
        </w:rPr>
        <w:t>Infrastructure-as-Code (Terraform) for AWS Fault Injection Service (FIS)</w:t>
      </w:r>
      <w:r>
        <w:t xml:space="preserve"> experiments, enabling the CCXP team to run controlled chaos engineering scenarios against production-like environments to proactively identify system weaknesses</w:t>
      </w:r>
    </w:p>
    <w:p>
      <w:pPr>
        <w:pStyle w:val="ListBullet"/>
      </w:pPr>
      <w:r>
        <w:t xml:space="preserve">Served as </w:t>
      </w:r>
      <w:r>
        <w:rPr>
          <w:b/>
        </w:rPr>
        <w:t>Chaos Master</w:t>
      </w:r>
      <w:r>
        <w:t xml:space="preserve"> for the </w:t>
      </w:r>
      <w:r>
        <w:rPr>
          <w:b/>
        </w:rPr>
        <w:t>OC Medicare Game Day 2026</w:t>
      </w:r>
      <w:r>
        <w:t>, designing and executing a full-scale resilience exercise: pre-deployed FIS infrastructure changes to IMPL, coordinated with the OC-wide chaos master group, updated the incident response runbook to streamline roles (removing deputy/scribe), and documented all scenarios on the OC Game Day Confluence page</w:t>
      </w:r>
    </w:p>
    <w:p>
      <w:pPr>
        <w:pStyle w:val="ListBullet"/>
      </w:pPr>
      <w:r>
        <w:t xml:space="preserve">Established a </w:t>
      </w:r>
      <w:r>
        <w:rPr>
          <w:b/>
        </w:rPr>
        <w:t>Gameday Improvements Tracker</w:t>
      </w:r>
      <w:r>
        <w:t xml:space="preserve"> and </w:t>
      </w:r>
      <w:r>
        <w:rPr>
          <w:b/>
        </w:rPr>
        <w:t>recurring Incident Response Scenario Practice</w:t>
      </w:r>
      <w:r>
        <w:t xml:space="preserve"> program to institutionalize lessons learned from Game Day, ensuring all on-call-eligible engineers receive hands-on paging and incident response practice throughout the year</w:t>
      </w:r>
    </w:p>
    <w:p>
      <w:pPr>
        <w:jc w:val="center"/>
      </w:pPr>
      <w:r>
        <w:t>──────────────────────────────────────────────────</w:t>
      </w:r>
    </w:p>
    <w:p/>
    <w:p>
      <w:pPr>
        <w:pStyle w:val="Heading3"/>
      </w:pPr>
      <w:r>
        <w:t>Documentation &amp; Knowledge Management</w:t>
      </w:r>
    </w:p>
    <w:p>
      <w:pPr>
        <w:pStyle w:val="ListBullet"/>
      </w:pPr>
      <w:r>
        <w:t xml:space="preserve">Created the </w:t>
      </w:r>
      <w:r>
        <w:rPr>
          <w:b/>
        </w:rPr>
        <w:t>Gold Images runbook</w:t>
      </w:r>
      <w:r>
        <w:t xml:space="preserve"> documenting the full lifecycle of CMS-compliant base container images — from request through testing and deployment — providing a reference for all engineers working with gold images</w:t>
      </w:r>
    </w:p>
    <w:p>
      <w:pPr>
        <w:pStyle w:val="ListBullet"/>
      </w:pPr>
      <w:r>
        <w:t xml:space="preserve">Created the </w:t>
      </w:r>
      <w:r>
        <w:rPr>
          <w:b/>
        </w:rPr>
        <w:t>On-Call Scheduling runbook</w:t>
      </w:r>
      <w:r>
        <w:t xml:space="preserve"> standardizing the process for building and maintaining the CCXP on-call rotation schedule</w:t>
      </w:r>
    </w:p>
    <w:p>
      <w:pPr>
        <w:pStyle w:val="ListBullet"/>
      </w:pPr>
      <w:r>
        <w:t xml:space="preserve">Authored the original </w:t>
      </w:r>
      <w:r>
        <w:rPr>
          <w:b/>
        </w:rPr>
        <w:t>CCXP-CI README</w:t>
      </w:r>
      <w:r>
        <w:t>, providing onboarding documentation for the shared Jenkins CI library</w:t>
      </w:r>
    </w:p>
    <w:p>
      <w:pPr>
        <w:pStyle w:val="ListBullet"/>
      </w:pPr>
      <w:r>
        <w:t xml:space="preserve">Created the original </w:t>
      </w:r>
      <w:r>
        <w:rPr>
          <w:b/>
        </w:rPr>
        <w:t>on-call runbook</w:t>
      </w:r>
      <w:r>
        <w:t xml:space="preserve"> for the CCXP platform, establishing incident response procedures for the team</w:t>
      </w:r>
    </w:p>
    <w:p>
      <w:pPr>
        <w:pStyle w:val="ListBullet"/>
      </w:pPr>
      <w:r>
        <w:t xml:space="preserve">Documented the </w:t>
      </w:r>
      <w:r>
        <w:rPr>
          <w:b/>
        </w:rPr>
        <w:t>Postgres 14 upgrade process</w:t>
      </w:r>
      <w:r>
        <w:t>, creating a reusable runbook for future major database version upgrades</w:t>
      </w:r>
    </w:p>
    <w:p>
      <w:pPr>
        <w:jc w:val="center"/>
      </w:pPr>
      <w:r>
        <w:t>──────────────────────────────────────────────────</w:t>
      </w:r>
    </w:p>
    <w:p/>
    <w:p>
      <w:pPr>
        <w:pStyle w:val="Heading3"/>
      </w:pPr>
      <w:r>
        <w:t>Production Release Management</w:t>
      </w:r>
    </w:p>
    <w:p>
      <w:pPr>
        <w:pStyle w:val="ListBullet"/>
      </w:pPr>
      <w:r>
        <w:t xml:space="preserve">Served as </w:t>
      </w:r>
      <w:r>
        <w:rPr>
          <w:b/>
        </w:rPr>
        <w:t>Play Caller</w:t>
      </w:r>
      <w:r>
        <w:t xml:space="preserve"> for numerous production and environment deployments across the full CCXP release lifecycle (TEST → IMPL → PROD), including releases for Paranoid Penguin, Quarreling Quail, Risky Raccoon, Sarcastic Sloth, Wise Whale, Turbo Turtle, Vile Vulture, and many more</w:t>
      </w:r>
    </w:p>
    <w:p>
      <w:pPr>
        <w:pStyle w:val="ListBullet"/>
      </w:pPr>
      <w:r>
        <w:t>Coordinated multi-provider data releases across Nursing Home (NH), Hospital Outpatient Services (HOS), Dialysis Facility (DF), Home Health (HHS), and IRF/LTCH provider types, ensuring timely and accurate data refreshes on Care Compare for Medicare beneficiaries</w:t>
      </w:r>
    </w:p>
    <w:p>
      <w:pPr>
        <w:jc w:val="center"/>
      </w:pPr>
      <w:r>
        <w:t>──────────────────────────────────────────────────</w:t>
      </w:r>
    </w:p>
    <w:p/>
    <w:p>
      <w:pPr>
        <w:pStyle w:val="Quote"/>
      </w:pPr>
      <w:r>
        <w:rPr>
          <w:b/>
        </w:rPr>
        <w:t>Note:</w:t>
      </w:r>
      <w:r>
        <w:t xml:space="preserve"> These entries are based on Jira tickets and Confluence documentation from the CCXP project. Dates, metrics, and role titles should be reviewed and tailored to match your target role and resume format before submission.</w:t>
      </w:r>
    </w:p>
    <w:p/>
    <w:sectPr w:rsidR="00FD0089" w:rsidRPr="002F75E4" w:rsidSect="005C75E7">
      <w:pgSz w:w="12240" w:h="15840"/>
      <w:pgMar w:top="1440" w:right="1440" w:bottom="1440" w:left="1440" w:header="576" w:footer="57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AA498" w14:textId="77777777" w:rsidR="00A87F30" w:rsidRDefault="00A87F30">
      <w:r>
        <w:separator/>
      </w:r>
    </w:p>
  </w:endnote>
  <w:endnote w:type="continuationSeparator" w:id="0">
    <w:p w14:paraId="4F026399" w14:textId="77777777" w:rsidR="00A87F30" w:rsidRDefault="00A87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rutiger LT Std 45 Light">
    <w:altName w:val="Calibri"/>
    <w:panose1 w:val="020B0604020202020204"/>
    <w:charset w:val="00"/>
    <w:family w:val="swiss"/>
    <w:notTrueType/>
    <w:pitch w:val="variable"/>
    <w:sig w:usb0="800000AF" w:usb1="4000204A" w:usb2="00000000" w:usb3="00000000" w:csb0="00000001" w:csb1="00000000"/>
  </w:font>
  <w:font w:name="Frutiger LT Std 65 Bold">
    <w:altName w:val="Calibri"/>
    <w:panose1 w:val="020B0604020202020204"/>
    <w:charset w:val="00"/>
    <w:family w:val="swiss"/>
    <w:notTrueType/>
    <w:pitch w:val="variable"/>
    <w:sig w:usb0="800000AF" w:usb1="4000204A" w:usb2="00000000" w:usb3="00000000" w:csb0="0000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frutiger lt">
    <w:altName w:val="Cambria"/>
    <w:panose1 w:val="020B0604020202020204"/>
    <w:charset w:val="00"/>
    <w:family w:val="roman"/>
    <w:pitch w:val="default"/>
  </w:font>
  <w:font w:name="Gill Sans MT">
    <w:panose1 w:val="020B0502020104020203"/>
    <w:charset w:val="4D"/>
    <w:family w:val="swiss"/>
    <w:pitch w:val="variable"/>
    <w:sig w:usb0="00000003" w:usb1="00000000" w:usb2="00000000" w:usb3="00000000" w:csb0="00000003" w:csb1="00000000"/>
  </w:font>
  <w:font w:name="Avenir LT Std 55 Roman">
    <w:altName w:val="Calibri"/>
    <w:panose1 w:val="020B0503020203020204"/>
    <w:charset w:val="4D"/>
    <w:family w:val="swiss"/>
    <w:pitch w:val="variable"/>
    <w:sig w:usb0="800000AF" w:usb1="5000204A"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6BDC4" w14:textId="77777777" w:rsidR="00EE3504" w:rsidRDefault="00796EF2">
    <w:pPr>
      <w:spacing w:line="14" w:lineRule="auto"/>
      <w:rPr>
        <w:sz w:val="20"/>
      </w:rPr>
    </w:pPr>
    <w:r>
      <w:rPr>
        <w:noProof/>
      </w:rPr>
      <mc:AlternateContent>
        <mc:Choice Requires="wps">
          <w:drawing>
            <wp:anchor distT="0" distB="0" distL="0" distR="0" simplePos="0" relativeHeight="251661312" behindDoc="1" locked="0" layoutInCell="1" allowOverlap="1" wp14:anchorId="0AB25287" wp14:editId="3AC69400">
              <wp:simplePos x="0" y="0"/>
              <wp:positionH relativeFrom="page">
                <wp:posOffset>0</wp:posOffset>
              </wp:positionH>
              <wp:positionV relativeFrom="page">
                <wp:posOffset>9250045</wp:posOffset>
              </wp:positionV>
              <wp:extent cx="687705" cy="415290"/>
              <wp:effectExtent l="0" t="0" r="0" b="0"/>
              <wp:wrapNone/>
              <wp:docPr id="1429064064" name="Freeform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7705" cy="415290"/>
                      </a:xfrm>
                      <a:custGeom>
                        <a:avLst/>
                        <a:gdLst/>
                        <a:ahLst/>
                        <a:cxnLst/>
                        <a:rect l="l" t="t" r="r" b="b"/>
                        <a:pathLst>
                          <a:path w="687705" h="415290">
                            <a:moveTo>
                              <a:pt x="687387" y="0"/>
                            </a:moveTo>
                            <a:lnTo>
                              <a:pt x="0" y="0"/>
                            </a:lnTo>
                            <a:lnTo>
                              <a:pt x="0" y="414781"/>
                            </a:lnTo>
                            <a:lnTo>
                              <a:pt x="687387" y="414781"/>
                            </a:lnTo>
                            <a:lnTo>
                              <a:pt x="687387" y="0"/>
                            </a:lnTo>
                            <a:close/>
                          </a:path>
                        </a:pathLst>
                      </a:custGeom>
                      <a:solidFill>
                        <a:srgbClr val="00529C"/>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DC69C03" id="Freeform 158" o:spid="_x0000_s1026" style="position:absolute;margin-left:0;margin-top:728.35pt;width:54.15pt;height:32.7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87705,41529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Pt2+9JwIAAMAEAAAOAAAAZHJzL2Uyb0RvYy54bWysVE2P0zAQvSPxHyzfadLS3Zao6Qp1tQhp tay0RZxdx2kinIzxuE323zN26jRaTiAu9jjz/PzmK5u7vtHsrCzW0OZ8Pks5U62Eom6POf++f/iw 5gydaAuhoVU5f1XI77bv3206k6kFVKALZRmRtJh1JueVcyZLEpSVagTOwKiWnCXYRjg62mNSWNER e6OTRZreJh3YwliQCpG+3g9Ovg38Zamk+1aWqBzTOSdtLqw2rAe/JtuNyI5WmKqWFxniH1Q0om7p 0ZHqXjjBTrb+g6qppQWE0s0kNAmUZS1ViIGimadvonmphFEhFkoOmjFN+P9o5dP5xTxbLx3NI8if SBlJOoPZ6PEHvGD60jYeS8JZH7L4OmZR9Y5J+ni7Xq3SG84kuZbzm8WnkOVEZPGyPKH7oiAQifMj uqEIRbREFS3Zt9G0VEpfRB2K6DijIlrOqIiHoYhGOH/Pq/Mm665KqlGI9zZwVnsIOOeDIL0f1yvO YiSk9ArR7RRKHTRBRV/cTaAbMMv5crWee2VEFwFxH4CTd/8OHfMZ6aQGVMNLPvLw5JgNen6abwRd Fw+11j5+tMfDTlt2Fn46UirV7qJ4AgvNMNTfd8IBitdnyzoamZzjr5OwijP9taWe9PMVDRuNQzSs 0zsIUxhSb9Ht+x/CGmbIzLmj9nmC2PEii41B+j1gwPqbLXw+OShr3zVB26DocqAxCfFfRtrP4fQc UNcfz/Y3AAAA//8DAFBLAwQUAAYACAAAACEAVacBfuMAAAAPAQAADwAAAGRycy9kb3ducmV2Lnht bEyPu27DMAxF9wL9B4EFujVS3OblWA76yhR0aJoho2KplhGJci0ldv6+zNQuBMkLXt5TrAbv2Nl0 sQkoYTwSwAxWQTdYS9h9rR/mwGJSqJULaCRcTIRVeXtTqFyHHj/NeZtqRiYYcyXBptTmnMfKGq/i KLQGSfsOnVeJxq7mulM9mXvHMyGm3KsG6YNVrXm1pjpuT17C2vYzFMPPRS/cx4vHzW5fHd+lvL8b 3pZUnpfAkhnS3wVcGSg/lBTsEE6oI3MSiCbR9mkynQG76mL+COxAzSTLxsDLgv/nKH8BAAD//wMA UEsBAi0AFAAGAAgAAAAhALaDOJL+AAAA4QEAABMAAAAAAAAAAAAAAAAAAAAAAFtDb250ZW50X1R5 cGVzXS54bWxQSwECLQAUAAYACAAAACEAOP0h/9YAAACUAQAACwAAAAAAAAAAAAAAAAAvAQAAX3Jl bHMvLnJlbHNQSwECLQAUAAYACAAAACEAD7dvvScCAADABAAADgAAAAAAAAAAAAAAAAAuAgAAZHJz L2Uyb0RvYy54bWxQSwECLQAUAAYACAAAACEAVacBfuMAAAAPAQAADwAAAAAAAAAAAAAAAACBBAAA ZHJzL2Rvd25yZXYueG1sUEsFBgAAAAAEAAQA8wAAAJEFAAAAAA== " path="m687387,l,,,414781r687387,l687387,xe" fillcolor="#00529c" stroked="f">
              <v:path arrowok="t"/>
              <w10:wrap anchorx="page" anchory="page"/>
            </v:shape>
          </w:pict>
        </mc:Fallback>
      </mc:AlternateContent>
    </w:r>
    <w:r>
      <w:rPr>
        <w:noProof/>
      </w:rPr>
      <mc:AlternateContent>
        <mc:Choice Requires="wps">
          <w:drawing>
            <wp:anchor distT="0" distB="0" distL="0" distR="0" simplePos="0" relativeHeight="251665408" behindDoc="1" locked="0" layoutInCell="1" allowOverlap="1" wp14:anchorId="6378DFF9" wp14:editId="4B6A0C87">
              <wp:simplePos x="0" y="0"/>
              <wp:positionH relativeFrom="page">
                <wp:posOffset>313690</wp:posOffset>
              </wp:positionH>
              <wp:positionV relativeFrom="page">
                <wp:posOffset>9345295</wp:posOffset>
              </wp:positionV>
              <wp:extent cx="223520" cy="236220"/>
              <wp:effectExtent l="0" t="0" r="0" b="0"/>
              <wp:wrapNone/>
              <wp:docPr id="640315825" name="Text 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236220"/>
                      </a:xfrm>
                      <a:prstGeom prst="rect">
                        <a:avLst/>
                      </a:prstGeom>
                    </wps:spPr>
                    <wps:txbx>
                      <w:txbxContent>
                        <w:p w14:paraId="15CCA425" w14:textId="77777777" w:rsidR="00EE3504" w:rsidRDefault="00000000">
                          <w:pPr>
                            <w:spacing w:before="16"/>
                            <w:ind w:left="20"/>
                            <w:rPr>
                              <w:rFonts w:ascii="Frutiger LT Std 65 Bold"/>
                              <w:b/>
                              <w:sz w:val="28"/>
                            </w:rPr>
                          </w:pPr>
                          <w:r>
                            <w:rPr>
                              <w:rFonts w:ascii="Frutiger LT Std 65 Bold"/>
                              <w:b/>
                              <w:color w:val="FFFFFF"/>
                              <w:spacing w:val="-5"/>
                              <w:sz w:val="28"/>
                            </w:rPr>
                            <w:fldChar w:fldCharType="begin"/>
                          </w:r>
                          <w:r>
                            <w:rPr>
                              <w:rFonts w:ascii="Frutiger LT Std 65 Bold"/>
                              <w:b/>
                              <w:color w:val="FFFFFF"/>
                              <w:spacing w:val="-5"/>
                              <w:sz w:val="28"/>
                            </w:rPr>
                            <w:instrText xml:space="preserve"> PAGE </w:instrText>
                          </w:r>
                          <w:r>
                            <w:rPr>
                              <w:rFonts w:ascii="Frutiger LT Std 65 Bold"/>
                              <w:b/>
                              <w:color w:val="FFFFFF"/>
                              <w:spacing w:val="-5"/>
                              <w:sz w:val="28"/>
                            </w:rPr>
                            <w:fldChar w:fldCharType="separate"/>
                          </w:r>
                          <w:r>
                            <w:rPr>
                              <w:rFonts w:ascii="Frutiger LT Std 65 Bold"/>
                              <w:b/>
                              <w:color w:val="FFFFFF"/>
                              <w:spacing w:val="-5"/>
                              <w:sz w:val="28"/>
                            </w:rPr>
                            <w:t>10</w:t>
                          </w:r>
                          <w:r>
                            <w:rPr>
                              <w:rFonts w:ascii="Frutiger LT Std 65 Bold"/>
                              <w:b/>
                              <w:color w:val="FFFFFF"/>
                              <w:spacing w:val="-5"/>
                              <w:sz w:val="28"/>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378DFF9" id="_x0000_t202" coordsize="21600,21600" o:spt="202" path="m,l,21600r21600,l21600,xe">
              <v:stroke joinstyle="miter"/>
              <v:path gradientshapeok="t" o:connecttype="rect"/>
            </v:shapetype>
            <v:shape id="Text Box 156" o:spid="_x0000_s1026" type="#_x0000_t202" style="position:absolute;margin-left:24.7pt;margin-top:735.85pt;width:17.6pt;height:18.6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" filled="f" stroked="f">
              <v:textbox inset="0,0,0,0">
                <w:txbxContent>
                  <w:p w14:paraId="15CCA425" w14:textId="77777777" w:rsidR="00EE3504" w:rsidRDefault="00000000">
                    <w:pPr>
                      <w:spacing w:before="16"/>
                      <w:ind w:left="20"/>
                      <w:rPr>
                        <w:rFonts w:ascii="Frutiger LT Std 65 Bold"/>
                        <w:b/>
                        <w:sz w:val="28"/>
                      </w:rPr>
                    </w:pPr>
                    <w:r>
                      <w:rPr>
                        <w:rFonts w:ascii="Frutiger LT Std 65 Bold"/>
                        <w:b/>
                        <w:color w:val="FFFFFF"/>
                        <w:spacing w:val="-5"/>
                        <w:sz w:val="28"/>
                      </w:rPr>
                      <w:fldChar w:fldCharType="begin"/>
                    </w:r>
                    <w:r>
                      <w:rPr>
                        <w:rFonts w:ascii="Frutiger LT Std 65 Bold"/>
                        <w:b/>
                        <w:color w:val="FFFFFF"/>
                        <w:spacing w:val="-5"/>
                        <w:sz w:val="28"/>
                      </w:rPr>
                      <w:instrText xml:space="preserve"> PAGE </w:instrText>
                    </w:r>
                    <w:r>
                      <w:rPr>
                        <w:rFonts w:ascii="Frutiger LT Std 65 Bold"/>
                        <w:b/>
                        <w:color w:val="FFFFFF"/>
                        <w:spacing w:val="-5"/>
                        <w:sz w:val="28"/>
                      </w:rPr>
                      <w:fldChar w:fldCharType="separate"/>
                    </w:r>
                    <w:r>
                      <w:rPr>
                        <w:rFonts w:ascii="Frutiger LT Std 65 Bold"/>
                        <w:b/>
                        <w:color w:val="FFFFFF"/>
                        <w:spacing w:val="-5"/>
                        <w:sz w:val="28"/>
                      </w:rPr>
                      <w:t>10</w:t>
                    </w:r>
                    <w:r>
                      <w:rPr>
                        <w:rFonts w:ascii="Frutiger LT Std 65 Bold"/>
                        <w:b/>
                        <w:color w:val="FFFFFF"/>
                        <w:spacing w:val="-5"/>
                        <w:sz w:val="28"/>
                      </w:rPr>
                      <w:fldChar w:fldCharType="end"/>
                    </w:r>
                  </w:p>
                </w:txbxContent>
              </v:textbox>
              <w10:wrap anchorx="page" anchory="page"/>
            </v:shape>
          </w:pict>
        </mc:Fallback>
      </mc:AlternateContent>
    </w:r>
    <w:r>
      <w:rPr>
        <w:noProof/>
      </w:rPr>
      <mc:AlternateContent>
        <mc:Choice Requires="wps">
          <w:drawing>
            <wp:anchor distT="0" distB="0" distL="0" distR="0" simplePos="0" relativeHeight="251669504" behindDoc="1" locked="0" layoutInCell="1" allowOverlap="1" wp14:anchorId="4570E0FF" wp14:editId="1946C8DD">
              <wp:simplePos x="0" y="0"/>
              <wp:positionH relativeFrom="page">
                <wp:posOffset>1146175</wp:posOffset>
              </wp:positionH>
              <wp:positionV relativeFrom="page">
                <wp:posOffset>9419590</wp:posOffset>
              </wp:positionV>
              <wp:extent cx="3199765" cy="158115"/>
              <wp:effectExtent l="0" t="0" r="0" b="0"/>
              <wp:wrapNone/>
              <wp:docPr id="2055083190" name="Text 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99765" cy="158115"/>
                      </a:xfrm>
                      <a:prstGeom prst="rect">
                        <a:avLst/>
                      </a:prstGeom>
                    </wps:spPr>
                    <wps:txbx>
                      <w:txbxContent>
                        <w:p w14:paraId="341E9A8B" w14:textId="77777777" w:rsidR="00EE3504" w:rsidRDefault="00EE3504">
                          <w:pPr>
                            <w:spacing w:before="13"/>
                            <w:ind w:left="20"/>
                            <w:rPr>
                              <w:sz w:val="18"/>
                            </w:rPr>
                          </w:pPr>
                          <w:hyperlink w:anchor="_bookmark0" w:history="1"/>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4570E0FF" id="Text Box 154" o:spid="_x0000_s1027" type="#_x0000_t202" style="position:absolute;margin-left:90.25pt;margin-top:741.7pt;width:251.95pt;height:12.45pt;z-index:-2516469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" filled="f" stroked="f">
              <v:textbox inset="0,0,0,0">
                <w:txbxContent>
                  <w:p w14:paraId="341E9A8B" w14:textId="77777777" w:rsidR="00EE3504" w:rsidRDefault="00EE3504">
                    <w:pPr>
                      <w:spacing w:before="13"/>
                      <w:ind w:left="20"/>
                      <w:rPr>
                        <w:sz w:val="18"/>
                      </w:rPr>
                    </w:pPr>
                    <w:hyperlink w:anchor="_bookmark0" w:history="1"/>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44D28" w14:textId="2703A498" w:rsidR="00EE3504" w:rsidRDefault="00796EF2" w:rsidP="005C75E7">
    <w:pPr>
      <w:tabs>
        <w:tab w:val="center" w:pos="6120"/>
      </w:tabs>
      <w:spacing w:before="480" w:line="14" w:lineRule="auto"/>
      <w:ind w:hanging="720"/>
      <w:rPr>
        <w:sz w:val="20"/>
      </w:rPr>
    </w:pPr>
    <w:r w:rsidRPr="00796EF2">
      <w:rPr>
        <w:noProof/>
        <w:sz w:val="20"/>
      </w:rPr>
      <w:drawing>
        <wp:inline distT="0" distB="0" distL="0" distR="0" wp14:anchorId="7385DF08" wp14:editId="51CE14EA">
          <wp:extent cx="1240155" cy="426085"/>
          <wp:effectExtent l="0" t="0" r="0" b="0"/>
          <wp:docPr id="1470267717" name="Pictur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40155" cy="426085"/>
                  </a:xfrm>
                  <a:prstGeom prst="rect">
                    <a:avLst/>
                  </a:prstGeom>
                  <a:noFill/>
                  <a:ln>
                    <a:noFill/>
                  </a:ln>
                </pic:spPr>
              </pic:pic>
            </a:graphicData>
          </a:graphic>
        </wp:inline>
      </w:drawing>
    </w:r>
    <w:r>
      <w:rPr>
        <w:noProof/>
      </w:rPr>
      <mc:AlternateContent>
        <mc:Choice Requires="wps">
          <w:drawing>
            <wp:anchor distT="0" distB="0" distL="0" distR="0" simplePos="0" relativeHeight="251649024" behindDoc="1" locked="0" layoutInCell="1" allowOverlap="1" wp14:anchorId="62EBD38E" wp14:editId="28C51BFB">
              <wp:simplePos x="0" y="0"/>
              <wp:positionH relativeFrom="page">
                <wp:posOffset>7086600</wp:posOffset>
              </wp:positionH>
              <wp:positionV relativeFrom="page">
                <wp:posOffset>9236710</wp:posOffset>
              </wp:positionV>
              <wp:extent cx="685800" cy="492760"/>
              <wp:effectExtent l="0" t="0" r="0" b="0"/>
              <wp:wrapNone/>
              <wp:docPr id="1456029885" name="Freeform 1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 cy="492760"/>
                      </a:xfrm>
                      <a:custGeom>
                        <a:avLst/>
                        <a:gdLst/>
                        <a:ahLst/>
                        <a:cxnLst/>
                        <a:rect l="l" t="t" r="r" b="b"/>
                        <a:pathLst>
                          <a:path w="685800" h="492759">
                            <a:moveTo>
                              <a:pt x="685800" y="0"/>
                            </a:moveTo>
                            <a:lnTo>
                              <a:pt x="0" y="0"/>
                            </a:lnTo>
                            <a:lnTo>
                              <a:pt x="0" y="492506"/>
                            </a:lnTo>
                            <a:lnTo>
                              <a:pt x="685800" y="492506"/>
                            </a:lnTo>
                            <a:lnTo>
                              <a:pt x="685800" y="0"/>
                            </a:lnTo>
                            <a:close/>
                          </a:path>
                        </a:pathLst>
                      </a:custGeom>
                      <a:solidFill>
                        <a:srgbClr val="00529C"/>
                      </a:solidFill>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C789280" id="Freeform 150" o:spid="_x0000_s1026" style="position:absolute;margin-left:558pt;margin-top:727.3pt;width:54pt;height:38.8pt;z-index:-2516674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coordsize="685800,49275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ymNABIwIAAMAEAAAOAAAAZHJzL2Uyb0RvYy54bWysVMFu2zAMvQ/YPwi6L3aDJUuMOMWQosOA oivQFDsrshwbk0WNUuLk70fJUWJspw27SJT1RD4+kl7dnzrNjgpdC6bkd5OcM2UkVK3Zl/xt+/hh wZnzwlRCg1ElPyvH79fv3616W6gpNKArhYycGFf0tuSN97bIMicb1Qk3AasMXdaAnfB0xH1WoejJ e6ezaZ7Psx6wsghSOUdfH4ZLvo7+61pJ/62unfJMl5y4+bhiXHdhzdYrUexR2KaVFxriH1h0ojUU 9OrqQXjBDtj+4aprJYKD2k8kdBnUdStVzIGyuct/y+a1EVbFXEgcZ68yuf/nVj4fX+0LBurOPoH8 4UiRrLeuuN6Eg7tgTjV2AUvE2SmqeL6qqE6eSfo4X8wWOWkt6erjcvppHlXORJEey4PzXxRER+L4 5PxQhCpZokmWPJlkIpUyFFHHInrOqIjIGRVxNxTRCh/eBXbBZP2NSTMQmS1jiTo4qi1EnA9JJL4p E2J6g2gzhlJWI1S6S7uN7gYMJT7L54EZuUuAtA/AUdy/Qyc9kzupwakhUsg8hryqQeHHejvQbfXY ah0rjvvdRiM7ijAd+Wy63FwYj2CxGYb6h07YQXV+QdbTyJTc/TwIVJzpr4Z6MsxXMjAZu2Sg1xuI UxilR+e3p+8CLbNkltxT+zxD6nhRpMYg/gEwYMNLA58PHuo2dE3kNjC6HGhMYv6XkQ5zOD5H1O3H s/4FAAD//wMAUEsDBBQABgAIAAAAIQC8ug1g5QAAABQBAAAPAAAAZHJzL2Rvd25yZXYueG1sTE/L TsMwELwj8Q/WInGjTpyHShqnQlTceqAF0XLbxm4SEdtR7Lbh79meymU1s4/ZmXI5mZ6d9eg7ZyXE swiYtrVTnW0kfH68Pc2B+YBWYe+slvCrPSyr+7sSC+UudqPP29AwErG+QAltCEPBua9bbdDP3KAt zY5uNBiIjg1XI15I3PRcRFHODXaWPrQ46NdW1z/bk5GweV4n3dd8WGfJ+/64CjHy7x1K+fgwrRZU XhbAgp7C7QKuGcg/VGTs4E5WedYTj+OcEgVCaZbmwK47QqTUOxDKEiGAVyX/H6b6AwAA//8DAFBL AQItABQABgAIAAAAIQC2gziS/gAAAOEBAAATAAAAAAAAAAAAAAAAAAAAAABbQ29udGVudF9UeXBl c10ueG1sUEsBAi0AFAAGAAgAAAAhADj9If/WAAAAlAEAAAsAAAAAAAAAAAAAAAAALwEAAF9yZWxz Ly5yZWxzUEsBAi0AFAAGAAgAAAAhALKY0AEjAgAAwAQAAA4AAAAAAAAAAAAAAAAALgIAAGRycy9l Mm9Eb2MueG1sUEsBAi0AFAAGAAgAAAAhALy6DWDlAAAAFAEAAA8AAAAAAAAAAAAAAAAAfQQAAGRy cy9kb3ducmV2LnhtbFBLBQYAAAAABAAEAPMAAACPBQAAAAA= " path="m685800,l,,,492506r685800,l685800,xe" fillcolor="#00529c" stroked="f">
              <v:path arrowok="t"/>
              <w10:wrap anchorx="page" anchory="page"/>
            </v:shape>
          </w:pict>
        </mc:Fallback>
      </mc:AlternateContent>
    </w:r>
    <w:r>
      <w:rPr>
        <w:noProof/>
      </w:rPr>
      <mc:AlternateContent>
        <mc:Choice Requires="wps">
          <w:drawing>
            <wp:anchor distT="0" distB="0" distL="0" distR="0" simplePos="0" relativeHeight="251653120" behindDoc="1" locked="0" layoutInCell="1" allowOverlap="1" wp14:anchorId="72BFBC80" wp14:editId="60DDB6E7">
              <wp:simplePos x="0" y="0"/>
              <wp:positionH relativeFrom="page">
                <wp:posOffset>7277100</wp:posOffset>
              </wp:positionH>
              <wp:positionV relativeFrom="page">
                <wp:posOffset>9370695</wp:posOffset>
              </wp:positionV>
              <wp:extent cx="248920" cy="236220"/>
              <wp:effectExtent l="0" t="0" r="0" b="0"/>
              <wp:wrapNone/>
              <wp:docPr id="714695486" name="Text 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236220"/>
                      </a:xfrm>
                      <a:prstGeom prst="rect">
                        <a:avLst/>
                      </a:prstGeom>
                    </wps:spPr>
                    <wps:txbx>
                      <w:txbxContent>
                        <w:p w14:paraId="753FA3FD" w14:textId="77777777" w:rsidR="00EE3504" w:rsidRDefault="00000000">
                          <w:pPr>
                            <w:spacing w:before="16"/>
                            <w:ind w:left="60"/>
                            <w:rPr>
                              <w:rFonts w:ascii="Frutiger LT Std 65 Bold"/>
                              <w:b/>
                              <w:sz w:val="28"/>
                            </w:rPr>
                          </w:pPr>
                          <w:r>
                            <w:rPr>
                              <w:rFonts w:ascii="Frutiger LT Std 65 Bold"/>
                              <w:b/>
                              <w:color w:val="FFFFFF"/>
                              <w:spacing w:val="-5"/>
                              <w:sz w:val="28"/>
                            </w:rPr>
                            <w:fldChar w:fldCharType="begin"/>
                          </w:r>
                          <w:r>
                            <w:rPr>
                              <w:rFonts w:ascii="Frutiger LT Std 65 Bold"/>
                              <w:b/>
                              <w:color w:val="FFFFFF"/>
                              <w:spacing w:val="-5"/>
                              <w:sz w:val="28"/>
                            </w:rPr>
                            <w:instrText xml:space="preserve"> PAGE </w:instrText>
                          </w:r>
                          <w:r>
                            <w:rPr>
                              <w:rFonts w:ascii="Frutiger LT Std 65 Bold"/>
                              <w:b/>
                              <w:color w:val="FFFFFF"/>
                              <w:spacing w:val="-5"/>
                              <w:sz w:val="28"/>
                            </w:rPr>
                            <w:fldChar w:fldCharType="separate"/>
                          </w:r>
                          <w:r>
                            <w:rPr>
                              <w:rFonts w:ascii="Frutiger LT Std 65 Bold"/>
                              <w:b/>
                              <w:color w:val="FFFFFF"/>
                              <w:spacing w:val="-5"/>
                              <w:sz w:val="28"/>
                            </w:rPr>
                            <w:t>11</w:t>
                          </w:r>
                          <w:r>
                            <w:rPr>
                              <w:rFonts w:ascii="Frutiger LT Std 65 Bold"/>
                              <w:b/>
                              <w:color w:val="FFFFFF"/>
                              <w:spacing w:val="-5"/>
                              <w:sz w:val="28"/>
                            </w:rPr>
                            <w:fldChar w:fldCharType="end"/>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72BFBC80" id="_x0000_t202" coordsize="21600,21600" o:spt="202" path="m,l,21600r21600,l21600,xe">
              <v:stroke joinstyle="miter"/>
              <v:path gradientshapeok="t" o:connecttype="rect"/>
            </v:shapetype>
            <v:shape id="Text Box 148" o:spid="_x0000_s1028" type="#_x0000_t202" style="position:absolute;margin-left:573pt;margin-top:737.85pt;width:19.6pt;height:18.6pt;z-index:-25166336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" filled="f" stroked="f">
              <v:textbox inset="0,0,0,0">
                <w:txbxContent>
                  <w:p w14:paraId="753FA3FD" w14:textId="77777777" w:rsidR="00EE3504" w:rsidRDefault="00000000">
                    <w:pPr>
                      <w:spacing w:before="16"/>
                      <w:ind w:left="60"/>
                      <w:rPr>
                        <w:rFonts w:ascii="Frutiger LT Std 65 Bold"/>
                        <w:b/>
                        <w:sz w:val="28"/>
                      </w:rPr>
                    </w:pPr>
                    <w:r>
                      <w:rPr>
                        <w:rFonts w:ascii="Frutiger LT Std 65 Bold"/>
                        <w:b/>
                        <w:color w:val="FFFFFF"/>
                        <w:spacing w:val="-5"/>
                        <w:sz w:val="28"/>
                      </w:rPr>
                      <w:fldChar w:fldCharType="begin"/>
                    </w:r>
                    <w:r>
                      <w:rPr>
                        <w:rFonts w:ascii="Frutiger LT Std 65 Bold"/>
                        <w:b/>
                        <w:color w:val="FFFFFF"/>
                        <w:spacing w:val="-5"/>
                        <w:sz w:val="28"/>
                      </w:rPr>
                      <w:instrText xml:space="preserve"> PAGE </w:instrText>
                    </w:r>
                    <w:r>
                      <w:rPr>
                        <w:rFonts w:ascii="Frutiger LT Std 65 Bold"/>
                        <w:b/>
                        <w:color w:val="FFFFFF"/>
                        <w:spacing w:val="-5"/>
                        <w:sz w:val="28"/>
                      </w:rPr>
                      <w:fldChar w:fldCharType="separate"/>
                    </w:r>
                    <w:r>
                      <w:rPr>
                        <w:rFonts w:ascii="Frutiger LT Std 65 Bold"/>
                        <w:b/>
                        <w:color w:val="FFFFFF"/>
                        <w:spacing w:val="-5"/>
                        <w:sz w:val="28"/>
                      </w:rPr>
                      <w:t>11</w:t>
                    </w:r>
                    <w:r>
                      <w:rPr>
                        <w:rFonts w:ascii="Frutiger LT Std 65 Bold"/>
                        <w:b/>
                        <w:color w:val="FFFFFF"/>
                        <w:spacing w:val="-5"/>
                        <w:sz w:val="28"/>
                      </w:rPr>
                      <w:fldChar w:fldCharType="end"/>
                    </w:r>
                  </w:p>
                </w:txbxContent>
              </v:textbox>
              <w10:wrap anchorx="page" anchory="page"/>
            </v:shape>
          </w:pict>
        </mc:Fallback>
      </mc:AlternateContent>
    </w:r>
    <w:r w:rsidR="0019780D">
      <w:rPr>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2E139" w14:textId="77777777" w:rsidR="00A87F30" w:rsidRDefault="00A87F30">
      <w:r>
        <w:separator/>
      </w:r>
    </w:p>
  </w:footnote>
  <w:footnote w:type="continuationSeparator" w:id="0">
    <w:p w14:paraId="6F99DD30" w14:textId="77777777" w:rsidR="00A87F30" w:rsidRDefault="00A87F30">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11D4731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2pt;visibility:visible;mso-wrap-style:square" o:bullet="t">
        <v:imagedata r:id="rId1" o:title=""/>
      </v:shape>
    </w:pict>
  </w:numPicBullet>
  <w:abstractNum w:abstractNumId="0" w15:restartNumberingAfterBreak="0">
    <w:nsid w:val="06E234AE"/>
    <w:multiLevelType w:val="hybridMultilevel"/>
    <w:tmpl w:val="59209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A775AF"/>
    <w:multiLevelType w:val="hybridMultilevel"/>
    <w:tmpl w:val="32F2EA8A"/>
    <w:lvl w:ilvl="0" w:tplc="3E9068AA">
      <w:start w:val="1"/>
      <w:numFmt w:val="bullet"/>
      <w:lvlText w:val=""/>
      <w:lvlPicBulletId w:val="0"/>
      <w:lvlJc w:val="left"/>
      <w:pPr>
        <w:tabs>
          <w:tab w:val="num" w:pos="720"/>
        </w:tabs>
        <w:ind w:left="720" w:hanging="360"/>
      </w:pPr>
      <w:rPr>
        <w:rFonts w:ascii="Symbol" w:hAnsi="Symbol" w:hint="default"/>
        <w:sz w:val="28"/>
        <w:szCs w:val="28"/>
      </w:rPr>
    </w:lvl>
    <w:lvl w:ilvl="1" w:tplc="ED1A80EE" w:tentative="1">
      <w:start w:val="1"/>
      <w:numFmt w:val="bullet"/>
      <w:lvlText w:val=""/>
      <w:lvlJc w:val="left"/>
      <w:pPr>
        <w:tabs>
          <w:tab w:val="num" w:pos="1440"/>
        </w:tabs>
        <w:ind w:left="1440" w:hanging="360"/>
      </w:pPr>
      <w:rPr>
        <w:rFonts w:ascii="Symbol" w:hAnsi="Symbol" w:hint="default"/>
      </w:rPr>
    </w:lvl>
    <w:lvl w:ilvl="2" w:tplc="B2CA9ED6" w:tentative="1">
      <w:start w:val="1"/>
      <w:numFmt w:val="bullet"/>
      <w:lvlText w:val=""/>
      <w:lvlJc w:val="left"/>
      <w:pPr>
        <w:tabs>
          <w:tab w:val="num" w:pos="2160"/>
        </w:tabs>
        <w:ind w:left="2160" w:hanging="360"/>
      </w:pPr>
      <w:rPr>
        <w:rFonts w:ascii="Symbol" w:hAnsi="Symbol" w:hint="default"/>
      </w:rPr>
    </w:lvl>
    <w:lvl w:ilvl="3" w:tplc="E9DAD336" w:tentative="1">
      <w:start w:val="1"/>
      <w:numFmt w:val="bullet"/>
      <w:lvlText w:val=""/>
      <w:lvlJc w:val="left"/>
      <w:pPr>
        <w:tabs>
          <w:tab w:val="num" w:pos="2880"/>
        </w:tabs>
        <w:ind w:left="2880" w:hanging="360"/>
      </w:pPr>
      <w:rPr>
        <w:rFonts w:ascii="Symbol" w:hAnsi="Symbol" w:hint="default"/>
      </w:rPr>
    </w:lvl>
    <w:lvl w:ilvl="4" w:tplc="55946268" w:tentative="1">
      <w:start w:val="1"/>
      <w:numFmt w:val="bullet"/>
      <w:lvlText w:val=""/>
      <w:lvlJc w:val="left"/>
      <w:pPr>
        <w:tabs>
          <w:tab w:val="num" w:pos="3600"/>
        </w:tabs>
        <w:ind w:left="3600" w:hanging="360"/>
      </w:pPr>
      <w:rPr>
        <w:rFonts w:ascii="Symbol" w:hAnsi="Symbol" w:hint="default"/>
      </w:rPr>
    </w:lvl>
    <w:lvl w:ilvl="5" w:tplc="90B8553C" w:tentative="1">
      <w:start w:val="1"/>
      <w:numFmt w:val="bullet"/>
      <w:lvlText w:val=""/>
      <w:lvlJc w:val="left"/>
      <w:pPr>
        <w:tabs>
          <w:tab w:val="num" w:pos="4320"/>
        </w:tabs>
        <w:ind w:left="4320" w:hanging="360"/>
      </w:pPr>
      <w:rPr>
        <w:rFonts w:ascii="Symbol" w:hAnsi="Symbol" w:hint="default"/>
      </w:rPr>
    </w:lvl>
    <w:lvl w:ilvl="6" w:tplc="57F81F80" w:tentative="1">
      <w:start w:val="1"/>
      <w:numFmt w:val="bullet"/>
      <w:lvlText w:val=""/>
      <w:lvlJc w:val="left"/>
      <w:pPr>
        <w:tabs>
          <w:tab w:val="num" w:pos="5040"/>
        </w:tabs>
        <w:ind w:left="5040" w:hanging="360"/>
      </w:pPr>
      <w:rPr>
        <w:rFonts w:ascii="Symbol" w:hAnsi="Symbol" w:hint="default"/>
      </w:rPr>
    </w:lvl>
    <w:lvl w:ilvl="7" w:tplc="B14AFF36" w:tentative="1">
      <w:start w:val="1"/>
      <w:numFmt w:val="bullet"/>
      <w:lvlText w:val=""/>
      <w:lvlJc w:val="left"/>
      <w:pPr>
        <w:tabs>
          <w:tab w:val="num" w:pos="5760"/>
        </w:tabs>
        <w:ind w:left="5760" w:hanging="360"/>
      </w:pPr>
      <w:rPr>
        <w:rFonts w:ascii="Symbol" w:hAnsi="Symbol" w:hint="default"/>
      </w:rPr>
    </w:lvl>
    <w:lvl w:ilvl="8" w:tplc="7EC0140C"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366A4749"/>
    <w:multiLevelType w:val="hybridMultilevel"/>
    <w:tmpl w:val="E4D45AA0"/>
    <w:lvl w:ilvl="0" w:tplc="05200AB4">
      <w:start w:val="1"/>
      <w:numFmt w:val="bullet"/>
      <w:pStyle w:val="ListBullet"/>
      <w:lvlText w:val="•"/>
      <w:lvlJc w:val="left"/>
      <w:pPr>
        <w:ind w:left="360" w:hanging="360"/>
      </w:pPr>
      <w:rPr>
        <w:rFonts w:ascii="Symbol" w:hAnsi="Symbol" w:hint="default"/>
      </w:rPr>
    </w:lvl>
    <w:lvl w:ilvl="1" w:tplc="115C564E">
      <w:start w:val="1"/>
      <w:numFmt w:val="bullet"/>
      <w:pStyle w:val="ListBullet2"/>
      <w:lvlText w:val="o"/>
      <w:lvlJc w:val="left"/>
      <w:pPr>
        <w:ind w:left="720" w:hanging="360"/>
      </w:pPr>
      <w:rPr>
        <w:rFonts w:ascii="Courier New" w:hAnsi="Courier New" w:hint="default"/>
      </w:rPr>
    </w:lvl>
    <w:lvl w:ilvl="2" w:tplc="713C6D98">
      <w:start w:val="1"/>
      <w:numFmt w:val="bullet"/>
      <w:pStyle w:val="ListBullet3"/>
      <w:lvlText w:val="▪"/>
      <w:lvlJc w:val="left"/>
      <w:pPr>
        <w:ind w:left="1080" w:hanging="360"/>
      </w:pPr>
      <w:rPr>
        <w:rFonts w:ascii="Wingdings" w:hAnsi="Wingdings" w:hint="default"/>
      </w:rPr>
    </w:lvl>
    <w:lvl w:ilvl="3" w:tplc="C980E4B8">
      <w:numFmt w:val="decimal"/>
      <w:lvlText w:val=""/>
      <w:lvlJc w:val="left"/>
    </w:lvl>
    <w:lvl w:ilvl="4" w:tplc="FAC26A88">
      <w:numFmt w:val="decimal"/>
      <w:lvlText w:val=""/>
      <w:lvlJc w:val="left"/>
    </w:lvl>
    <w:lvl w:ilvl="5" w:tplc="749AB90E">
      <w:numFmt w:val="decimal"/>
      <w:lvlText w:val=""/>
      <w:lvlJc w:val="left"/>
    </w:lvl>
    <w:lvl w:ilvl="6" w:tplc="FCA25576">
      <w:numFmt w:val="decimal"/>
      <w:lvlText w:val=""/>
      <w:lvlJc w:val="left"/>
    </w:lvl>
    <w:lvl w:ilvl="7" w:tplc="FD58DAB0">
      <w:numFmt w:val="decimal"/>
      <w:lvlText w:val=""/>
      <w:lvlJc w:val="left"/>
    </w:lvl>
    <w:lvl w:ilvl="8" w:tplc="0A92F10C">
      <w:numFmt w:val="decimal"/>
      <w:lvlText w:val=""/>
      <w:lvlJc w:val="left"/>
    </w:lvl>
  </w:abstractNum>
  <w:abstractNum w:abstractNumId="3" w15:restartNumberingAfterBreak="0">
    <w:nsid w:val="3A3013AC"/>
    <w:multiLevelType w:val="hybridMultilevel"/>
    <w:tmpl w:val="C0224836"/>
    <w:lvl w:ilvl="0" w:tplc="A8F0AC5E">
      <w:numFmt w:val="bullet"/>
      <w:lvlText w:val="•"/>
      <w:lvlJc w:val="left"/>
      <w:pPr>
        <w:ind w:left="1452" w:hanging="180"/>
      </w:pPr>
      <w:rPr>
        <w:rFonts w:ascii="Frutiger LT Std 45 Light" w:eastAsia="Frutiger LT Std 45 Light" w:hAnsi="Frutiger LT Std 45 Light" w:cs="Frutiger LT Std 45 Light" w:hint="default"/>
        <w:b w:val="0"/>
        <w:bCs w:val="0"/>
        <w:i w:val="0"/>
        <w:iCs w:val="0"/>
        <w:color w:val="F4CF3B"/>
        <w:spacing w:val="0"/>
        <w:w w:val="100"/>
        <w:sz w:val="22"/>
        <w:szCs w:val="22"/>
        <w:lang w:val="en-US" w:eastAsia="en-US" w:bidi="ar-SA"/>
      </w:rPr>
    </w:lvl>
    <w:lvl w:ilvl="1" w:tplc="064CFF0C">
      <w:numFmt w:val="bullet"/>
      <w:lvlText w:val="•"/>
      <w:lvlJc w:val="left"/>
      <w:pPr>
        <w:ind w:left="1776" w:hanging="180"/>
      </w:pPr>
      <w:rPr>
        <w:rFonts w:hint="default"/>
        <w:lang w:val="en-US" w:eastAsia="en-US" w:bidi="ar-SA"/>
      </w:rPr>
    </w:lvl>
    <w:lvl w:ilvl="2" w:tplc="2CBA2290">
      <w:numFmt w:val="bullet"/>
      <w:lvlText w:val="•"/>
      <w:lvlJc w:val="left"/>
      <w:pPr>
        <w:ind w:left="2093" w:hanging="180"/>
      </w:pPr>
      <w:rPr>
        <w:rFonts w:hint="default"/>
        <w:lang w:val="en-US" w:eastAsia="en-US" w:bidi="ar-SA"/>
      </w:rPr>
    </w:lvl>
    <w:lvl w:ilvl="3" w:tplc="4628C922">
      <w:numFmt w:val="bullet"/>
      <w:lvlText w:val="•"/>
      <w:lvlJc w:val="left"/>
      <w:pPr>
        <w:ind w:left="2410" w:hanging="180"/>
      </w:pPr>
      <w:rPr>
        <w:rFonts w:hint="default"/>
        <w:lang w:val="en-US" w:eastAsia="en-US" w:bidi="ar-SA"/>
      </w:rPr>
    </w:lvl>
    <w:lvl w:ilvl="4" w:tplc="A3D81FEA">
      <w:numFmt w:val="bullet"/>
      <w:lvlText w:val="•"/>
      <w:lvlJc w:val="left"/>
      <w:pPr>
        <w:ind w:left="2726" w:hanging="180"/>
      </w:pPr>
      <w:rPr>
        <w:rFonts w:hint="default"/>
        <w:lang w:val="en-US" w:eastAsia="en-US" w:bidi="ar-SA"/>
      </w:rPr>
    </w:lvl>
    <w:lvl w:ilvl="5" w:tplc="CB365D7E">
      <w:numFmt w:val="bullet"/>
      <w:lvlText w:val="•"/>
      <w:lvlJc w:val="left"/>
      <w:pPr>
        <w:ind w:left="3043" w:hanging="180"/>
      </w:pPr>
      <w:rPr>
        <w:rFonts w:hint="default"/>
        <w:lang w:val="en-US" w:eastAsia="en-US" w:bidi="ar-SA"/>
      </w:rPr>
    </w:lvl>
    <w:lvl w:ilvl="6" w:tplc="038A0FC0">
      <w:numFmt w:val="bullet"/>
      <w:lvlText w:val="•"/>
      <w:lvlJc w:val="left"/>
      <w:pPr>
        <w:ind w:left="3360" w:hanging="180"/>
      </w:pPr>
      <w:rPr>
        <w:rFonts w:hint="default"/>
        <w:lang w:val="en-US" w:eastAsia="en-US" w:bidi="ar-SA"/>
      </w:rPr>
    </w:lvl>
    <w:lvl w:ilvl="7" w:tplc="BE404F18">
      <w:numFmt w:val="bullet"/>
      <w:lvlText w:val="•"/>
      <w:lvlJc w:val="left"/>
      <w:pPr>
        <w:ind w:left="3677" w:hanging="180"/>
      </w:pPr>
      <w:rPr>
        <w:rFonts w:hint="default"/>
        <w:lang w:val="en-US" w:eastAsia="en-US" w:bidi="ar-SA"/>
      </w:rPr>
    </w:lvl>
    <w:lvl w:ilvl="8" w:tplc="A874EA9C">
      <w:numFmt w:val="bullet"/>
      <w:lvlText w:val="•"/>
      <w:lvlJc w:val="left"/>
      <w:pPr>
        <w:ind w:left="3993" w:hanging="180"/>
      </w:pPr>
      <w:rPr>
        <w:rFonts w:hint="default"/>
        <w:lang w:val="en-US" w:eastAsia="en-US" w:bidi="ar-SA"/>
      </w:rPr>
    </w:lvl>
  </w:abstractNum>
  <w:abstractNum w:abstractNumId="4" w15:restartNumberingAfterBreak="0">
    <w:nsid w:val="493362B8"/>
    <w:multiLevelType w:val="hybridMultilevel"/>
    <w:tmpl w:val="E132C7B2"/>
    <w:lvl w:ilvl="0" w:tplc="7E1C7A8C">
      <w:start w:val="4"/>
      <w:numFmt w:val="decimal"/>
      <w:lvlText w:val="%1"/>
      <w:lvlJc w:val="left"/>
      <w:pPr>
        <w:ind w:left="4340" w:hanging="843"/>
      </w:pPr>
      <w:rPr>
        <w:rFonts w:ascii="Frutiger LT Std 65 Bold" w:eastAsia="Frutiger LT Std 65 Bold" w:hAnsi="Frutiger LT Std 65 Bold" w:cs="Frutiger LT Std 65 Bold" w:hint="default"/>
        <w:b/>
        <w:bCs/>
        <w:i w:val="0"/>
        <w:iCs w:val="0"/>
        <w:spacing w:val="0"/>
        <w:w w:val="100"/>
        <w:sz w:val="22"/>
        <w:szCs w:val="22"/>
        <w:lang w:val="en-US" w:eastAsia="en-US" w:bidi="ar-SA"/>
      </w:rPr>
    </w:lvl>
    <w:lvl w:ilvl="1" w:tplc="BD5AAAF6">
      <w:numFmt w:val="bullet"/>
      <w:lvlText w:val="•"/>
      <w:lvlJc w:val="left"/>
      <w:pPr>
        <w:ind w:left="5058" w:hanging="843"/>
      </w:pPr>
      <w:rPr>
        <w:rFonts w:hint="default"/>
        <w:lang w:val="en-US" w:eastAsia="en-US" w:bidi="ar-SA"/>
      </w:rPr>
    </w:lvl>
    <w:lvl w:ilvl="2" w:tplc="4800A334">
      <w:numFmt w:val="bullet"/>
      <w:lvlText w:val="•"/>
      <w:lvlJc w:val="left"/>
      <w:pPr>
        <w:ind w:left="5776" w:hanging="843"/>
      </w:pPr>
      <w:rPr>
        <w:rFonts w:hint="default"/>
        <w:lang w:val="en-US" w:eastAsia="en-US" w:bidi="ar-SA"/>
      </w:rPr>
    </w:lvl>
    <w:lvl w:ilvl="3" w:tplc="A888DB28">
      <w:numFmt w:val="bullet"/>
      <w:lvlText w:val="•"/>
      <w:lvlJc w:val="left"/>
      <w:pPr>
        <w:ind w:left="6494" w:hanging="843"/>
      </w:pPr>
      <w:rPr>
        <w:rFonts w:hint="default"/>
        <w:lang w:val="en-US" w:eastAsia="en-US" w:bidi="ar-SA"/>
      </w:rPr>
    </w:lvl>
    <w:lvl w:ilvl="4" w:tplc="3B3015C4">
      <w:numFmt w:val="bullet"/>
      <w:lvlText w:val="•"/>
      <w:lvlJc w:val="left"/>
      <w:pPr>
        <w:ind w:left="7212" w:hanging="843"/>
      </w:pPr>
      <w:rPr>
        <w:rFonts w:hint="default"/>
        <w:lang w:val="en-US" w:eastAsia="en-US" w:bidi="ar-SA"/>
      </w:rPr>
    </w:lvl>
    <w:lvl w:ilvl="5" w:tplc="4C20F552">
      <w:numFmt w:val="bullet"/>
      <w:lvlText w:val="•"/>
      <w:lvlJc w:val="left"/>
      <w:pPr>
        <w:ind w:left="7930" w:hanging="843"/>
      </w:pPr>
      <w:rPr>
        <w:rFonts w:hint="default"/>
        <w:lang w:val="en-US" w:eastAsia="en-US" w:bidi="ar-SA"/>
      </w:rPr>
    </w:lvl>
    <w:lvl w:ilvl="6" w:tplc="D264D62E">
      <w:numFmt w:val="bullet"/>
      <w:lvlText w:val="•"/>
      <w:lvlJc w:val="left"/>
      <w:pPr>
        <w:ind w:left="8648" w:hanging="843"/>
      </w:pPr>
      <w:rPr>
        <w:rFonts w:hint="default"/>
        <w:lang w:val="en-US" w:eastAsia="en-US" w:bidi="ar-SA"/>
      </w:rPr>
    </w:lvl>
    <w:lvl w:ilvl="7" w:tplc="1CC2B5CC">
      <w:numFmt w:val="bullet"/>
      <w:lvlText w:val="•"/>
      <w:lvlJc w:val="left"/>
      <w:pPr>
        <w:ind w:left="9366" w:hanging="843"/>
      </w:pPr>
      <w:rPr>
        <w:rFonts w:hint="default"/>
        <w:lang w:val="en-US" w:eastAsia="en-US" w:bidi="ar-SA"/>
      </w:rPr>
    </w:lvl>
    <w:lvl w:ilvl="8" w:tplc="C5C49110">
      <w:numFmt w:val="bullet"/>
      <w:lvlText w:val="•"/>
      <w:lvlJc w:val="left"/>
      <w:pPr>
        <w:ind w:left="10084" w:hanging="843"/>
      </w:pPr>
      <w:rPr>
        <w:rFonts w:hint="default"/>
        <w:lang w:val="en-US" w:eastAsia="en-US" w:bidi="ar-SA"/>
      </w:rPr>
    </w:lvl>
  </w:abstractNum>
  <w:abstractNum w:abstractNumId="5" w15:restartNumberingAfterBreak="0">
    <w:nsid w:val="596E1B2C"/>
    <w:multiLevelType w:val="hybridMultilevel"/>
    <w:tmpl w:val="2B06D1EA"/>
    <w:lvl w:ilvl="0" w:tplc="95AEA32E">
      <w:start w:val="1"/>
      <w:numFmt w:val="bullet"/>
      <w:pStyle w:val="bullet1"/>
      <w:lvlText w:val=""/>
      <w:lvlJc w:val="left"/>
      <w:pPr>
        <w:ind w:left="1872" w:hanging="360"/>
      </w:pPr>
      <w:rPr>
        <w:rFonts w:ascii="Symbol" w:hAnsi="Symbol" w:hint="default"/>
      </w:rPr>
    </w:lvl>
    <w:lvl w:ilvl="1" w:tplc="04090003">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6" w15:restartNumberingAfterBreak="0">
    <w:nsid w:val="5997460F"/>
    <w:multiLevelType w:val="hybridMultilevel"/>
    <w:tmpl w:val="FF0CFD38"/>
    <w:lvl w:ilvl="0" w:tplc="D196F3DC">
      <w:start w:val="15"/>
      <w:numFmt w:val="decimal"/>
      <w:lvlText w:val="%1"/>
      <w:lvlJc w:val="left"/>
      <w:pPr>
        <w:ind w:left="4340" w:hanging="965"/>
      </w:pPr>
      <w:rPr>
        <w:rFonts w:ascii="Frutiger LT Std 65 Bold" w:eastAsia="Frutiger LT Std 65 Bold" w:hAnsi="Frutiger LT Std 65 Bold" w:cs="Frutiger LT Std 65 Bold" w:hint="default"/>
        <w:b/>
        <w:bCs/>
        <w:i w:val="0"/>
        <w:iCs w:val="0"/>
        <w:spacing w:val="0"/>
        <w:w w:val="100"/>
        <w:sz w:val="22"/>
        <w:szCs w:val="22"/>
        <w:lang w:val="en-US" w:eastAsia="en-US" w:bidi="ar-SA"/>
      </w:rPr>
    </w:lvl>
    <w:lvl w:ilvl="1" w:tplc="FC9A2C2C">
      <w:numFmt w:val="bullet"/>
      <w:lvlText w:val="•"/>
      <w:lvlJc w:val="left"/>
      <w:pPr>
        <w:ind w:left="5058" w:hanging="965"/>
      </w:pPr>
      <w:rPr>
        <w:rFonts w:hint="default"/>
        <w:lang w:val="en-US" w:eastAsia="en-US" w:bidi="ar-SA"/>
      </w:rPr>
    </w:lvl>
    <w:lvl w:ilvl="2" w:tplc="E70EA0E8">
      <w:numFmt w:val="bullet"/>
      <w:lvlText w:val="•"/>
      <w:lvlJc w:val="left"/>
      <w:pPr>
        <w:ind w:left="5776" w:hanging="965"/>
      </w:pPr>
      <w:rPr>
        <w:rFonts w:hint="default"/>
        <w:lang w:val="en-US" w:eastAsia="en-US" w:bidi="ar-SA"/>
      </w:rPr>
    </w:lvl>
    <w:lvl w:ilvl="3" w:tplc="922AF748">
      <w:numFmt w:val="bullet"/>
      <w:lvlText w:val="•"/>
      <w:lvlJc w:val="left"/>
      <w:pPr>
        <w:ind w:left="6494" w:hanging="965"/>
      </w:pPr>
      <w:rPr>
        <w:rFonts w:hint="default"/>
        <w:lang w:val="en-US" w:eastAsia="en-US" w:bidi="ar-SA"/>
      </w:rPr>
    </w:lvl>
    <w:lvl w:ilvl="4" w:tplc="193A0D68">
      <w:numFmt w:val="bullet"/>
      <w:lvlText w:val="•"/>
      <w:lvlJc w:val="left"/>
      <w:pPr>
        <w:ind w:left="7212" w:hanging="965"/>
      </w:pPr>
      <w:rPr>
        <w:rFonts w:hint="default"/>
        <w:lang w:val="en-US" w:eastAsia="en-US" w:bidi="ar-SA"/>
      </w:rPr>
    </w:lvl>
    <w:lvl w:ilvl="5" w:tplc="BADE6158">
      <w:numFmt w:val="bullet"/>
      <w:lvlText w:val="•"/>
      <w:lvlJc w:val="left"/>
      <w:pPr>
        <w:ind w:left="7930" w:hanging="965"/>
      </w:pPr>
      <w:rPr>
        <w:rFonts w:hint="default"/>
        <w:lang w:val="en-US" w:eastAsia="en-US" w:bidi="ar-SA"/>
      </w:rPr>
    </w:lvl>
    <w:lvl w:ilvl="6" w:tplc="EC7E6464">
      <w:numFmt w:val="bullet"/>
      <w:lvlText w:val="•"/>
      <w:lvlJc w:val="left"/>
      <w:pPr>
        <w:ind w:left="8648" w:hanging="965"/>
      </w:pPr>
      <w:rPr>
        <w:rFonts w:hint="default"/>
        <w:lang w:val="en-US" w:eastAsia="en-US" w:bidi="ar-SA"/>
      </w:rPr>
    </w:lvl>
    <w:lvl w:ilvl="7" w:tplc="D98088DA">
      <w:numFmt w:val="bullet"/>
      <w:lvlText w:val="•"/>
      <w:lvlJc w:val="left"/>
      <w:pPr>
        <w:ind w:left="9366" w:hanging="965"/>
      </w:pPr>
      <w:rPr>
        <w:rFonts w:hint="default"/>
        <w:lang w:val="en-US" w:eastAsia="en-US" w:bidi="ar-SA"/>
      </w:rPr>
    </w:lvl>
    <w:lvl w:ilvl="8" w:tplc="752A4F6C">
      <w:numFmt w:val="bullet"/>
      <w:lvlText w:val="•"/>
      <w:lvlJc w:val="left"/>
      <w:pPr>
        <w:ind w:left="10084" w:hanging="965"/>
      </w:pPr>
      <w:rPr>
        <w:rFonts w:hint="default"/>
        <w:lang w:val="en-US" w:eastAsia="en-US" w:bidi="ar-SA"/>
      </w:rPr>
    </w:lvl>
  </w:abstractNum>
  <w:abstractNum w:abstractNumId="7" w15:restartNumberingAfterBreak="0">
    <w:nsid w:val="62047738"/>
    <w:multiLevelType w:val="hybridMultilevel"/>
    <w:tmpl w:val="BD085A00"/>
    <w:lvl w:ilvl="0" w:tplc="4EDE1DCA">
      <w:start w:val="1"/>
      <w:numFmt w:val="decimal"/>
      <w:pStyle w:val="ListNumber"/>
      <w:lvlText w:val="%1."/>
      <w:lvlJc w:val="left"/>
      <w:pPr>
        <w:ind w:left="360" w:hanging="360"/>
      </w:pPr>
    </w:lvl>
    <w:lvl w:ilvl="1" w:tplc="2BCC75AE">
      <w:start w:val="1"/>
      <w:numFmt w:val="lowerLetter"/>
      <w:pStyle w:val="ListNumber2"/>
      <w:lvlText w:val="%2."/>
      <w:lvlJc w:val="left"/>
      <w:pPr>
        <w:ind w:left="720" w:hanging="360"/>
      </w:pPr>
    </w:lvl>
    <w:lvl w:ilvl="2" w:tplc="26ACDD22">
      <w:start w:val="1"/>
      <w:numFmt w:val="lowerRoman"/>
      <w:pStyle w:val="ListNumber3"/>
      <w:lvlText w:val="%3."/>
      <w:lvlJc w:val="left"/>
      <w:pPr>
        <w:ind w:left="1080" w:hanging="360"/>
      </w:pPr>
    </w:lvl>
    <w:lvl w:ilvl="3" w:tplc="FF505D74">
      <w:numFmt w:val="decimal"/>
      <w:lvlText w:val=""/>
      <w:lvlJc w:val="left"/>
    </w:lvl>
    <w:lvl w:ilvl="4" w:tplc="9F96B89E">
      <w:numFmt w:val="decimal"/>
      <w:lvlText w:val=""/>
      <w:lvlJc w:val="left"/>
    </w:lvl>
    <w:lvl w:ilvl="5" w:tplc="FE0A8788">
      <w:numFmt w:val="decimal"/>
      <w:lvlText w:val=""/>
      <w:lvlJc w:val="left"/>
    </w:lvl>
    <w:lvl w:ilvl="6" w:tplc="FBF20A1C">
      <w:numFmt w:val="decimal"/>
      <w:lvlText w:val=""/>
      <w:lvlJc w:val="left"/>
    </w:lvl>
    <w:lvl w:ilvl="7" w:tplc="55C83F48">
      <w:numFmt w:val="decimal"/>
      <w:lvlText w:val=""/>
      <w:lvlJc w:val="left"/>
    </w:lvl>
    <w:lvl w:ilvl="8" w:tplc="FA32D262">
      <w:numFmt w:val="decimal"/>
      <w:lvlText w:val=""/>
      <w:lvlJc w:val="left"/>
    </w:lvl>
  </w:abstractNum>
  <w:num w:numId="1" w16cid:durableId="2020348872">
    <w:abstractNumId w:val="3"/>
  </w:num>
  <w:num w:numId="2" w16cid:durableId="1471360316">
    <w:abstractNumId w:val="6"/>
  </w:num>
  <w:num w:numId="3" w16cid:durableId="1790006868">
    <w:abstractNumId w:val="4"/>
  </w:num>
  <w:num w:numId="4" w16cid:durableId="1370570394">
    <w:abstractNumId w:val="5"/>
  </w:num>
  <w:num w:numId="5" w16cid:durableId="1947805481">
    <w:abstractNumId w:val="0"/>
  </w:num>
  <w:num w:numId="6" w16cid:durableId="1021710076">
    <w:abstractNumId w:val="1"/>
  </w:num>
  <w:num w:numId="7" w16cid:durableId="720135753">
    <w:abstractNumId w:val="2"/>
  </w:num>
  <w:num w:numId="8" w16cid:durableId="53774460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66B7"/>
    <w:rsid w:val="00024A71"/>
    <w:rsid w:val="00035F3E"/>
    <w:rsid w:val="00040C73"/>
    <w:rsid w:val="0006674C"/>
    <w:rsid w:val="0006685E"/>
    <w:rsid w:val="000822EC"/>
    <w:rsid w:val="0008279D"/>
    <w:rsid w:val="00090672"/>
    <w:rsid w:val="000A4DB3"/>
    <w:rsid w:val="000B23EB"/>
    <w:rsid w:val="000B3E16"/>
    <w:rsid w:val="000D66B7"/>
    <w:rsid w:val="00127422"/>
    <w:rsid w:val="00132A7A"/>
    <w:rsid w:val="00141C53"/>
    <w:rsid w:val="00172AB5"/>
    <w:rsid w:val="001823A7"/>
    <w:rsid w:val="001838AC"/>
    <w:rsid w:val="001958DB"/>
    <w:rsid w:val="0019780D"/>
    <w:rsid w:val="001A1CE3"/>
    <w:rsid w:val="001A54B5"/>
    <w:rsid w:val="001B24CD"/>
    <w:rsid w:val="001D48AC"/>
    <w:rsid w:val="00216C4B"/>
    <w:rsid w:val="002638D3"/>
    <w:rsid w:val="002703E2"/>
    <w:rsid w:val="00283380"/>
    <w:rsid w:val="00293F42"/>
    <w:rsid w:val="002946AB"/>
    <w:rsid w:val="002A2CB6"/>
    <w:rsid w:val="002D1499"/>
    <w:rsid w:val="002D1C9E"/>
    <w:rsid w:val="002D5E47"/>
    <w:rsid w:val="002E7AAF"/>
    <w:rsid w:val="002F75E4"/>
    <w:rsid w:val="00323508"/>
    <w:rsid w:val="003303D8"/>
    <w:rsid w:val="0034080A"/>
    <w:rsid w:val="00353F5C"/>
    <w:rsid w:val="003847CF"/>
    <w:rsid w:val="003A616F"/>
    <w:rsid w:val="003C244F"/>
    <w:rsid w:val="003D049A"/>
    <w:rsid w:val="003E20AC"/>
    <w:rsid w:val="00423991"/>
    <w:rsid w:val="004271CE"/>
    <w:rsid w:val="004306D3"/>
    <w:rsid w:val="004515FE"/>
    <w:rsid w:val="00455C87"/>
    <w:rsid w:val="00462B97"/>
    <w:rsid w:val="0047070A"/>
    <w:rsid w:val="004A46F2"/>
    <w:rsid w:val="004D135A"/>
    <w:rsid w:val="004F1DF8"/>
    <w:rsid w:val="00520691"/>
    <w:rsid w:val="00522425"/>
    <w:rsid w:val="00597D13"/>
    <w:rsid w:val="005A78C2"/>
    <w:rsid w:val="005B2C82"/>
    <w:rsid w:val="005B2DAC"/>
    <w:rsid w:val="005B5EAB"/>
    <w:rsid w:val="005C75E7"/>
    <w:rsid w:val="005D5E76"/>
    <w:rsid w:val="005D72CE"/>
    <w:rsid w:val="005E023F"/>
    <w:rsid w:val="00617AB4"/>
    <w:rsid w:val="006210F9"/>
    <w:rsid w:val="0064136E"/>
    <w:rsid w:val="00653D1B"/>
    <w:rsid w:val="00662EE4"/>
    <w:rsid w:val="006737B8"/>
    <w:rsid w:val="00677439"/>
    <w:rsid w:val="0068718C"/>
    <w:rsid w:val="006C3C2F"/>
    <w:rsid w:val="006D3CD7"/>
    <w:rsid w:val="006F3667"/>
    <w:rsid w:val="0070609C"/>
    <w:rsid w:val="00725DDE"/>
    <w:rsid w:val="0073794B"/>
    <w:rsid w:val="00760025"/>
    <w:rsid w:val="00760D91"/>
    <w:rsid w:val="0076106C"/>
    <w:rsid w:val="00761A37"/>
    <w:rsid w:val="00773420"/>
    <w:rsid w:val="00781A75"/>
    <w:rsid w:val="007845A1"/>
    <w:rsid w:val="00796EF2"/>
    <w:rsid w:val="007A1B99"/>
    <w:rsid w:val="007A4EA6"/>
    <w:rsid w:val="007B2FE4"/>
    <w:rsid w:val="007D6B87"/>
    <w:rsid w:val="007E1FFC"/>
    <w:rsid w:val="007F4003"/>
    <w:rsid w:val="00805DD8"/>
    <w:rsid w:val="00812D88"/>
    <w:rsid w:val="00822E07"/>
    <w:rsid w:val="00832AB6"/>
    <w:rsid w:val="00840DC0"/>
    <w:rsid w:val="00857BBA"/>
    <w:rsid w:val="008912AD"/>
    <w:rsid w:val="00892C58"/>
    <w:rsid w:val="008A5901"/>
    <w:rsid w:val="008B1CED"/>
    <w:rsid w:val="008F7BB9"/>
    <w:rsid w:val="00903942"/>
    <w:rsid w:val="00904A36"/>
    <w:rsid w:val="00910FD9"/>
    <w:rsid w:val="00917C30"/>
    <w:rsid w:val="00923385"/>
    <w:rsid w:val="00963923"/>
    <w:rsid w:val="00964EAF"/>
    <w:rsid w:val="0097598E"/>
    <w:rsid w:val="009A3DF6"/>
    <w:rsid w:val="009A757E"/>
    <w:rsid w:val="00A111D7"/>
    <w:rsid w:val="00A2331C"/>
    <w:rsid w:val="00A37FFE"/>
    <w:rsid w:val="00A4021E"/>
    <w:rsid w:val="00A60C41"/>
    <w:rsid w:val="00A62843"/>
    <w:rsid w:val="00A735C9"/>
    <w:rsid w:val="00A764FB"/>
    <w:rsid w:val="00A77345"/>
    <w:rsid w:val="00A87F30"/>
    <w:rsid w:val="00AB4988"/>
    <w:rsid w:val="00AF6D71"/>
    <w:rsid w:val="00B12407"/>
    <w:rsid w:val="00B20520"/>
    <w:rsid w:val="00B62D14"/>
    <w:rsid w:val="00B7576D"/>
    <w:rsid w:val="00B92BB4"/>
    <w:rsid w:val="00B97C08"/>
    <w:rsid w:val="00BA4414"/>
    <w:rsid w:val="00BB1241"/>
    <w:rsid w:val="00BB66B3"/>
    <w:rsid w:val="00BD3008"/>
    <w:rsid w:val="00BF0375"/>
    <w:rsid w:val="00C32021"/>
    <w:rsid w:val="00C344EC"/>
    <w:rsid w:val="00C412B8"/>
    <w:rsid w:val="00C41727"/>
    <w:rsid w:val="00C631E2"/>
    <w:rsid w:val="00C714E3"/>
    <w:rsid w:val="00C97001"/>
    <w:rsid w:val="00CA31D6"/>
    <w:rsid w:val="00CA57DF"/>
    <w:rsid w:val="00CE45DE"/>
    <w:rsid w:val="00CE47C4"/>
    <w:rsid w:val="00CE4C1D"/>
    <w:rsid w:val="00CF304E"/>
    <w:rsid w:val="00D001A7"/>
    <w:rsid w:val="00D00F60"/>
    <w:rsid w:val="00D11D51"/>
    <w:rsid w:val="00D1769F"/>
    <w:rsid w:val="00D206FB"/>
    <w:rsid w:val="00D51BC0"/>
    <w:rsid w:val="00D73374"/>
    <w:rsid w:val="00D7684C"/>
    <w:rsid w:val="00D82D6E"/>
    <w:rsid w:val="00DA32C9"/>
    <w:rsid w:val="00DB3F9C"/>
    <w:rsid w:val="00DE762A"/>
    <w:rsid w:val="00E1104D"/>
    <w:rsid w:val="00E11ED6"/>
    <w:rsid w:val="00E145DC"/>
    <w:rsid w:val="00E155FB"/>
    <w:rsid w:val="00E2236A"/>
    <w:rsid w:val="00E55377"/>
    <w:rsid w:val="00E65DBE"/>
    <w:rsid w:val="00E72DEA"/>
    <w:rsid w:val="00E92FEC"/>
    <w:rsid w:val="00E94DEE"/>
    <w:rsid w:val="00ED4308"/>
    <w:rsid w:val="00EE2EA8"/>
    <w:rsid w:val="00EE3504"/>
    <w:rsid w:val="00EE70B8"/>
    <w:rsid w:val="00EF4EB4"/>
    <w:rsid w:val="00EF6E5C"/>
    <w:rsid w:val="00F0146C"/>
    <w:rsid w:val="00F01931"/>
    <w:rsid w:val="00F051A1"/>
    <w:rsid w:val="00F07A7F"/>
    <w:rsid w:val="00F14C1F"/>
    <w:rsid w:val="00F303EB"/>
    <w:rsid w:val="00F31F0D"/>
    <w:rsid w:val="00F32C79"/>
    <w:rsid w:val="00F5437C"/>
    <w:rsid w:val="00F9069B"/>
    <w:rsid w:val="00F90A3F"/>
    <w:rsid w:val="00FA731C"/>
    <w:rsid w:val="00FB2852"/>
    <w:rsid w:val="00FD00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D0EFBD"/>
  <w15:docId w15:val="{9496BEC5-FD04-BB45-8B7C-79837A684D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Frutiger LT Std 45 Light" w:eastAsia="Frutiger LT Std 45 Light" w:hAnsi="Frutiger LT Std 45 Light" w:cs="Frutiger LT Std 45 Light"/>
      <w:sz w:val="22"/>
      <w:szCs w:val="22"/>
    </w:rPr>
  </w:style>
  <w:style w:type="paragraph" w:styleId="Heading1">
    <w:name w:val="heading 1"/>
    <w:basedOn w:val="Normal"/>
    <w:uiPriority w:val="9"/>
    <w:qFormat/>
    <w:rsid w:val="00FD0089"/>
    <w:pPr>
      <w:pBdr>
        <w:left w:val="single" w:sz="24" w:space="6" w:color="F4D03A"/>
      </w:pBdr>
      <w:spacing w:before="160" w:after="160"/>
      <w:outlineLvl w:val="0"/>
    </w:pPr>
    <w:rPr>
      <w:rFonts w:ascii="Frutiger LT Std 65 Bold" w:eastAsia="Frutiger LT Std 65 Bold" w:hAnsi="Frutiger LT Std 65 Bold" w:cs="Frutiger LT Std 65 Bold"/>
      <w:b/>
      <w:bCs/>
      <w:color w:val="00529C"/>
      <w:sz w:val="48"/>
      <w:szCs w:val="48"/>
    </w:rPr>
  </w:style>
  <w:style w:type="paragraph" w:styleId="Heading2">
    <w:name w:val="heading 2"/>
    <w:basedOn w:val="Heading1"/>
    <w:uiPriority w:val="9"/>
    <w:unhideWhenUsed/>
    <w:qFormat/>
    <w:rsid w:val="00F0146C"/>
    <w:pPr>
      <w:pBdr>
        <w:left w:val="none" w:sz="0" w:space="0" w:color="auto"/>
      </w:pBdr>
      <w:spacing w:before="240" w:after="240"/>
      <w:outlineLvl w:val="1"/>
    </w:pPr>
    <w:rPr>
      <w:b w:val="0"/>
      <w:bCs w:val="0"/>
      <w:sz w:val="32"/>
      <w:szCs w:val="28"/>
    </w:rPr>
  </w:style>
  <w:style w:type="paragraph" w:styleId="Heading3">
    <w:name w:val="heading 3"/>
    <w:basedOn w:val="Normal"/>
    <w:uiPriority w:val="9"/>
    <w:unhideWhenUsed/>
    <w:qFormat/>
    <w:pPr>
      <w:spacing w:before="240" w:after="120"/>
      <w:outlineLvl w:val="2"/>
    </w:pPr>
    <w:rPr>
      <w:rFonts w:ascii="Frutiger LT Std 65 Bold" w:eastAsia="Frutiger LT Std 65 Bold" w:hAnsi="Frutiger LT Std 65 Bold" w:cs="Frutiger LT Std 65 Bold"/>
      <w:b/>
      <w:bCs/>
      <w:sz w:val="24"/>
      <w:szCs w:val="24"/>
    </w:rPr>
  </w:style>
  <w:style w:type="paragraph" w:styleId="Heading4">
    <w:name w:val="heading 4"/>
    <w:basedOn w:val="Normal"/>
    <w:next w:val="Normal"/>
    <w:uiPriority w:val="9"/>
    <w:unhideWhenUsed/>
    <w:qFormat/>
    <w:pPr>
      <w:spacing w:before="160" w:after="80"/>
      <w:outlineLvl w:val="3"/>
    </w:pPr>
    <w:rPr>
      <w:rFonts w:ascii="Frutiger LT Std 65 Bold" w:eastAsia="Frutiger LT Std 65 Bold" w:hAnsi="Frutiger LT Std 65 Bold" w:cs="Frutiger LT Std 65 Bold"/>
      <w:b/>
      <w:bCs/>
      <w:color w:val="00529C"/>
    </w:rPr>
  </w:style>
  <w:style w:type="paragraph" w:styleId="Heading5">
    <w:name w:val="heading 5"/>
    <w:basedOn w:val="Normal"/>
    <w:next w:val="Normal"/>
    <w:uiPriority w:val="9"/>
    <w:unhideWhenUsed/>
    <w:qFormat/>
    <w:pPr>
      <w:spacing w:before="160" w:after="80"/>
      <w:outlineLvl w:val="4"/>
    </w:pPr>
    <w:rPr>
      <w:rFonts w:ascii="Frutiger LT Std 65 Bold" w:eastAsia="Frutiger LT Std 65 Bold" w:hAnsi="Frutiger LT Std 65 Bold" w:cs="Frutiger LT Std 65 Bold"/>
      <w:b/>
      <w:bCs/>
      <w:sz w:val="20"/>
      <w:szCs w:val="20"/>
    </w:rPr>
  </w:style>
  <w:style w:type="paragraph" w:styleId="Heading6">
    <w:name w:val="heading 6"/>
    <w:basedOn w:val="Normal"/>
    <w:next w:val="Normal"/>
    <w:uiPriority w:val="9"/>
    <w:unhideWhenUsed/>
    <w:qFormat/>
    <w:pPr>
      <w:spacing w:before="160" w:after="80"/>
      <w:outlineLvl w:val="5"/>
    </w:pPr>
    <w:rPr>
      <w:i/>
      <w:iCs/>
      <w:sz w:val="20"/>
      <w:szCs w:val="20"/>
    </w:rPr>
  </w:style>
  <w:style w:type="paragraph" w:styleId="Heading8">
    <w:name w:val="heading 8"/>
    <w:basedOn w:val="Normal"/>
    <w:next w:val="Normal"/>
    <w:link w:val="Heading8Char"/>
    <w:uiPriority w:val="9"/>
    <w:semiHidden/>
    <w:unhideWhenUsed/>
    <w:qFormat/>
    <w:rsid w:val="00283380"/>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D66B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Heading2"/>
    <w:next w:val="Normal"/>
    <w:link w:val="SubtitleChar"/>
    <w:uiPriority w:val="11"/>
    <w:qFormat/>
    <w:rsid w:val="00F07A7F"/>
    <w:pPr>
      <w:pBdr>
        <w:left w:val="single" w:sz="36" w:space="8" w:color="F4D03A"/>
      </w:pBdr>
      <w:spacing w:before="0" w:after="0"/>
    </w:pPr>
    <w:rPr>
      <w:sz w:val="36"/>
    </w:rPr>
  </w:style>
  <w:style w:type="character" w:customStyle="1" w:styleId="SubtitleChar">
    <w:name w:val="Subtitle Char"/>
    <w:basedOn w:val="DefaultParagraphFont"/>
    <w:link w:val="Subtitle"/>
    <w:uiPriority w:val="11"/>
    <w:rsid w:val="00F07A7F"/>
    <w:rPr>
      <w:rFonts w:ascii="Frutiger LT Std 65 Bold" w:eastAsia="Frutiger LT Std 65 Bold" w:hAnsi="Frutiger LT Std 65 Bold" w:cs="Frutiger LT Std 65 Bold"/>
      <w:color w:val="00529C"/>
      <w:sz w:val="36"/>
      <w:szCs w:val="28"/>
    </w:rPr>
  </w:style>
  <w:style w:type="paragraph" w:customStyle="1" w:styleId="TableParagraph">
    <w:name w:val="Table Paragraph"/>
    <w:basedOn w:val="Normal"/>
    <w:uiPriority w:val="1"/>
    <w:qFormat/>
    <w:rPr>
      <w:rFonts w:ascii="Arial" w:eastAsia="Arial" w:hAnsi="Arial" w:cs="Arial"/>
    </w:rPr>
  </w:style>
  <w:style w:type="paragraph" w:styleId="Header">
    <w:name w:val="header"/>
    <w:basedOn w:val="Normal"/>
    <w:link w:val="HeaderChar"/>
    <w:uiPriority w:val="99"/>
    <w:unhideWhenUsed/>
    <w:rsid w:val="004A46F2"/>
    <w:pPr>
      <w:tabs>
        <w:tab w:val="center" w:pos="4680"/>
        <w:tab w:val="right" w:pos="9360"/>
      </w:tabs>
    </w:pPr>
  </w:style>
  <w:style w:type="character" w:customStyle="1" w:styleId="HeaderChar">
    <w:name w:val="Header Char"/>
    <w:link w:val="Header"/>
    <w:uiPriority w:val="99"/>
    <w:rsid w:val="004A46F2"/>
    <w:rPr>
      <w:rFonts w:ascii="Frutiger LT Std 45 Light" w:eastAsia="Frutiger LT Std 45 Light" w:hAnsi="Frutiger LT Std 45 Light" w:cs="Frutiger LT Std 45 Light"/>
    </w:rPr>
  </w:style>
  <w:style w:type="paragraph" w:styleId="Footer">
    <w:name w:val="footer"/>
    <w:basedOn w:val="Normal"/>
    <w:link w:val="FooterChar"/>
    <w:uiPriority w:val="99"/>
    <w:unhideWhenUsed/>
    <w:rsid w:val="004A46F2"/>
    <w:pPr>
      <w:tabs>
        <w:tab w:val="center" w:pos="4680"/>
        <w:tab w:val="right" w:pos="9360"/>
      </w:tabs>
    </w:pPr>
  </w:style>
  <w:style w:type="character" w:customStyle="1" w:styleId="FooterChar">
    <w:name w:val="Footer Char"/>
    <w:link w:val="Footer"/>
    <w:uiPriority w:val="99"/>
    <w:rsid w:val="004A46F2"/>
    <w:rPr>
      <w:rFonts w:ascii="Frutiger LT Std 45 Light" w:eastAsia="Frutiger LT Std 45 Light" w:hAnsi="Frutiger LT Std 45 Light" w:cs="Frutiger LT Std 45 Light"/>
    </w:rPr>
  </w:style>
  <w:style w:type="paragraph" w:customStyle="1" w:styleId="body">
    <w:name w:val="body"/>
    <w:basedOn w:val="Normal"/>
    <w:qFormat/>
    <w:rsid w:val="0047070A"/>
    <w:pPr>
      <w:spacing w:line="288" w:lineRule="auto"/>
      <w:ind w:left="1152" w:right="1152"/>
    </w:pPr>
    <w:rPr>
      <w:spacing w:val="-1"/>
      <w:sz w:val="20"/>
    </w:rPr>
  </w:style>
  <w:style w:type="paragraph" w:styleId="Title">
    <w:name w:val="Title"/>
    <w:basedOn w:val="Normal"/>
    <w:next w:val="Normal"/>
    <w:link w:val="TitleChar"/>
    <w:uiPriority w:val="10"/>
    <w:qFormat/>
    <w:rsid w:val="000D66B7"/>
    <w:pPr>
      <w:spacing w:after="480"/>
    </w:pPr>
    <w:rPr>
      <w:b/>
      <w:color w:val="00529C"/>
      <w:sz w:val="72"/>
    </w:rPr>
  </w:style>
  <w:style w:type="character" w:customStyle="1" w:styleId="TitleChar">
    <w:name w:val="Title Char"/>
    <w:link w:val="Title"/>
    <w:uiPriority w:val="10"/>
    <w:rsid w:val="000D66B7"/>
    <w:rPr>
      <w:rFonts w:ascii="Frutiger LT Std 45 Light" w:eastAsia="Frutiger LT Std 45 Light" w:hAnsi="Frutiger LT Std 45 Light" w:cs="Frutiger LT Std 45 Light"/>
      <w:b/>
      <w:color w:val="00529C"/>
      <w:sz w:val="72"/>
      <w:szCs w:val="22"/>
    </w:rPr>
  </w:style>
  <w:style w:type="paragraph" w:customStyle="1" w:styleId="bullet1">
    <w:name w:val="bullet 1"/>
    <w:basedOn w:val="body"/>
    <w:qFormat/>
    <w:rsid w:val="0047070A"/>
    <w:pPr>
      <w:numPr>
        <w:numId w:val="4"/>
      </w:numPr>
      <w:spacing w:after="160" w:line="240" w:lineRule="auto"/>
    </w:pPr>
  </w:style>
  <w:style w:type="character" w:styleId="SubtleEmphasis">
    <w:name w:val="Subtle Emphasis"/>
    <w:basedOn w:val="DefaultParagraphFont"/>
    <w:uiPriority w:val="19"/>
    <w:qFormat/>
    <w:rsid w:val="005B2C82"/>
    <w:rPr>
      <w:rFonts w:ascii="frutiger lt" w:hAnsi="frutiger lt"/>
      <w:i/>
      <w:iCs/>
      <w:color w:val="00529C"/>
    </w:rPr>
  </w:style>
  <w:style w:type="table" w:styleId="TableGrid">
    <w:name w:val="Table Grid"/>
    <w:basedOn w:val="TableNormal"/>
    <w:uiPriority w:val="39"/>
    <w:rsid w:val="00F14C1F"/>
    <w:tblPr>
      <w:tblBorders>
        <w:top w:val="single" w:sz="12" w:space="0" w:color="EAC738"/>
        <w:left w:val="single" w:sz="12" w:space="0" w:color="EAC738"/>
        <w:bottom w:val="single" w:sz="12" w:space="0" w:color="EAC738"/>
        <w:right w:val="single" w:sz="12" w:space="0" w:color="EAC738"/>
        <w:insideH w:val="dotted" w:sz="4" w:space="0" w:color="EAC738"/>
        <w:insideV w:val="dotted" w:sz="4" w:space="0" w:color="EAC738"/>
      </w:tblBorders>
    </w:tblPr>
    <w:tcPr>
      <w:tcMar>
        <w:top w:w="120" w:type="dxa"/>
        <w:left w:w="144" w:type="dxa"/>
        <w:bottom w:w="120" w:type="dxa"/>
        <w:right w:w="144" w:type="dxa"/>
      </w:tcMar>
    </w:tcPr>
    <w:tblStylePr w:type="firstRow">
      <w:rPr>
        <w:b/>
        <w:color w:val="FFFFFF"/>
      </w:rPr>
      <w:tblPr/>
      <w:tcPr>
        <w:shd w:val="clear" w:color="auto" w:fill="00529C"/>
      </w:tcPr>
    </w:tblStylePr>
  </w:style>
  <w:style w:type="table" w:styleId="PlainTable2">
    <w:name w:val="Plain Table 2"/>
    <w:aliases w:val="Branded table"/>
    <w:basedOn w:val="TableNormal"/>
    <w:uiPriority w:val="42"/>
    <w:rsid w:val="002E7AA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
    <w:name w:val="Table"/>
    <w:basedOn w:val="TableNormal"/>
    <w:uiPriority w:val="99"/>
    <w:rsid w:val="00EE70B8"/>
    <w:tblPr/>
  </w:style>
  <w:style w:type="table" w:customStyle="1" w:styleId="CMStable">
    <w:name w:val="CMS table"/>
    <w:basedOn w:val="TableNormal"/>
    <w:uiPriority w:val="99"/>
    <w:rsid w:val="002946AB"/>
    <w:tblPr/>
  </w:style>
  <w:style w:type="table" w:customStyle="1" w:styleId="CMStablebody">
    <w:name w:val="CMS table – body"/>
    <w:basedOn w:val="TableNormal"/>
    <w:uiPriority w:val="99"/>
    <w:rsid w:val="002D5E47"/>
    <w:tblPr>
      <w:tblBorders>
        <w:top w:val="single" w:sz="12" w:space="0" w:color="EAC738"/>
        <w:left w:val="single" w:sz="12" w:space="0" w:color="EAC738"/>
        <w:bottom w:val="single" w:sz="12" w:space="0" w:color="EAC738"/>
        <w:right w:val="single" w:sz="12" w:space="0" w:color="EAC738"/>
        <w:insideH w:val="dotted" w:sz="4" w:space="0" w:color="EAC738"/>
        <w:insideV w:val="dotted" w:sz="4" w:space="0" w:color="EAC738"/>
      </w:tblBorders>
      <w:tblCellMar>
        <w:top w:w="14" w:type="dxa"/>
        <w:bottom w:w="14" w:type="dxa"/>
      </w:tblCellMar>
    </w:tblPr>
    <w:tcPr>
      <w:shd w:val="clear" w:color="auto" w:fill="auto"/>
      <w:tcMar>
        <w:top w:w="72" w:type="dxa"/>
        <w:left w:w="115" w:type="dxa"/>
        <w:bottom w:w="72" w:type="dxa"/>
        <w:right w:w="115" w:type="dxa"/>
      </w:tcMar>
    </w:tcPr>
    <w:tblStylePr w:type="firstRow">
      <w:rPr>
        <w:b/>
      </w:rPr>
      <w:tblPr/>
      <w:tcPr>
        <w:shd w:val="clear" w:color="auto" w:fill="00529C"/>
      </w:tcPr>
    </w:tblStylePr>
  </w:style>
  <w:style w:type="table" w:customStyle="1" w:styleId="CMStableData">
    <w:name w:val="CMS table – Data"/>
    <w:basedOn w:val="TableNormal"/>
    <w:uiPriority w:val="99"/>
    <w:rsid w:val="00EE2EA8"/>
    <w:tblPr/>
  </w:style>
  <w:style w:type="character" w:customStyle="1" w:styleId="Heading9Char">
    <w:name w:val="Heading 9 Char"/>
    <w:basedOn w:val="DefaultParagraphFont"/>
    <w:link w:val="Heading9"/>
    <w:uiPriority w:val="9"/>
    <w:semiHidden/>
    <w:rsid w:val="000D66B7"/>
    <w:rPr>
      <w:rFonts w:asciiTheme="majorHAnsi" w:eastAsiaTheme="majorEastAsia" w:hAnsiTheme="majorHAnsi" w:cstheme="majorBidi"/>
      <w:i/>
      <w:iCs/>
      <w:color w:val="272727" w:themeColor="text1" w:themeTint="D8"/>
      <w:sz w:val="21"/>
      <w:szCs w:val="21"/>
    </w:rPr>
  </w:style>
  <w:style w:type="paragraph" w:styleId="BodyText">
    <w:name w:val="Body Text"/>
    <w:basedOn w:val="Normal"/>
    <w:link w:val="BodyTextChar"/>
    <w:uiPriority w:val="1"/>
    <w:qFormat/>
    <w:rsid w:val="00522425"/>
    <w:rPr>
      <w:rFonts w:ascii="Gill Sans MT" w:eastAsia="Gill Sans MT" w:hAnsi="Gill Sans MT" w:cs="Gill Sans MT"/>
    </w:rPr>
  </w:style>
  <w:style w:type="character" w:customStyle="1" w:styleId="BodyTextChar">
    <w:name w:val="Body Text Char"/>
    <w:basedOn w:val="DefaultParagraphFont"/>
    <w:link w:val="BodyText"/>
    <w:uiPriority w:val="1"/>
    <w:rsid w:val="00522425"/>
    <w:rPr>
      <w:rFonts w:ascii="Gill Sans MT" w:eastAsia="Gill Sans MT" w:hAnsi="Gill Sans MT" w:cs="Gill Sans MT"/>
      <w:sz w:val="22"/>
      <w:szCs w:val="22"/>
    </w:rPr>
  </w:style>
  <w:style w:type="paragraph" w:styleId="FootnoteText">
    <w:name w:val="footnote text"/>
    <w:basedOn w:val="Normal"/>
    <w:link w:val="FootnoteTextChar"/>
    <w:uiPriority w:val="99"/>
    <w:semiHidden/>
    <w:unhideWhenUsed/>
    <w:rsid w:val="000B3E16"/>
    <w:rPr>
      <w:rFonts w:ascii="Gill Sans MT" w:eastAsia="Gill Sans MT" w:hAnsi="Gill Sans MT" w:cs="Gill Sans MT"/>
      <w:sz w:val="20"/>
      <w:szCs w:val="20"/>
    </w:rPr>
  </w:style>
  <w:style w:type="character" w:customStyle="1" w:styleId="FootnoteTextChar">
    <w:name w:val="Footnote Text Char"/>
    <w:basedOn w:val="DefaultParagraphFont"/>
    <w:link w:val="FootnoteText"/>
    <w:uiPriority w:val="99"/>
    <w:semiHidden/>
    <w:rsid w:val="000B3E16"/>
    <w:rPr>
      <w:rFonts w:ascii="Gill Sans MT" w:eastAsia="Gill Sans MT" w:hAnsi="Gill Sans MT" w:cs="Gill Sans MT"/>
    </w:rPr>
  </w:style>
  <w:style w:type="character" w:styleId="FootnoteReference">
    <w:name w:val="footnote reference"/>
    <w:basedOn w:val="DefaultParagraphFont"/>
    <w:uiPriority w:val="99"/>
    <w:semiHidden/>
    <w:unhideWhenUsed/>
    <w:rsid w:val="000B3E16"/>
    <w:rPr>
      <w:vertAlign w:val="superscript"/>
    </w:rPr>
  </w:style>
  <w:style w:type="character" w:styleId="Hyperlink">
    <w:name w:val="Hyperlink"/>
    <w:basedOn w:val="DefaultParagraphFont"/>
    <w:uiPriority w:val="99"/>
    <w:unhideWhenUsed/>
    <w:rsid w:val="000B3E16"/>
    <w:rPr>
      <w:color w:val="0000FF" w:themeColor="hyperlink"/>
      <w:u w:val="single"/>
    </w:rPr>
  </w:style>
  <w:style w:type="paragraph" w:customStyle="1" w:styleId="tablebody">
    <w:name w:val="table body"/>
    <w:basedOn w:val="body"/>
    <w:qFormat/>
    <w:rsid w:val="007A1B99"/>
    <w:pPr>
      <w:framePr w:hSpace="187" w:wrap="around" w:vAnchor="text" w:hAnchor="page" w:x="1676" w:y="3068"/>
      <w:ind w:left="0" w:right="144"/>
    </w:pPr>
    <w:rPr>
      <w:sz w:val="18"/>
    </w:rPr>
  </w:style>
  <w:style w:type="paragraph" w:customStyle="1" w:styleId="Tableheader">
    <w:name w:val="Table header"/>
    <w:basedOn w:val="Heading3"/>
    <w:qFormat/>
    <w:rsid w:val="002D5E47"/>
    <w:pPr>
      <w:framePr w:wrap="around" w:vAnchor="text" w:hAnchor="page" w:x="1671" w:y="3068"/>
      <w:spacing w:line="360" w:lineRule="auto"/>
      <w:jc w:val="center"/>
    </w:pPr>
    <w:rPr>
      <w:color w:val="FFFFFF" w:themeColor="background1"/>
      <w:sz w:val="22"/>
    </w:rPr>
  </w:style>
  <w:style w:type="paragraph" w:customStyle="1" w:styleId="footnote">
    <w:name w:val="footnote"/>
    <w:basedOn w:val="body"/>
    <w:qFormat/>
    <w:rsid w:val="00E55377"/>
    <w:rPr>
      <w:sz w:val="11"/>
    </w:rPr>
  </w:style>
  <w:style w:type="character" w:customStyle="1" w:styleId="Heading8Char">
    <w:name w:val="Heading 8 Char"/>
    <w:basedOn w:val="DefaultParagraphFont"/>
    <w:link w:val="Heading8"/>
    <w:uiPriority w:val="9"/>
    <w:semiHidden/>
    <w:rsid w:val="00283380"/>
    <w:rPr>
      <w:rFonts w:asciiTheme="majorHAnsi" w:eastAsiaTheme="majorEastAsia" w:hAnsiTheme="majorHAnsi" w:cstheme="majorBidi"/>
      <w:color w:val="272727" w:themeColor="text1" w:themeTint="D8"/>
      <w:sz w:val="21"/>
      <w:szCs w:val="21"/>
    </w:rPr>
  </w:style>
  <w:style w:type="paragraph" w:styleId="ListParagraph">
    <w:name w:val="List Paragraph"/>
    <w:basedOn w:val="Normal"/>
    <w:uiPriority w:val="34"/>
    <w:qFormat/>
    <w:rsid w:val="00B12407"/>
    <w:pPr>
      <w:ind w:left="720"/>
      <w:contextualSpacing/>
    </w:pPr>
    <w:rPr>
      <w:rFonts w:ascii="Gill Sans MT" w:eastAsia="Gill Sans MT" w:hAnsi="Gill Sans MT" w:cs="Gill Sans MT"/>
    </w:rPr>
  </w:style>
  <w:style w:type="table" w:styleId="ListTable4-Accent1">
    <w:name w:val="List Table 4 Accent 1"/>
    <w:basedOn w:val="TableNormal"/>
    <w:uiPriority w:val="49"/>
    <w:rsid w:val="000B23EB"/>
    <w:rPr>
      <w:rFonts w:asciiTheme="minorHAnsi" w:eastAsiaTheme="minorHAnsi" w:hAnsiTheme="minorHAnsi" w:cstheme="minorBidi"/>
      <w:kern w:val="2"/>
      <w:sz w:val="22"/>
      <w:szCs w:val="22"/>
      <w14:ligatures w14:val="standardContextual"/>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tcBorders>
        <w:shd w:val="clear" w:color="auto" w:fill="4F81BD" w:themeFill="accent1"/>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Default">
    <w:name w:val="Default"/>
    <w:rsid w:val="00725DDE"/>
    <w:pPr>
      <w:autoSpaceDE w:val="0"/>
      <w:autoSpaceDN w:val="0"/>
      <w:adjustRightInd w:val="0"/>
    </w:pPr>
    <w:rPr>
      <w:rFonts w:ascii="Avenir LT Std 55 Roman" w:eastAsiaTheme="minorHAnsi" w:hAnsi="Avenir LT Std 55 Roman" w:cs="Avenir LT Std 55 Roman"/>
      <w:color w:val="000000"/>
      <w:sz w:val="24"/>
      <w:szCs w:val="24"/>
      <w14:ligatures w14:val="standardContextual"/>
    </w:rPr>
  </w:style>
  <w:style w:type="paragraph" w:customStyle="1" w:styleId="Pa61">
    <w:name w:val="Pa6_1"/>
    <w:basedOn w:val="Default"/>
    <w:next w:val="Default"/>
    <w:uiPriority w:val="99"/>
    <w:rsid w:val="00725DDE"/>
    <w:pPr>
      <w:spacing w:line="220" w:lineRule="atLeast"/>
    </w:pPr>
    <w:rPr>
      <w:rFonts w:cstheme="minorBidi"/>
      <w:color w:val="auto"/>
    </w:rPr>
  </w:style>
  <w:style w:type="paragraph" w:customStyle="1" w:styleId="Pa21">
    <w:name w:val="Pa2_1"/>
    <w:basedOn w:val="Default"/>
    <w:next w:val="Default"/>
    <w:uiPriority w:val="99"/>
    <w:rsid w:val="00725DDE"/>
    <w:pPr>
      <w:spacing w:line="220" w:lineRule="atLeast"/>
    </w:pPr>
    <w:rPr>
      <w:rFonts w:cstheme="minorBidi"/>
      <w:color w:val="auto"/>
    </w:rPr>
  </w:style>
  <w:style w:type="paragraph" w:styleId="NoSpacing">
    <w:name w:val="No Spacing"/>
    <w:uiPriority w:val="1"/>
    <w:qFormat/>
    <w:rsid w:val="00725DDE"/>
    <w:pPr>
      <w:spacing w:before="100"/>
    </w:pPr>
    <w:rPr>
      <w:rFonts w:asciiTheme="minorHAnsi" w:eastAsiaTheme="minorEastAsia" w:hAnsiTheme="minorHAnsi" w:cstheme="minorBidi"/>
    </w:rPr>
  </w:style>
  <w:style w:type="paragraph" w:styleId="ListBullet">
    <w:name w:val="List Bullet"/>
    <w:basedOn w:val="body"/>
    <w:uiPriority w:val="10"/>
    <w:qFormat/>
    <w:pPr>
      <w:numPr>
        <w:numId w:val="7"/>
      </w:numPr>
      <w:spacing w:before="120" w:after="60" w:line="240" w:lineRule="auto"/>
      <w:contextualSpacing/>
    </w:pPr>
  </w:style>
  <w:style w:type="paragraph" w:styleId="ListBullet2">
    <w:name w:val="List Bullet 2"/>
    <w:basedOn w:val="body"/>
    <w:uiPriority w:val="10"/>
    <w:qFormat/>
    <w:pPr>
      <w:numPr>
        <w:ilvl w:val="1"/>
        <w:numId w:val="7"/>
      </w:numPr>
      <w:spacing w:before="120" w:after="60" w:line="240" w:lineRule="auto"/>
      <w:contextualSpacing/>
    </w:pPr>
  </w:style>
  <w:style w:type="paragraph" w:styleId="ListBullet3">
    <w:name w:val="List Bullet 3"/>
    <w:basedOn w:val="body"/>
    <w:uiPriority w:val="10"/>
    <w:qFormat/>
    <w:pPr>
      <w:numPr>
        <w:ilvl w:val="2"/>
        <w:numId w:val="7"/>
      </w:numPr>
      <w:spacing w:before="120" w:after="60" w:line="240" w:lineRule="auto"/>
      <w:contextualSpacing/>
    </w:pPr>
  </w:style>
  <w:style w:type="paragraph" w:styleId="ListNumber">
    <w:name w:val="List Number"/>
    <w:basedOn w:val="body"/>
    <w:uiPriority w:val="10"/>
    <w:qFormat/>
    <w:pPr>
      <w:numPr>
        <w:numId w:val="8"/>
      </w:numPr>
      <w:spacing w:before="120" w:after="60" w:line="240" w:lineRule="auto"/>
      <w:contextualSpacing/>
    </w:pPr>
  </w:style>
  <w:style w:type="paragraph" w:styleId="ListNumber2">
    <w:name w:val="List Number 2"/>
    <w:basedOn w:val="body"/>
    <w:uiPriority w:val="10"/>
    <w:qFormat/>
    <w:pPr>
      <w:numPr>
        <w:ilvl w:val="1"/>
        <w:numId w:val="8"/>
      </w:numPr>
      <w:spacing w:before="120" w:after="60" w:line="240" w:lineRule="auto"/>
      <w:contextualSpacing/>
    </w:pPr>
  </w:style>
  <w:style w:type="paragraph" w:styleId="ListNumber3">
    <w:name w:val="List Number 3"/>
    <w:basedOn w:val="body"/>
    <w:uiPriority w:val="10"/>
    <w:qFormat/>
    <w:pPr>
      <w:numPr>
        <w:ilvl w:val="2"/>
        <w:numId w:val="8"/>
      </w:numPr>
      <w:spacing w:before="120" w:after="60" w:line="240" w:lineRule="auto"/>
      <w:contextualSpacing/>
    </w:pPr>
  </w:style>
  <w:style w:type="paragraph" w:styleId="IntenseQuote">
    <w:name w:val="Intense Quote"/>
    <w:basedOn w:val="Quote"/>
    <w:next w:val="Normal"/>
    <w:link w:val="IntenseQuoteChar"/>
    <w:uiPriority w:val="30"/>
    <w:qFormat/>
    <w:pPr>
      <w:pBdr>
        <w:left w:val="single" w:sz="36" w:space="8" w:color="00529C"/>
      </w:pBdr>
      <w:spacing w:before="200" w:after="200"/>
      <w:ind w:left="240"/>
    </w:pPr>
    <w:rPr>
      <w:rFonts w:ascii="Frutiger LT Std 65 Bold" w:eastAsia="Frutiger LT Std 65 Bold" w:hAnsi="Frutiger LT Std 65 Bold" w:cs="Frutiger LT Std 65 Bold"/>
      <w:b/>
      <w:bCs/>
      <w:i w:val="0"/>
      <w:iCs w:val="0"/>
      <w:color w:val="00529C"/>
    </w:rPr>
  </w:style>
  <w:style w:type="character" w:customStyle="1" w:styleId="IntenseQuoteChar">
    <w:name w:val="Intense Quote Char"/>
    <w:basedOn w:val="QuoteChar"/>
    <w:link w:val="IntenseQuote"/>
    <w:uiPriority w:val="30"/>
    <w:rPr>
      <w:rFonts w:ascii="Frutiger LT Std 65 Bold" w:eastAsia="Frutiger LT Std 65 Bold" w:hAnsi="Frutiger LT Std 65 Bold" w:cs="Frutiger LT Std 65 Bold"/>
      <w:b/>
      <w:bCs/>
      <w:i w:val="0"/>
      <w:iCs w:val="0"/>
      <w:color w:val="00529C"/>
    </w:rPr>
  </w:style>
  <w:style w:type="paragraph" w:styleId="Caption">
    <w:name w:val="caption"/>
    <w:basedOn w:val="Normal"/>
    <w:next w:val="Normal"/>
    <w:uiPriority w:val="35"/>
    <w:unhideWhenUsed/>
    <w:qFormat/>
    <w:pPr>
      <w:spacing w:before="80" w:after="200"/>
    </w:pPr>
    <w:rPr>
      <w:i/>
      <w:iCs/>
      <w:color w:val="00529C"/>
      <w:sz w:val="18"/>
      <w:szCs w:val="18"/>
    </w:rPr>
  </w:style>
  <w:style w:type="paragraph" w:styleId="Quote">
    <w:name w:val="Quote"/>
    <w:basedOn w:val="Normal"/>
    <w:next w:val="Normal"/>
    <w:link w:val="QuoteChar"/>
    <w:uiPriority w:val="29"/>
    <w:qFormat/>
    <w:pPr>
      <w:pBdr>
        <w:left w:val="single" w:sz="24" w:space="8" w:color="F4D03A"/>
      </w:pBdr>
      <w:spacing w:before="160" w:after="160"/>
      <w:ind w:left="200"/>
    </w:pPr>
    <w:rPr>
      <w:i/>
      <w:iCs/>
      <w:color w:val="272727"/>
    </w:rPr>
  </w:style>
  <w:style w:type="character" w:customStyle="1" w:styleId="QuoteChar">
    <w:name w:val="Quote Char"/>
    <w:basedOn w:val="DefaultParagraphFont"/>
    <w:link w:val="Quote"/>
    <w:uiPriority w:val="29"/>
    <w:rPr>
      <w:rFonts w:ascii="Frutiger LT Std 45 Light" w:eastAsia="Frutiger LT Std 45 Light" w:hAnsi="Frutiger LT Std 45 Light" w:cs="Frutiger LT Std 45 Light"/>
      <w:i/>
      <w:iCs/>
      <w:color w:val="2727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emf"/><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834218-203E-3F4E-8A35-830079AEBC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2</Pages>
  <Words>5</Words>
  <Characters>41</Characters>
  <Application>Microsoft Office Word</Application>
  <DocSecurity>0</DocSecurity>
  <Lines>20</Lines>
  <Paragraphs>2</Paragraphs>
  <ScaleCrop>false</ScaleCrop>
  <HeadingPairs>
    <vt:vector size="2" baseType="variant">
      <vt:variant>
        <vt:lpstr>Title</vt:lpstr>
      </vt:variant>
      <vt:variant>
        <vt:i4>1</vt:i4>
      </vt:variant>
    </vt:vector>
  </HeadingPairs>
  <TitlesOfParts>
    <vt:vector size="1" baseType="lpstr">
      <vt:lpstr>CMS Brand Guide 2025</vt:lpstr>
    </vt:vector>
  </TitlesOfParts>
  <Company/>
  <LinksUpToDate>false</LinksUpToDate>
  <CharactersWithSpaces>44</CharactersWithSpaces>
  <SharedDoc>false</SharedDoc>
  <HLinks>
    <vt:vector size="6" baseType="variant">
      <vt:variant>
        <vt:i4>2228305</vt:i4>
      </vt:variant>
      <vt:variant>
        <vt:i4>3</vt:i4>
      </vt:variant>
      <vt:variant>
        <vt:i4>0</vt:i4>
      </vt:variant>
      <vt:variant>
        <vt:i4>5</vt:i4>
      </vt:variant>
      <vt:variant>
        <vt:lpwstr/>
      </vt:variant>
      <vt:variant>
        <vt:lpwstr>_bookmark0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Entries — CCXP Project</dc:title>
  <dc:subject>Resume entries based on Jira and Confluence work completed on the CCXP project at CMS</dc:subject>
  <dc:creator>Danielle Swyhart</dc:creator>
  <cp:keywords>CMS, brand guide, guidelines, branding, visual identity, Centers for Medicare &amp; Medicaid Services, logo, template, colors, typography, HHS</cp:keywords>
  <cp:lastModifiedBy>Alexander Cha</cp:lastModifiedBy>
  <cp:revision>13</cp:revision>
  <dcterms:created xsi:type="dcterms:W3CDTF">2026-04-20T18:42:00Z</dcterms:created>
  <dcterms:modified xsi:type="dcterms:W3CDTF">2026-05-27T21:18:00Z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2025-08-27T00:00:00Z</vt:filetime>
  </property>
  <property fmtid="{D5CDD505-2E9C-101B-9397-08002B2CF9AE}" pid="3" name="Creator">
    <vt:lpwstr>Adobe InDesign 20.5 (Macintosh)</vt:lpwstr>
  </property>
  <property fmtid="{D5CDD505-2E9C-101B-9397-08002B2CF9AE}" pid="4" name="LastSaved">
    <vt:filetime>2026-03-24T00:00:00Z</vt:filetime>
  </property>
  <property fmtid="{D5CDD505-2E9C-101B-9397-08002B2CF9AE}" pid="5" name="Producer">
    <vt:lpwstr>Adobe PDF Library 17.0</vt:lpwstr>
  </property>
</Properties>
</file>