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19" w:rsidRDefault="00F34319" w:rsidP="009B1459">
      <w:pPr>
        <w:spacing w:line="300" w:lineRule="auto"/>
        <w:rPr>
          <w:rFonts w:hint="eastAsia"/>
        </w:rPr>
      </w:pPr>
    </w:p>
    <w:p w:rsidR="009B1459" w:rsidRDefault="009B1459" w:rsidP="009B1459">
      <w:pPr>
        <w:spacing w:line="300" w:lineRule="auto"/>
      </w:pPr>
      <w:r>
        <w:rPr>
          <w:rFonts w:hint="eastAsia"/>
        </w:rPr>
        <w:t>1</w:t>
      </w:r>
      <w:r>
        <w:rPr>
          <w:rFonts w:hint="eastAsia"/>
        </w:rPr>
        <w:t>、虚拟机指标。</w:t>
      </w:r>
    </w:p>
    <w:p w:rsidR="009B1459" w:rsidRDefault="009B1459" w:rsidP="009B1459">
      <w:pPr>
        <w:spacing w:line="300" w:lineRule="auto"/>
      </w:pPr>
    </w:p>
    <w:tbl>
      <w:tblPr>
        <w:tblStyle w:val="a7"/>
        <w:tblW w:w="0" w:type="auto"/>
        <w:jc w:val="center"/>
        <w:tblInd w:w="250" w:type="dxa"/>
        <w:tblLook w:val="04A0"/>
      </w:tblPr>
      <w:tblGrid>
        <w:gridCol w:w="2677"/>
        <w:gridCol w:w="850"/>
        <w:gridCol w:w="851"/>
        <w:gridCol w:w="1134"/>
        <w:gridCol w:w="2760"/>
      </w:tblGrid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资源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cpu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ns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 w:rsidRPr="00031C7B">
              <w:t>CPU time used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t>cpu_util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t>%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t>Average CPU utili</w:t>
            </w:r>
            <w:r>
              <w:rPr>
                <w:rFonts w:hint="eastAsia"/>
              </w:rPr>
              <w:t>z</w:t>
            </w:r>
            <w:r>
              <w:t>ation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vcpus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vcpu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 w:rsidRPr="00BF7D4C">
              <w:t>Number of VCPUs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t>memory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MB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t>Volume of RAM allocated in MB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 w:rsidRPr="00C9735F">
              <w:t>memory.usage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MB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 w:rsidRPr="001C1757">
              <w:t>Volume of RAM used by the instance from the amount of its allocated memory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t>disk.</w:t>
            </w:r>
            <w:r>
              <w:rPr>
                <w:rFonts w:hint="eastAsia"/>
              </w:rPr>
              <w:t>total.</w:t>
            </w:r>
            <w:r>
              <w:t>size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 xml:space="preserve">Size of disk </w:t>
            </w:r>
            <w:r>
              <w:t>allocated</w:t>
            </w:r>
            <w:r>
              <w:rPr>
                <w:rFonts w:hint="eastAsia"/>
              </w:rPr>
              <w:t xml:space="preserve"> in GB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 w:rsidRPr="00212CC0">
              <w:t>disk.read.bytes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 w:rsidRPr="00212CC0">
              <w:t>Volume of reads in B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t>disk.read.bytes.rate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t>Average rate of reads in B per second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 w:rsidRPr="00D732DB">
              <w:t>disk.write.bytes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 w:rsidRPr="00D732DB">
              <w:t>Volume of writes in B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t>disk.write.bytes.rate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inst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t xml:space="preserve">Average </w:t>
            </w:r>
            <w:r>
              <w:rPr>
                <w:rFonts w:hint="eastAsia"/>
              </w:rPr>
              <w:t>rate</w:t>
            </w:r>
            <w:r>
              <w:t xml:space="preserve"> of writes in B per second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 w:rsidRPr="00DC3FCB">
              <w:t>network.incoming.bytes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iface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 w:rsidRPr="00DC3FCB">
              <w:t>Number of incoming bytes on a VM network interface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t>network.incoming.bytes.rate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iface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t>Average rate per sec of incoming bytes on a VM network interface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 w:rsidRPr="00CB7818">
              <w:t>network.outgoing.bytes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iface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 w:rsidRPr="00CB7818">
              <w:t>Number of outgoing bytes on a VM network interface</w:t>
            </w:r>
          </w:p>
        </w:tc>
      </w:tr>
      <w:tr w:rsidR="009B1459" w:rsidTr="00B572DA">
        <w:trPr>
          <w:jc w:val="center"/>
        </w:trPr>
        <w:tc>
          <w:tcPr>
            <w:tcW w:w="2677" w:type="dxa"/>
          </w:tcPr>
          <w:p w:rsidR="009B1459" w:rsidRDefault="009B1459" w:rsidP="009B1459">
            <w:pPr>
              <w:spacing w:line="300" w:lineRule="auto"/>
            </w:pPr>
            <w:r>
              <w:t>network.outgoing.bytes.rate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t>iface ID</w:t>
            </w:r>
          </w:p>
        </w:tc>
        <w:tc>
          <w:tcPr>
            <w:tcW w:w="2760" w:type="dxa"/>
          </w:tcPr>
          <w:p w:rsidR="009B1459" w:rsidRDefault="009B1459" w:rsidP="009B1459">
            <w:pPr>
              <w:spacing w:line="300" w:lineRule="auto"/>
            </w:pPr>
            <w:r>
              <w:t>Average rate per sec of outgoing bytes on a VM network interface</w:t>
            </w:r>
          </w:p>
        </w:tc>
      </w:tr>
    </w:tbl>
    <w:p w:rsidR="009B1459" w:rsidRDefault="009B1459" w:rsidP="009B1459">
      <w:pPr>
        <w:spacing w:line="300" w:lineRule="auto"/>
      </w:pPr>
    </w:p>
    <w:p w:rsidR="009B1459" w:rsidRDefault="009B1459" w:rsidP="009B1459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、物理机指标。</w:t>
      </w:r>
    </w:p>
    <w:p w:rsidR="009B1459" w:rsidRDefault="009B1459" w:rsidP="009B1459">
      <w:pPr>
        <w:spacing w:line="300" w:lineRule="auto"/>
      </w:pPr>
    </w:p>
    <w:tbl>
      <w:tblPr>
        <w:tblStyle w:val="a7"/>
        <w:tblW w:w="0" w:type="auto"/>
        <w:jc w:val="center"/>
        <w:tblLayout w:type="fixed"/>
        <w:tblLook w:val="04A0"/>
      </w:tblPr>
      <w:tblGrid>
        <w:gridCol w:w="2802"/>
        <w:gridCol w:w="850"/>
        <w:gridCol w:w="851"/>
        <w:gridCol w:w="1134"/>
        <w:gridCol w:w="2885"/>
      </w:tblGrid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资源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compute.node.cpu.percent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t>%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host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t>CPU utilization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compute.node.memory.total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MB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host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t xml:space="preserve">Volume of </w:t>
            </w:r>
            <w:r>
              <w:rPr>
                <w:rFonts w:hint="eastAsia"/>
              </w:rPr>
              <w:t xml:space="preserve">total </w:t>
            </w:r>
            <w:r>
              <w:t>RAM in MB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lastRenderedPageBreak/>
              <w:t>compute.node.memory.used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MB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host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t>Volume of RAM used in MB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compute.node.disk.total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host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Size of disk in GB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compute.node.disk.used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host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Size of disk used in GB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compute.node.disk.read.bytes.rate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host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t>Average rate of reads in B per second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compute.node.disk.write.bytes.rate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host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t xml:space="preserve">Average </w:t>
            </w:r>
            <w:r>
              <w:rPr>
                <w:rFonts w:hint="eastAsia"/>
              </w:rPr>
              <w:t>rate</w:t>
            </w:r>
            <w:r>
              <w:t xml:space="preserve"> of writes in B per second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compute.node.network.incoming.bytes.rate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iface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t>Average rate per sec of incoming bytes on a network interface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>
              <w:t>compute.node.network.outgoing.bytes.rate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iface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>
              <w:t>Average rate per sec of outgoing bytes on a network interface</w:t>
            </w:r>
          </w:p>
        </w:tc>
      </w:tr>
      <w:tr w:rsidR="009B1459" w:rsidTr="00B572DA">
        <w:trPr>
          <w:jc w:val="center"/>
        </w:trPr>
        <w:tc>
          <w:tcPr>
            <w:tcW w:w="2802" w:type="dxa"/>
          </w:tcPr>
          <w:p w:rsidR="009B1459" w:rsidRDefault="009B1459" w:rsidP="009B1459">
            <w:pPr>
              <w:spacing w:line="300" w:lineRule="auto"/>
            </w:pPr>
            <w:r w:rsidRPr="0067635B">
              <w:t>compute.node.network.bandwidth</w:t>
            </w:r>
          </w:p>
        </w:tc>
        <w:tc>
          <w:tcPr>
            <w:tcW w:w="850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Mb/s</w:t>
            </w:r>
          </w:p>
        </w:tc>
        <w:tc>
          <w:tcPr>
            <w:tcW w:w="1134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iface</w:t>
            </w:r>
            <w:r>
              <w:t xml:space="preserve"> ID</w:t>
            </w:r>
          </w:p>
        </w:tc>
        <w:tc>
          <w:tcPr>
            <w:tcW w:w="2885" w:type="dxa"/>
          </w:tcPr>
          <w:p w:rsidR="009B1459" w:rsidRDefault="009B1459" w:rsidP="009B1459">
            <w:pPr>
              <w:spacing w:line="300" w:lineRule="auto"/>
            </w:pPr>
            <w:r w:rsidRPr="003C17DA">
              <w:t>Bandwidth</w:t>
            </w:r>
            <w:r>
              <w:rPr>
                <w:rFonts w:hint="eastAsia"/>
              </w:rPr>
              <w:t xml:space="preserve"> of network interface</w:t>
            </w:r>
          </w:p>
        </w:tc>
      </w:tr>
    </w:tbl>
    <w:p w:rsidR="009B1459" w:rsidRDefault="009B1459" w:rsidP="009B1459">
      <w:pPr>
        <w:spacing w:line="300" w:lineRule="auto"/>
      </w:pPr>
    </w:p>
    <w:p w:rsidR="00174FC0" w:rsidRDefault="00583708" w:rsidP="00174FC0">
      <w:pPr>
        <w:spacing w:line="300" w:lineRule="auto"/>
      </w:pPr>
      <w:r>
        <w:rPr>
          <w:rFonts w:hint="eastAsia"/>
        </w:rPr>
        <w:t>3</w:t>
      </w:r>
      <w:r w:rsidR="00174FC0">
        <w:rPr>
          <w:rFonts w:hint="eastAsia"/>
        </w:rPr>
        <w:t>、</w:t>
      </w:r>
      <w:r>
        <w:rPr>
          <w:rFonts w:hint="eastAsia"/>
        </w:rPr>
        <w:t>Cinder</w:t>
      </w:r>
      <w:r w:rsidR="00174FC0">
        <w:rPr>
          <w:rFonts w:hint="eastAsia"/>
        </w:rPr>
        <w:t>。</w:t>
      </w:r>
    </w:p>
    <w:p w:rsidR="00174FC0" w:rsidRDefault="00174FC0" w:rsidP="00174FC0">
      <w:pPr>
        <w:spacing w:line="300" w:lineRule="auto"/>
      </w:pPr>
    </w:p>
    <w:tbl>
      <w:tblPr>
        <w:tblStyle w:val="a7"/>
        <w:tblW w:w="0" w:type="auto"/>
        <w:jc w:val="center"/>
        <w:tblLayout w:type="fixed"/>
        <w:tblLook w:val="04A0"/>
      </w:tblPr>
      <w:tblGrid>
        <w:gridCol w:w="2802"/>
        <w:gridCol w:w="850"/>
        <w:gridCol w:w="851"/>
        <w:gridCol w:w="1134"/>
        <w:gridCol w:w="2885"/>
      </w:tblGrid>
      <w:tr w:rsidR="00174FC0" w:rsidTr="00885013">
        <w:trPr>
          <w:jc w:val="center"/>
        </w:trPr>
        <w:tc>
          <w:tcPr>
            <w:tcW w:w="2802" w:type="dxa"/>
          </w:tcPr>
          <w:p w:rsidR="00174FC0" w:rsidRDefault="00174FC0" w:rsidP="00885013">
            <w:pPr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174FC0" w:rsidRDefault="00174FC0" w:rsidP="00885013"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174FC0" w:rsidRDefault="00174FC0" w:rsidP="00885013">
            <w:pPr>
              <w:spacing w:line="300" w:lineRule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1134" w:type="dxa"/>
          </w:tcPr>
          <w:p w:rsidR="00174FC0" w:rsidRDefault="00174FC0" w:rsidP="00885013">
            <w:pPr>
              <w:spacing w:line="300" w:lineRule="auto"/>
            </w:pPr>
            <w:r>
              <w:rPr>
                <w:rFonts w:hint="eastAsia"/>
              </w:rPr>
              <w:t>资源</w:t>
            </w:r>
          </w:p>
        </w:tc>
        <w:tc>
          <w:tcPr>
            <w:tcW w:w="2885" w:type="dxa"/>
          </w:tcPr>
          <w:p w:rsidR="00174FC0" w:rsidRDefault="00174FC0" w:rsidP="00885013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 w:rsidR="00174FC0" w:rsidTr="00885013">
        <w:trPr>
          <w:jc w:val="center"/>
        </w:trPr>
        <w:tc>
          <w:tcPr>
            <w:tcW w:w="2802" w:type="dxa"/>
          </w:tcPr>
          <w:p w:rsidR="00174FC0" w:rsidRDefault="00F23685" w:rsidP="00885013">
            <w:pPr>
              <w:spacing w:line="300" w:lineRule="auto"/>
            </w:pPr>
            <w:r w:rsidRPr="00F23685">
              <w:t>capacity.total.size</w:t>
            </w:r>
          </w:p>
        </w:tc>
        <w:tc>
          <w:tcPr>
            <w:tcW w:w="850" w:type="dxa"/>
          </w:tcPr>
          <w:p w:rsidR="00174FC0" w:rsidRDefault="00F23685" w:rsidP="00885013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174FC0" w:rsidRDefault="002576F7" w:rsidP="00885013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174FC0" w:rsidRDefault="0011622A" w:rsidP="00885013">
            <w:pPr>
              <w:spacing w:line="300" w:lineRule="auto"/>
            </w:pPr>
            <w:r w:rsidRPr="00017DAD">
              <w:t>pool/backend</w:t>
            </w:r>
          </w:p>
        </w:tc>
        <w:tc>
          <w:tcPr>
            <w:tcW w:w="2885" w:type="dxa"/>
          </w:tcPr>
          <w:p w:rsidR="00174FC0" w:rsidRDefault="00017DAD" w:rsidP="00885013">
            <w:pPr>
              <w:spacing w:line="300" w:lineRule="auto"/>
            </w:pPr>
            <w:r w:rsidRPr="00017DAD">
              <w:t>total physical capacity of a pool/backend</w:t>
            </w:r>
          </w:p>
        </w:tc>
      </w:tr>
      <w:tr w:rsidR="00174FC0" w:rsidTr="00885013">
        <w:trPr>
          <w:jc w:val="center"/>
        </w:trPr>
        <w:tc>
          <w:tcPr>
            <w:tcW w:w="2802" w:type="dxa"/>
          </w:tcPr>
          <w:p w:rsidR="00174FC0" w:rsidRDefault="00F23685" w:rsidP="00885013">
            <w:pPr>
              <w:spacing w:line="300" w:lineRule="auto"/>
            </w:pPr>
            <w:r w:rsidRPr="00F23685">
              <w:t>capacity.free.size</w:t>
            </w:r>
          </w:p>
        </w:tc>
        <w:tc>
          <w:tcPr>
            <w:tcW w:w="850" w:type="dxa"/>
          </w:tcPr>
          <w:p w:rsidR="00174FC0" w:rsidRDefault="00F23685" w:rsidP="00885013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174FC0" w:rsidRDefault="002576F7" w:rsidP="00885013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174FC0" w:rsidRDefault="0011622A" w:rsidP="00885013">
            <w:pPr>
              <w:spacing w:line="300" w:lineRule="auto"/>
            </w:pPr>
            <w:r w:rsidRPr="00017DAD">
              <w:t>pool/backend</w:t>
            </w:r>
          </w:p>
        </w:tc>
        <w:tc>
          <w:tcPr>
            <w:tcW w:w="2885" w:type="dxa"/>
          </w:tcPr>
          <w:p w:rsidR="00174FC0" w:rsidRDefault="00017DAD" w:rsidP="00885013">
            <w:pPr>
              <w:spacing w:line="300" w:lineRule="auto"/>
            </w:pPr>
            <w:r w:rsidRPr="00017DAD">
              <w:t>real physical available capacity of a pool/backend</w:t>
            </w:r>
          </w:p>
        </w:tc>
      </w:tr>
      <w:tr w:rsidR="00174FC0" w:rsidTr="00885013">
        <w:trPr>
          <w:jc w:val="center"/>
        </w:trPr>
        <w:tc>
          <w:tcPr>
            <w:tcW w:w="2802" w:type="dxa"/>
          </w:tcPr>
          <w:p w:rsidR="00174FC0" w:rsidRDefault="00F23685" w:rsidP="00885013">
            <w:pPr>
              <w:spacing w:line="300" w:lineRule="auto"/>
            </w:pPr>
            <w:r w:rsidRPr="00F23685">
              <w:t>capacity.allocated.size</w:t>
            </w:r>
          </w:p>
        </w:tc>
        <w:tc>
          <w:tcPr>
            <w:tcW w:w="850" w:type="dxa"/>
          </w:tcPr>
          <w:p w:rsidR="00174FC0" w:rsidRDefault="00F23685" w:rsidP="00885013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174FC0" w:rsidRDefault="002576F7" w:rsidP="00885013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174FC0" w:rsidRDefault="0011622A" w:rsidP="00885013">
            <w:pPr>
              <w:spacing w:line="300" w:lineRule="auto"/>
            </w:pPr>
            <w:r w:rsidRPr="00017DAD">
              <w:t>pool/backend</w:t>
            </w:r>
          </w:p>
        </w:tc>
        <w:tc>
          <w:tcPr>
            <w:tcW w:w="2885" w:type="dxa"/>
          </w:tcPr>
          <w:p w:rsidR="00174FC0" w:rsidRDefault="00017DAD" w:rsidP="00885013">
            <w:pPr>
              <w:spacing w:line="300" w:lineRule="auto"/>
            </w:pPr>
            <w:r w:rsidRPr="00017DAD">
              <w:t xml:space="preserve">physical </w:t>
            </w:r>
            <w:r>
              <w:t>capacity allocated directly thr</w:t>
            </w:r>
            <w:r>
              <w:rPr>
                <w:rFonts w:hint="eastAsia"/>
              </w:rPr>
              <w:t>ough</w:t>
            </w:r>
            <w:r w:rsidRPr="00017DAD">
              <w:t xml:space="preserve"> Cinder</w:t>
            </w:r>
          </w:p>
        </w:tc>
      </w:tr>
      <w:tr w:rsidR="008A7D90" w:rsidTr="00885013">
        <w:trPr>
          <w:jc w:val="center"/>
        </w:trPr>
        <w:tc>
          <w:tcPr>
            <w:tcW w:w="2802" w:type="dxa"/>
          </w:tcPr>
          <w:p w:rsidR="008A7D90" w:rsidRDefault="00F23685" w:rsidP="00885013">
            <w:pPr>
              <w:spacing w:line="300" w:lineRule="auto"/>
            </w:pPr>
            <w:r w:rsidRPr="00F23685">
              <w:t>capacity.provisioned.size</w:t>
            </w:r>
          </w:p>
        </w:tc>
        <w:tc>
          <w:tcPr>
            <w:tcW w:w="850" w:type="dxa"/>
          </w:tcPr>
          <w:p w:rsidR="008A7D90" w:rsidRDefault="00F23685" w:rsidP="00885013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8A7D90" w:rsidRDefault="002576F7" w:rsidP="00885013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8A7D90" w:rsidRDefault="0011622A" w:rsidP="00885013">
            <w:pPr>
              <w:spacing w:line="300" w:lineRule="auto"/>
            </w:pPr>
            <w:r w:rsidRPr="00017DAD">
              <w:t>pool/backend</w:t>
            </w:r>
          </w:p>
        </w:tc>
        <w:tc>
          <w:tcPr>
            <w:tcW w:w="2885" w:type="dxa"/>
          </w:tcPr>
          <w:p w:rsidR="008A7D90" w:rsidRDefault="008142CF" w:rsidP="008142CF">
            <w:pPr>
              <w:spacing w:line="300" w:lineRule="auto"/>
            </w:pPr>
            <w:r w:rsidRPr="008142CF">
              <w:t>capacity provis</w:t>
            </w:r>
            <w:r w:rsidR="009C0D0B">
              <w:rPr>
                <w:rFonts w:hint="eastAsia"/>
              </w:rPr>
              <w:t>i</w:t>
            </w:r>
            <w:r w:rsidRPr="008142CF">
              <w:t>oned in a pool/backend</w:t>
            </w:r>
          </w:p>
        </w:tc>
      </w:tr>
      <w:tr w:rsidR="008A7D90" w:rsidTr="00885013">
        <w:trPr>
          <w:jc w:val="center"/>
        </w:trPr>
        <w:tc>
          <w:tcPr>
            <w:tcW w:w="2802" w:type="dxa"/>
          </w:tcPr>
          <w:p w:rsidR="008A7D90" w:rsidRDefault="00F23685" w:rsidP="00885013">
            <w:pPr>
              <w:spacing w:line="300" w:lineRule="auto"/>
            </w:pPr>
            <w:r w:rsidRPr="00F23685">
              <w:t>capacity.virtual_free.size</w:t>
            </w:r>
          </w:p>
        </w:tc>
        <w:tc>
          <w:tcPr>
            <w:tcW w:w="850" w:type="dxa"/>
          </w:tcPr>
          <w:p w:rsidR="008A7D90" w:rsidRDefault="00F23685" w:rsidP="00885013">
            <w:pPr>
              <w:spacing w:line="30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:rsidR="008A7D90" w:rsidRDefault="002576F7" w:rsidP="00885013">
            <w:pPr>
              <w:spacing w:line="300" w:lineRule="auto"/>
            </w:pPr>
            <w:r>
              <w:rPr>
                <w:rFonts w:hint="eastAsia"/>
              </w:rPr>
              <w:t>GB</w:t>
            </w:r>
          </w:p>
        </w:tc>
        <w:tc>
          <w:tcPr>
            <w:tcW w:w="1134" w:type="dxa"/>
          </w:tcPr>
          <w:p w:rsidR="008A7D90" w:rsidRDefault="0011622A" w:rsidP="00885013">
            <w:pPr>
              <w:spacing w:line="300" w:lineRule="auto"/>
            </w:pPr>
            <w:r w:rsidRPr="00017DAD">
              <w:t>pool/backend</w:t>
            </w:r>
          </w:p>
        </w:tc>
        <w:tc>
          <w:tcPr>
            <w:tcW w:w="2885" w:type="dxa"/>
          </w:tcPr>
          <w:p w:rsidR="008A7D90" w:rsidRDefault="00255CBF" w:rsidP="00885013">
            <w:pPr>
              <w:spacing w:line="300" w:lineRule="auto"/>
            </w:pPr>
            <w:r w:rsidRPr="00255CBF">
              <w:t>availab</w:t>
            </w:r>
            <w:r w:rsidR="004B19A7">
              <w:rPr>
                <w:rFonts w:hint="eastAsia"/>
              </w:rPr>
              <w:t>l</w:t>
            </w:r>
            <w:r w:rsidRPr="00255CBF">
              <w:t>e virtual capacity</w:t>
            </w:r>
            <w:r>
              <w:rPr>
                <w:rFonts w:hint="eastAsia"/>
              </w:rPr>
              <w:t xml:space="preserve"> </w:t>
            </w:r>
            <w:r>
              <w:t xml:space="preserve">in </w:t>
            </w:r>
            <w:r>
              <w:rPr>
                <w:rFonts w:hint="eastAsia"/>
              </w:rPr>
              <w:t xml:space="preserve">a </w:t>
            </w:r>
            <w:r w:rsidRPr="00255CBF">
              <w:t>pool/backend</w:t>
            </w:r>
          </w:p>
        </w:tc>
      </w:tr>
    </w:tbl>
    <w:p w:rsidR="00174FC0" w:rsidRDefault="00174FC0" w:rsidP="009B1459">
      <w:pPr>
        <w:spacing w:line="300" w:lineRule="auto"/>
        <w:rPr>
          <w:rFonts w:hint="eastAsia"/>
        </w:rPr>
      </w:pPr>
    </w:p>
    <w:p w:rsidR="00174FC0" w:rsidRDefault="00174FC0" w:rsidP="009B1459">
      <w:pPr>
        <w:spacing w:line="300" w:lineRule="auto"/>
      </w:pPr>
    </w:p>
    <w:p w:rsidR="009B1459" w:rsidRDefault="009B1459" w:rsidP="009B1459">
      <w:pPr>
        <w:spacing w:line="300" w:lineRule="auto"/>
      </w:pPr>
      <w:r>
        <w:rPr>
          <w:rFonts w:hint="eastAsia"/>
        </w:rPr>
        <w:t>Ceilometer</w:t>
      </w:r>
      <w:r>
        <w:rPr>
          <w:rFonts w:hint="eastAsia"/>
        </w:rPr>
        <w:t>使用的</w:t>
      </w:r>
      <w:r>
        <w:rPr>
          <w:rFonts w:hint="eastAsia"/>
        </w:rPr>
        <w:t>3</w:t>
      </w:r>
      <w:r>
        <w:rPr>
          <w:rFonts w:hint="eastAsia"/>
        </w:rPr>
        <w:t>种指标类型定义：</w:t>
      </w:r>
    </w:p>
    <w:p w:rsidR="009B1459" w:rsidRDefault="009B1459" w:rsidP="009B1459">
      <w:pPr>
        <w:spacing w:line="300" w:lineRule="auto"/>
      </w:pPr>
    </w:p>
    <w:tbl>
      <w:tblPr>
        <w:tblStyle w:val="a7"/>
        <w:tblW w:w="0" w:type="auto"/>
        <w:tblLook w:val="04A0"/>
      </w:tblPr>
      <w:tblGrid>
        <w:gridCol w:w="1526"/>
        <w:gridCol w:w="6996"/>
      </w:tblGrid>
      <w:tr w:rsidR="009B1459" w:rsidTr="00B572DA">
        <w:tc>
          <w:tcPr>
            <w:tcW w:w="1526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6996" w:type="dxa"/>
          </w:tcPr>
          <w:p w:rsidR="009B1459" w:rsidRDefault="009B1459" w:rsidP="009B1459">
            <w:pPr>
              <w:spacing w:line="300" w:lineRule="auto"/>
            </w:pPr>
            <w:r>
              <w:rPr>
                <w:rFonts w:hint="eastAsia"/>
              </w:rPr>
              <w:t>定义</w:t>
            </w:r>
          </w:p>
        </w:tc>
      </w:tr>
      <w:tr w:rsidR="009B1459" w:rsidTr="00B572DA">
        <w:tc>
          <w:tcPr>
            <w:tcW w:w="1526" w:type="dxa"/>
          </w:tcPr>
          <w:p w:rsidR="009B1459" w:rsidRDefault="009B1459" w:rsidP="009B1459">
            <w:pPr>
              <w:spacing w:line="300" w:lineRule="auto"/>
            </w:pPr>
            <w:r w:rsidRPr="00E40D3A">
              <w:t>Cumulative</w:t>
            </w:r>
          </w:p>
        </w:tc>
        <w:tc>
          <w:tcPr>
            <w:tcW w:w="6996" w:type="dxa"/>
          </w:tcPr>
          <w:p w:rsidR="009B1459" w:rsidRDefault="009B1459" w:rsidP="009B1459">
            <w:pPr>
              <w:spacing w:line="300" w:lineRule="auto"/>
            </w:pPr>
            <w:r w:rsidRPr="00E40D3A">
              <w:t>Increasing over time (instance hours)</w:t>
            </w:r>
          </w:p>
        </w:tc>
      </w:tr>
      <w:tr w:rsidR="009B1459" w:rsidTr="00B572DA">
        <w:tc>
          <w:tcPr>
            <w:tcW w:w="1526" w:type="dxa"/>
          </w:tcPr>
          <w:p w:rsidR="009B1459" w:rsidRDefault="009B1459" w:rsidP="009B1459">
            <w:pPr>
              <w:spacing w:line="300" w:lineRule="auto"/>
            </w:pPr>
            <w:r w:rsidRPr="00E40D3A">
              <w:lastRenderedPageBreak/>
              <w:t>Gauge</w:t>
            </w:r>
          </w:p>
        </w:tc>
        <w:tc>
          <w:tcPr>
            <w:tcW w:w="6996" w:type="dxa"/>
          </w:tcPr>
          <w:p w:rsidR="009B1459" w:rsidRDefault="009B1459" w:rsidP="009B1459">
            <w:pPr>
              <w:spacing w:line="300" w:lineRule="auto"/>
            </w:pPr>
            <w:r w:rsidRPr="00E40D3A">
              <w:t>Discrete items (floating IPs, image uploads) and fluctuating values (disk I/O)</w:t>
            </w:r>
          </w:p>
        </w:tc>
      </w:tr>
      <w:tr w:rsidR="009B1459" w:rsidTr="00B572DA">
        <w:tc>
          <w:tcPr>
            <w:tcW w:w="1526" w:type="dxa"/>
          </w:tcPr>
          <w:p w:rsidR="009B1459" w:rsidRDefault="009B1459" w:rsidP="009B1459">
            <w:pPr>
              <w:spacing w:line="300" w:lineRule="auto"/>
            </w:pPr>
            <w:r w:rsidRPr="00E40D3A">
              <w:t>Delta</w:t>
            </w:r>
          </w:p>
        </w:tc>
        <w:tc>
          <w:tcPr>
            <w:tcW w:w="6996" w:type="dxa"/>
          </w:tcPr>
          <w:p w:rsidR="009B1459" w:rsidRDefault="009B1459" w:rsidP="009B1459">
            <w:pPr>
              <w:spacing w:line="300" w:lineRule="auto"/>
            </w:pPr>
            <w:r w:rsidRPr="00E40D3A">
              <w:t>Changing over time (bandwidth)</w:t>
            </w:r>
          </w:p>
        </w:tc>
      </w:tr>
    </w:tbl>
    <w:p w:rsidR="009B1459" w:rsidRDefault="009B1459" w:rsidP="009B1459">
      <w:pPr>
        <w:spacing w:line="300" w:lineRule="auto"/>
      </w:pPr>
    </w:p>
    <w:p w:rsidR="00FF0AAD" w:rsidRDefault="00FF0AAD" w:rsidP="009B1459">
      <w:pPr>
        <w:spacing w:line="300" w:lineRule="auto"/>
      </w:pPr>
    </w:p>
    <w:sectPr w:rsidR="00FF0AAD" w:rsidSect="00FF0AAD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061" w:rsidRDefault="00583061" w:rsidP="00FF0AAD">
      <w:r>
        <w:separator/>
      </w:r>
    </w:p>
  </w:endnote>
  <w:endnote w:type="continuationSeparator" w:id="0">
    <w:p w:rsidR="00583061" w:rsidRDefault="00583061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35693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356932">
      <w:rPr>
        <w:rStyle w:val="a6"/>
      </w:rPr>
      <w:fldChar w:fldCharType="begin"/>
    </w:r>
    <w:r>
      <w:rPr>
        <w:rStyle w:val="a6"/>
      </w:rPr>
      <w:instrText xml:space="preserve">PAGE  </w:instrText>
    </w:r>
    <w:r w:rsidR="00356932">
      <w:rPr>
        <w:rStyle w:val="a6"/>
      </w:rPr>
      <w:fldChar w:fldCharType="separate"/>
    </w:r>
    <w:r w:rsidR="00F34319">
      <w:rPr>
        <w:rStyle w:val="a6"/>
        <w:noProof/>
      </w:rPr>
      <w:t>3</w:t>
    </w:r>
    <w:r w:rsidR="00356932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061" w:rsidRDefault="00583061" w:rsidP="00FF0AAD">
      <w:r>
        <w:separator/>
      </w:r>
    </w:p>
  </w:footnote>
  <w:footnote w:type="continuationSeparator" w:id="0">
    <w:p w:rsidR="00583061" w:rsidRDefault="00583061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0C2E5A">
    <w:pPr>
      <w:jc w:val="left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 w:rsidRPr="000C2E5A">
      <w:rPr>
        <w:rFonts w:asciiTheme="minorEastAsia" w:eastAsiaTheme="minorEastAsia" w:hAnsiTheme="minorEastAsia" w:hint="eastAsia"/>
      </w:rPr>
      <w:t xml:space="preserve">     </w:t>
    </w:r>
    <w:r w:rsidR="00196645" w:rsidRPr="000C2E5A">
      <w:rPr>
        <w:rFonts w:asciiTheme="minorEastAsia" w:eastAsiaTheme="minorEastAsia" w:hAnsiTheme="minorEastAsia" w:hint="eastAsia"/>
      </w:rPr>
      <w:t xml:space="preserve">       </w:t>
    </w:r>
    <w:r w:rsidR="000C2E5A">
      <w:rPr>
        <w:rFonts w:asciiTheme="minorEastAsia" w:eastAsiaTheme="minorEastAsia" w:hAnsiTheme="minorEastAsia" w:hint="eastAsia"/>
      </w:rPr>
      <w:t xml:space="preserve">      OpenCOS</w:t>
    </w:r>
    <w:r w:rsidR="000C2E5A" w:rsidRPr="000C2E5A">
      <w:rPr>
        <w:rFonts w:asciiTheme="minorEastAsia" w:eastAsiaTheme="minorEastAsia" w:hAnsiTheme="minorEastAsia" w:hint="eastAsia"/>
      </w:rPr>
      <w:t>性能指标</w:t>
    </w:r>
    <w:r w:rsidR="00816F96" w:rsidRPr="000C2E5A">
      <w:rPr>
        <w:rFonts w:asciiTheme="minorEastAsia" w:eastAsiaTheme="minorEastAsia" w:hAnsiTheme="minorEastAsia" w:hint="eastAsia"/>
      </w:rPr>
      <w:t xml:space="preserve">    </w:t>
    </w:r>
    <w:r w:rsidR="00816F96">
      <w:rPr>
        <w:rFonts w:hint="eastAsia"/>
      </w:rPr>
      <w:t xml:space="preserve">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0C2E5A">
      <w:rPr>
        <w:rFonts w:hint="eastAsia"/>
      </w:rPr>
      <w:t xml:space="preserve">      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E5A"/>
    <w:rsid w:val="00017DAD"/>
    <w:rsid w:val="00092939"/>
    <w:rsid w:val="000C2E5A"/>
    <w:rsid w:val="0011622A"/>
    <w:rsid w:val="00126145"/>
    <w:rsid w:val="00174FC0"/>
    <w:rsid w:val="001767E6"/>
    <w:rsid w:val="00190A8D"/>
    <w:rsid w:val="00196645"/>
    <w:rsid w:val="001B21A1"/>
    <w:rsid w:val="001D4C1F"/>
    <w:rsid w:val="002333B7"/>
    <w:rsid w:val="00244D42"/>
    <w:rsid w:val="00255CBF"/>
    <w:rsid w:val="002576F7"/>
    <w:rsid w:val="002D35FA"/>
    <w:rsid w:val="002F5517"/>
    <w:rsid w:val="00300E27"/>
    <w:rsid w:val="00312C1A"/>
    <w:rsid w:val="00312DD1"/>
    <w:rsid w:val="0033176D"/>
    <w:rsid w:val="003504B5"/>
    <w:rsid w:val="00356932"/>
    <w:rsid w:val="003A2A06"/>
    <w:rsid w:val="003F448B"/>
    <w:rsid w:val="003F58F6"/>
    <w:rsid w:val="00413229"/>
    <w:rsid w:val="00427917"/>
    <w:rsid w:val="0046088D"/>
    <w:rsid w:val="0048006F"/>
    <w:rsid w:val="004B19A7"/>
    <w:rsid w:val="004C63EE"/>
    <w:rsid w:val="004D1EE6"/>
    <w:rsid w:val="0051029C"/>
    <w:rsid w:val="00583061"/>
    <w:rsid w:val="00583708"/>
    <w:rsid w:val="0059566C"/>
    <w:rsid w:val="005D680C"/>
    <w:rsid w:val="005F56A6"/>
    <w:rsid w:val="006012C6"/>
    <w:rsid w:val="00617630"/>
    <w:rsid w:val="00620346"/>
    <w:rsid w:val="00690BB8"/>
    <w:rsid w:val="006B48F1"/>
    <w:rsid w:val="006C60A2"/>
    <w:rsid w:val="006D7CA8"/>
    <w:rsid w:val="00771468"/>
    <w:rsid w:val="00793203"/>
    <w:rsid w:val="00796A2A"/>
    <w:rsid w:val="007A2A69"/>
    <w:rsid w:val="007C33E4"/>
    <w:rsid w:val="007E771D"/>
    <w:rsid w:val="008142CF"/>
    <w:rsid w:val="00816F96"/>
    <w:rsid w:val="00872250"/>
    <w:rsid w:val="008A7D90"/>
    <w:rsid w:val="0096003B"/>
    <w:rsid w:val="00971DDC"/>
    <w:rsid w:val="00991070"/>
    <w:rsid w:val="00992DCD"/>
    <w:rsid w:val="009B1459"/>
    <w:rsid w:val="009C0D0B"/>
    <w:rsid w:val="009D120A"/>
    <w:rsid w:val="009E748B"/>
    <w:rsid w:val="00A22250"/>
    <w:rsid w:val="00A95088"/>
    <w:rsid w:val="00AC4276"/>
    <w:rsid w:val="00AD7DC0"/>
    <w:rsid w:val="00B12666"/>
    <w:rsid w:val="00C50168"/>
    <w:rsid w:val="00C53622"/>
    <w:rsid w:val="00C54982"/>
    <w:rsid w:val="00C93EDD"/>
    <w:rsid w:val="00C953EF"/>
    <w:rsid w:val="00CD74BD"/>
    <w:rsid w:val="00CF356A"/>
    <w:rsid w:val="00D25CA2"/>
    <w:rsid w:val="00D85273"/>
    <w:rsid w:val="00DA12AB"/>
    <w:rsid w:val="00E153F6"/>
    <w:rsid w:val="00E43842"/>
    <w:rsid w:val="00E943EE"/>
    <w:rsid w:val="00EE5769"/>
    <w:rsid w:val="00EF1EAB"/>
    <w:rsid w:val="00F01A21"/>
    <w:rsid w:val="00F23685"/>
    <w:rsid w:val="00F34319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4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table" w:styleId="a7">
    <w:name w:val="Table Grid"/>
    <w:basedOn w:val="a1"/>
    <w:rsid w:val="009B1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373</Words>
  <Characters>2127</Characters>
  <Application>Microsoft Office Word</Application>
  <DocSecurity>0</DocSecurity>
  <Lines>17</Lines>
  <Paragraphs>4</Paragraphs>
  <ScaleCrop>false</ScaleCrop>
  <Company>zte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zhangshm</dc:creator>
  <cp:keywords/>
  <dc:description/>
  <cp:lastModifiedBy>zhangshm</cp:lastModifiedBy>
  <cp:revision>19</cp:revision>
  <cp:lastPrinted>2113-01-01T00:00:00Z</cp:lastPrinted>
  <dcterms:created xsi:type="dcterms:W3CDTF">2015-10-30T01:02:00Z</dcterms:created>
  <dcterms:modified xsi:type="dcterms:W3CDTF">2016-05-12T07:03:00Z</dcterms:modified>
</cp:coreProperties>
</file>