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Законодательный</w:t>
      </w:r>
      <w:r>
        <w:t xml:space="preserve"> </w:t>
      </w:r>
      <w:r>
        <w:t xml:space="preserve">уровень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  <w:r>
        <w:t xml:space="preserve"> </w:t>
      </w:r>
      <w:r>
        <w:t xml:space="preserve">в</w:t>
      </w:r>
      <w:r>
        <w:t xml:space="preserve"> </w:t>
      </w:r>
      <w:r>
        <w:t xml:space="preserve">России</w:t>
      </w:r>
      <w:r>
        <w:t xml:space="preserve"> </w:t>
      </w:r>
      <w:r>
        <w:t xml:space="preserve">в</w:t>
      </w:r>
      <w:r>
        <w:t xml:space="preserve"> </w:t>
      </w:r>
      <w:r>
        <w:t xml:space="preserve">2026</w:t>
      </w:r>
      <w:r>
        <w:t xml:space="preserve"> </w:t>
      </w:r>
      <w:r>
        <w:t xml:space="preserve">году</w:t>
      </w:r>
    </w:p>
    <w:p>
      <w:pPr>
        <w:pStyle w:val="Author"/>
      </w:pPr>
      <w:r>
        <w:t xml:space="preserve">Яковлева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Информационная безопасность становится критически важным аспектом функционирования государственных и частных структур в России. Законодательство в этой сфере претерпевает значительные изменения, обусловленные появлением новых технологий и возрастанием угроз цифровой безопасности. Анализ правовых новшеств 2026 года позволяет понять направление развития нормативной базы и выявить основные требования, предъявляемые к субъектам информзащиты.</w:t>
      </w:r>
    </w:p>
    <w:p>
      <w:pPr>
        <w:pStyle w:val="BodyText"/>
      </w:pPr>
      <w:r>
        <w:t xml:space="preserve">Цель данной работы — исследование законодательного уровня информационной безопасности в России в 2026 году с акцентом на обновления, вступающие в силу после отмены приказа ФСТЭК № 17 от 2013 года и введения приказа ФСТЭК № 117 от 2025 года. Рассматриваются ключевые изменения нормативных актов, их связь с современными технологическими вызовами, а также влияние этих изменений на организационную практику обеспечения безопасности информации.</w:t>
      </w:r>
    </w:p>
    <w:p>
      <w:pPr>
        <w:pStyle w:val="BodyText"/>
      </w:pPr>
      <w:r>
        <w:t xml:space="preserve">В работе подробно рассматриваются следующие темы. Во-первых, проводится исторический обзор развития российского законодательства в области информационной безопасности с начала 2010-х годов. Далее анализируются основные положения и ограничения приказа ФСТЭК № 17, выявляются его недостатки и пробелы, на которые была направлена корректировка в новом акте.</w:t>
      </w:r>
    </w:p>
    <w:p>
      <w:pPr>
        <w:pStyle w:val="BodyText"/>
      </w:pPr>
      <w:r>
        <w:t xml:space="preserve">Особое внимание уделяется содержанию приказа ФСТЭК № 117, раскрываются новые требования к объектам информационной защиты, включая обновленную классификацию и меры контроля. Рассматривается, каким образом современные технологии — такие как искусственный интеллект, машинное обучение и взаимодействие с облачными сервисами — влияют на формирование нормативных положений и стандарты безопасности.</w:t>
      </w:r>
    </w:p>
    <w:p>
      <w:pPr>
        <w:pStyle w:val="BodyText"/>
      </w:pPr>
      <w:r>
        <w:t xml:space="preserve">Одним из важных разделов является оценка механизмов государственного контроля и ответственности за несоблюдение норм информационной безопасности, регламентированных новым законодательством. Проводится анализ санкций, процедур аудита и мониторинга, а также роли специализированных органов в обеспечении соблюдения законов.</w:t>
      </w:r>
      <w:r>
        <w:t xml:space="preserve"> </w:t>
      </w:r>
      <w:r>
        <w:t xml:space="preserve">Заключительную часть работы занимает изучение практических аспектов внедрения новых требований в деятельность организаций. Оцениваются вызовы, связанные с адаптацией к изменившимся нормативам, а также успешные практики и рекомендации по обеспечению соответствия новым стандартам.</w:t>
      </w:r>
    </w:p>
    <w:p>
      <w:pPr>
        <w:pStyle w:val="BodyText"/>
      </w:pPr>
      <w:r>
        <w:t xml:space="preserve">Кроме того, рассматриваются перспективы дальнейшего развития законодательства в области информационной безопасности, учитывая динамичное развитие цифровых технологий и нарастающие киберугрозы, которые требуют постоянного обновления нормативно-правовой базы. Такой анализ позволяет выявить направления, в которых российское законодательство будет совершенствоваться в ближайшие годы для эффективной защиты информационных ресурсов страны.</w:t>
      </w:r>
    </w:p>
    <w:bookmarkEnd w:id="20"/>
    <w:bookmarkStart w:id="29" w:name="основ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Основная часть</w:t>
      </w:r>
    </w:p>
    <w:bookmarkStart w:id="21" w:name="Xc3a55aa6c7667f7fb2d9c41549cafdd447cb200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Перспективы развития законодательства РФ об информационной безопасности после 2026 года</w:t>
      </w:r>
    </w:p>
    <w:p>
      <w:pPr>
        <w:pStyle w:val="FirstParagraph"/>
      </w:pPr>
      <w:r>
        <w:t xml:space="preserve">После вступления в силу приказа ФСТЭК № 117 в марте 2026 года государственное регулирование информационной безопасности в России будет существенно ориентировано на риск-менеджмент. Приоритет смещается от универсальных, формализованных требований к более гибким нормам, учитывающим специфику конкретных информационных систем, потенциал угроз и возможные последствия ущерба. Такой подход позволит организациям адаптировать меры защиты к реальным вызовам, ориентируясь не на формальное соблюдение, а на снижение рисков, что соответствует современным мировым трендам в кибербезопасности [</w:t>
      </w:r>
      <w:r>
        <w:t xml:space="preserve">[1]</w:t>
      </w:r>
      <w:r>
        <w:t xml:space="preserve">]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Расширение и уточнение терминологии в новом законодательстве охватывает не только технические аспекты защиты, но и организационные, программные средства и системы управления информационной безопасностью. Это способствует формированию комплексной среды, где технические решения дополняются эффективными процессами и контролем, направленными на устойчивое функционирование информационных систем. Ослабление жёсткой связи между классами систем и набором обязательных мер создаёт условия для развития индивидуализированных стратегий защиты, что является ответом на возросшую сложность и разнообразие информационной инфраструктуры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Текущие тенденции роста российского рынка информационной безопасности и акцент на развитии отечественных решений, импортозамещении и встроенной безопасной разработке будут стимулировать дальнейшее ужесточение и специализированное формирование нормативной базы, направленной на повышение качества и эффективности мер защиты. Государственная политика, учитывающая интеграцию искусственного интеллекта и цифровых платформ, потребует создания нового уровня взаимодействия между законодательством и технологическими инновациями, что усилит роль аналитики угроз и прогнозирования рисков[</w:t>
      </w:r>
      <w:r>
        <w:t xml:space="preserve">[3]</w:t>
      </w:r>
      <w:r>
        <w:t xml:space="preserve">]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Важным фактором дальнейшего развития нормативного регулирования станет необходимость оперативного реагирования на быстро меняющиеся технологические реалии. Законодатели будут вынуждены поддерживать баланс между жёсткостью требований и гибкостью внедрения новых решений, обеспечивая при этом высокую степень безопасности критической инфраструктуры и государственных информационных систем. Этот баланс позволит не допустить излишнего бюрократического давления и одновременно повысить устойчивость к современным киберугрозам[</w:t>
      </w:r>
      <w:r>
        <w:t xml:space="preserve">[1]</w:t>
      </w:r>
      <w:r>
        <w:t xml:space="preserve">]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Наряду с развитием правового поля, в перспективе ожидается углубление сотрудничества государственных органов и частного сектора, а также активизация международного взаимодействия в области обмена информацией и совместных мероприятий по обеспечению кибербезопасности. Российское законодательство будет всё сильнее интегрировать риск-ориентированные стандарты и методики, что создаст основу для формирования интеллектуальной и адаптивной системы защиты информации, способной эффективно противостоять как внутренним, так и внешним вызовам.</w:t>
      </w:r>
    </w:p>
    <w:p>
      <w:pPr>
        <w:pStyle w:val="BodyText"/>
      </w:pPr>
      <w:r>
        <w:t xml:space="preserve">Таким образом, в послеприказном периоде законодательство России в области информационной безопасности будет развиваться по пути системного, технологически ориентированного и гибкого регулирования, направленного на адекватное и проактивное управление рисками при полном учёте инновационных технологий и сложной структуры информационного пространства[</w:t>
      </w:r>
      <w:r>
        <w:t xml:space="preserve">[1]</w:t>
      </w:r>
      <w:r>
        <w:t xml:space="preserve">]</w:t>
      </w:r>
      <w:r>
        <w:t xml:space="preserve">[3]</w:t>
      </w:r>
      <w:r>
        <w:t xml:space="preserve">[</w:t>
      </w:r>
      <w:r>
        <w:t xml:space="preserve">[4]</w:t>
      </w:r>
      <w:r>
        <w:t xml:space="preserve">]</w:t>
      </w:r>
      <w:r>
        <w:t xml:space="preserve">[2]</w:t>
      </w:r>
      <w:r>
        <w:t xml:space="preserve">.</w:t>
      </w:r>
    </w:p>
    <w:bookmarkEnd w:id="21"/>
    <w:bookmarkStart w:id="22" w:name="X56db96b8cf9fb02867f7e2c0c96fc85334f6e90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История и эволюция законодательства Российской Федерации в области информационной безопасности</w:t>
      </w:r>
    </w:p>
    <w:p>
      <w:pPr>
        <w:pStyle w:val="FirstParagraph"/>
      </w:pPr>
      <w:r>
        <w:t xml:space="preserve">Первые шаги законодательного регулирования информационной безопасности в России сформировались в начале 1990-х годов на фоне глобального осознания важности защиты информации в условиях стремительного развития компьютерных технологий. Законодательная основа была заложена Федеральным законом от 21 июля 1993 года № 5485-1 «О государственной тайне», который установил классификацию секретных сведений, определил порядок их засекречивания, порядок допуска к информации с ограниченным доступом, а также меры ответственности за нарушение законодательства в данной сфере. Этот закон стал фундаментом, регламентирующим вопросы защиты государственной информации и контроль за соблюдением правил допуска к ней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Хотя данный закон рассматривал главным образом вопросы государственной тайны, развитие цифровых технологий и появление новых видов информации требовали более широкого подхода к защите данных. В 2006 году был принят Федеральный закон № 149 «Об информации, информационных технологиях и о защите информации», который заменил ряд устаревших норм предыдущих актов 1995 года. В нем были введены такие понятия, как электронное сообщение, информационные системы, а также определены права и обязанности операторов этих систем по обеспечению безопасности обрабатываемой информации. Закон впервые установил юридические рамки, позволяющие регулировать доступ к различным видам информации и ограничивать его при необходимости, что отвечало вызовам цифровой эпохи [</w:t>
      </w:r>
      <w:r>
        <w:t xml:space="preserve">[6]</w:t>
      </w:r>
      <w:r>
        <w:t xml:space="preserve">]</w:t>
      </w:r>
      <w:r>
        <w:t xml:space="preserve">[7]</w:t>
      </w:r>
      <w:r>
        <w:t xml:space="preserve">.</w:t>
      </w:r>
    </w:p>
    <w:p>
      <w:pPr>
        <w:pStyle w:val="BodyText"/>
      </w:pPr>
      <w:r>
        <w:t xml:space="preserve">В том же году был принят Федеральный закон «О персональных данных», который ввел правовые нормы по обработке и защите личной информации граждан. Важность данного акта состоит в том, что он определил права субъектов персональных данных и обязанности операторов по их сохранности, что стало основой для защиты конфиденциальной информации в масштабах всей страны и наложило обязательства на организации при работе с личной информацией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Сопровождающий законодательство комплекс государственных стандартов, например ГОСТ Р 50739-95, направлялся на установление технических требований к средствам вычислительной техники и методам защиты информации. Эти стандарты служили нормативной основой для разработки и внедрения систем защиты в различных отраслях экономики и государственных структурах</w:t>
      </w:r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С начала 2010-х годов законодательство начало активнее реагировать на новые угрозы в сети Интернет. Были приняты федеральные законы, такие как № 139-ФЗ (2012) о защите детей в информационном пространстве и создании реестра запрещенных сайтов, № 187-ФЗ (2013) о блокировке сайтов с нелицензионным контентом, а также № 398-ФЗ (2013), регламентирующий блокировку экстремистских ресурсов. Эти меры позволили системе правового регулирования информационной безопасности расширить спектр защиты, адресуя вопросы фильтрации и контроля интернет-контента, что стало ответом на вызовы киберугроз и информационной агрессии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BodyText"/>
      </w:pPr>
      <w:r>
        <w:t xml:space="preserve">Кроме того, к важным этапам можно отнести принятие в 2014 году закона № 97-ФЗ, известного как «закон о блогерах», который ввел регистрацию популярных интернет-авторов и наделил Роскомнадзор дополнительными полномочиями по контролю над информационным пространством.</w:t>
      </w:r>
    </w:p>
    <w:p>
      <w:pPr>
        <w:pStyle w:val="BodyText"/>
      </w:pPr>
      <w:r>
        <w:t xml:space="preserve">Эти нормативные акты отражали переход российского законодательства от традиционного понимания защиты государственной тайны к комплексной системе, учитывающей разнообразие информационных продуктов и сервисов в цифровую эпоху. Однако к началу 2010-х годов накопились проблемы несовершенства и фрагментарности правового регулирования информационной безопасности, что осложняло гарантированную защиту информации от постоянно усложняющихся и меняющихся угроз.</w:t>
      </w:r>
    </w:p>
    <w:p>
      <w:pPr>
        <w:pStyle w:val="BodyText"/>
      </w:pPr>
      <w:r>
        <w:t xml:space="preserve">Повышение технологической сложности и появление новых видов информационных систем, а также возросшая роль государственной и критической инфраструктуры в цифровой среде требовали обновления законодательства. Новый нормативный акт, который впоследствии стал приказом ФСТЭК № 17 от 2013 года, был обусловлен необходимостью гармонизации и детализации требований к информационной безопасности, создания единой методологии и контроля над объектами защиты. Этот факт подчеркивает логическую необходимость перехода от прежних нормативных основ к более современным и адекватным реалиям 2010-х годов [</w:t>
      </w:r>
      <w:r>
        <w:t xml:space="preserve">[8]</w:t>
      </w:r>
      <w:r>
        <w:t xml:space="preserve">]</w:t>
      </w:r>
      <w:r>
        <w:t xml:space="preserve">[9]</w:t>
      </w:r>
      <w:r>
        <w:t xml:space="preserve">.</w:t>
      </w:r>
    </w:p>
    <w:bookmarkEnd w:id="22"/>
    <w:bookmarkStart w:id="23" w:name="X4b5309d82bae4750886a2c2196bb11d108adc5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приказа ФСТЭК № 17 от 11 февраля 2013 года: содержание и недостатки</w:t>
      </w:r>
    </w:p>
    <w:p>
      <w:pPr>
        <w:pStyle w:val="FirstParagraph"/>
      </w:pPr>
      <w:r>
        <w:t xml:space="preserve">Приказ ФСТЭК России № 17 от 11 февраля 2013 года был направлен на установление обязательных требований по защите информации, не составляющей государственную тайну, которая обрабатывается, хранится и передаётся в государственных информационных системах. Его основная задача заключалась в формализации мер по обеспечению конфиденциальности, целостности и доступности таких данных, что обеспечивало минимизацию рисков несанкционированного доступа и разрушения информации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Документ регламентировал структуру мероприятий по защите информации, в том числе требования к идентификации и аутентификации пользователей с целью контроля доступа. Приказ устанавливал порядок проведения оценки защищённости информационных систем, методы аудита и мониторинга состояния безопасности, а также процедуры реагирования на инциденты, что содействовало своевременному выявлению и ликвидации угроз. Кроме того, были определены меры по контролю за исполнением требований и ответственность за нарушения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За время действия приказа он неоднократно подвергался изменениям и дополнениям: редакции от 2017 года, 2019 и 2024 годов отражали необходимость адаптации к появлению новых технологий и киберугроз. Эти усовершенствования направлялись на поддержание актуальности и эффективности требований в условиях динамичного развития информационных систем и методов атак. Однако, несмотря на обновления, ряд положений приказа оставался несовершенным в контексте современных вызовов и технологий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Одним из существенно ограничивающих факторов была недостаточная детализация требований к защите новых типов информационных активов, таких как облачные сервисы, распределённые вычислительные системы и системы с искусственным интеллектом. Приказ № 17 содержал в основном традиционные подходы к защите информации и не предусматривал расширенные механизмы защиты, учитывающие вызовы 2020-х годов. Также отмечалась недостаточная гибкость нормативных предписаний по адаптации к быстро меняющимся условиям, что сказывалось на оперативности реагирования и внедрении инновационных технических решений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Кроме того, приказ не учитывал полноту современных сценариев атак, в том числе целевые кибершпионаж, сложные инсайдерские угрозы и мультивекторные атаки, что усложняло создание комплексной системы безопасности в государственных информационных системах. Отсутствовали развернутые требования к интеграции технических и организационных мер, а также к внедрению автоматизированных систем мониторинга и управления инцидентами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Нормативные предписания приказа, несмотря на усилия по периодическому обновлению, не всегда обеспечивали необходимую совместимость с международными стандартами и рекомендациями, что ограничивало возможности взаимодействия российских государственных систем с зарубежными партнёрами и затрудняло реализацию комплексных программ кибербезопасности.</w:t>
      </w:r>
    </w:p>
    <w:p>
      <w:pPr>
        <w:pStyle w:val="BodyText"/>
      </w:pPr>
      <w:r>
        <w:t xml:space="preserve">Эти недостатки стали весомым аргументом для разработки нового документа — приказа ФСТЭК № 117, который должен вступить в силу 1 марта 2026 года и заменить приказ № 17. Новый акт предусматривает значительное расширение и углубление требований к защите информации с учётом современных технологических реалий, новых угроз и опыта практического применения законодательства. Подготовка к переходу на новые нормы уже актуальна для государственных органов и организаций, работающих с государственными информационными системами, поскольку переход затронет обновление внутренней документации, внедрение новых технологий и формирование политик безопасности согласно своевременным и детализированным стандартам</w:t>
      </w:r>
      <w:r>
        <w:t xml:space="preserve">[14]</w:t>
      </w:r>
      <w:r>
        <w:t xml:space="preserve">.</w:t>
      </w:r>
    </w:p>
    <w:p>
      <w:pPr>
        <w:pStyle w:val="BodyText"/>
      </w:pPr>
      <w:r>
        <w:t xml:space="preserve">Таким образом, анализ приказа ФСТЭК № 17 демонстрирует, что несмотря на значительную работу по установлению и поддержанию требований информационной безопасности в российских государственных системах, потребности современного цифрового общества и вызовы 2020-х годов предъявляли новые задачи, для решения которых данный нормативный акт стал недостаточно адекватен. Это обоснованно обусловило необходимость его замены и разработку усовершенствованных положений приказа ФСТЭК № 117.</w:t>
      </w:r>
    </w:p>
    <w:bookmarkEnd w:id="23"/>
    <w:bookmarkStart w:id="24" w:name="Xfb0a90d27cac0cba01adee6384be9c6bfc3a340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Новый приказ ФСТЭК № 117 от 11 апреля 2025 года: основные положения и изменения</w:t>
      </w:r>
    </w:p>
    <w:p>
      <w:pPr>
        <w:pStyle w:val="FirstParagraph"/>
      </w:pPr>
      <w:r>
        <w:t xml:space="preserve">Приказ ФСТЭК России № 117 от 11 апреля 2025 года отменил прежний нормативный акт — приказ ФСТЭК № 17 от 2013 года, внося кардинальные изменения в регулирование защиты информации в государственных информационных системах и иных системах государственных органов, унитарных предприятий и учреждений. Новый документ вступит в силу 1 марта 2026 года и является основой для современного законодательства по информационной безопасности на государственном уровне [</w:t>
      </w:r>
      <w:r>
        <w:t xml:space="preserve">[15]</w:t>
      </w:r>
      <w:r>
        <w:t xml:space="preserve">]</w:t>
      </w:r>
      <w:r>
        <w:t xml:space="preserve">[16]</w:t>
      </w:r>
      <w:r>
        <w:t xml:space="preserve">.</w:t>
      </w:r>
    </w:p>
    <w:p>
      <w:pPr>
        <w:pStyle w:val="BodyText"/>
      </w:pPr>
      <w:r>
        <w:t xml:space="preserve">Данный приказ формализует требования, опирающиеся на положения федерального закона № 149-ФЗ</w:t>
      </w:r>
      <w:r>
        <w:t xml:space="preserve"> </w:t>
      </w:r>
      <w:r>
        <w:t xml:space="preserve">“</w:t>
      </w:r>
      <w:r>
        <w:t xml:space="preserve">Об информации, информационных технологиях и о защите информации</w:t>
      </w:r>
      <w:r>
        <w:t xml:space="preserve">”</w:t>
      </w:r>
      <w:r>
        <w:t xml:space="preserve">, а также полномочия Федеральной службы по техническому и экспортному контролю. Важное новшество — утверждение единой методики оценки уровня защищённости комплекса защитных средств информации (КЗИ). Этот показатель рассчитывается в диапазоне от 0 до 1 на основе 16 критериев, сгруппированных в четыре смысловые категории. Минимальный базовый уровень защищённости устанавливается при значении КЗИ, равном 1 [</w:t>
      </w:r>
      <w:r>
        <w:t xml:space="preserve">[17]</w:t>
      </w:r>
      <w:r>
        <w:t xml:space="preserve">]</w:t>
      </w:r>
      <w:r>
        <w:t xml:space="preserve">[18]</w:t>
      </w:r>
      <w:r>
        <w:t xml:space="preserve">.</w:t>
      </w:r>
    </w:p>
    <w:p>
      <w:pPr>
        <w:pStyle w:val="BodyText"/>
      </w:pPr>
      <w:r>
        <w:t xml:space="preserve">Приказ № 117 вводит стандартизированный подход к оценке и контролю мер по информационной безопасности, что позволяет унифицировать требования к защите информации для всех государственных структур. Предусмотрена специализированная система калькуляции КЗИ с использованием бесплатного онлайн-инструмента, разработанного лицензированным партнёром ФСТЭК — компанией КРЕДО-С, сопровождаемого подробными методическими рекомендациями и комментариями. Это облегчает внедрение и применение норм документа на практике [</w:t>
      </w:r>
      <w:r>
        <w:t xml:space="preserve">[15]</w:t>
      </w:r>
      <w:r>
        <w:t xml:space="preserve">]</w:t>
      </w:r>
      <w:r>
        <w:t xml:space="preserve">[19]</w:t>
      </w:r>
      <w:r>
        <w:t xml:space="preserve">.</w:t>
      </w:r>
    </w:p>
    <w:p>
      <w:pPr>
        <w:pStyle w:val="BodyText"/>
      </w:pPr>
      <w:r>
        <w:t xml:space="preserve">В новой редакции документа усилена нормативная определённость требований, что позволяет эффективнее регулировать процессы обеспечения безопасности с учётом компетенций ответственных лиц, обязанностей организаций и механизмов контроля. Приказ фиксирует обновлённый набор обязательных мер и критериев, строго регламентирующих создание, функционирование и мониторинг средств защиты информации внутри государственных информационных систем.</w:t>
      </w:r>
    </w:p>
    <w:p>
      <w:pPr>
        <w:pStyle w:val="BodyText"/>
      </w:pPr>
      <w:r>
        <w:t xml:space="preserve">Значительным изменением стало усиление смысловой нагрузки на объективную количественную оценку защищённости, позволяющую более однозначно определять достаточность реализованных мер и оперативно выявлять отклонения от установленных норм. Это обеспечивает большую прозрачность и системность в контроле качества информационной безопасности [</w:t>
      </w:r>
      <w:r>
        <w:t xml:space="preserve">[16]</w:t>
      </w:r>
      <w:r>
        <w:t xml:space="preserve">]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Таким образом, приказ ФСТЭК № 117 представляет собой качественный переход от фрагментарного и зачастую субъективного регулирования к комплексному и стандартизированному подходу, направленному на повышение эффективности применения норм информационной защиты в государственных структурах. Важным этапом после утверждения документа станет практическое внедрение и последующий переход к технологиям и методам, учитывающим изменившуюся нормативную базу, что будет рассмотрено далее.</w:t>
      </w:r>
    </w:p>
    <w:bookmarkEnd w:id="24"/>
    <w:bookmarkStart w:id="25" w:name="Xb8bdc3bf706e18687a1a8d149d82e5b75232cac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Влияние современных технологий на законодательство в области информационной безопасности</w:t>
      </w:r>
    </w:p>
    <w:p>
      <w:pPr>
        <w:pStyle w:val="FirstParagraph"/>
      </w:pPr>
      <w:r>
        <w:t xml:space="preserve">Развитие технологий искусственного интеллекта (ИИ) и автоматизации трансформирует содержание и методы обеспечения информационной безопасности, что отражается в актуализации законодательных норм. В России ИИ определяется как комплекс технологических решений, имитирующих когнитивные функции человека с результатами, сопоставимыми с интеллектуальной деятельностью человека. Данное понятие впервые юридически зафиксировано в Указе Президента РФ от 10 октября 2019 года № 490 и Федеральном законе № 123-ФЗ, что стало важным шагом для последующего правового регулирования</w:t>
      </w:r>
      <w:r>
        <w:t xml:space="preserve"> </w:t>
      </w:r>
      <w:r>
        <w:t xml:space="preserve">[20]</w:t>
      </w:r>
      <w:r>
        <w:t xml:space="preserve">.</w:t>
      </w:r>
    </w:p>
    <w:p>
      <w:pPr>
        <w:pStyle w:val="BodyText"/>
      </w:pPr>
      <w:r>
        <w:t xml:space="preserve">Внедрение и использование ИИ в информбезопасности обуславливает необходимость разработки законодательства, учитывающего специфические риски и возможности технологий. На национальном уровне закреплена стратегия развития ИИ до 2030 года, направленная на обеспечение комплексного контроля с учётом безопасности и суверенитета. В 2024 году в российском законодательстве появились требования по обязательной маркировке видеоматериалов, созданных с использованием ИИ, а также введены понятия «доверенные», «суверенные» и «национальные» модели ИИ. Особое внимание уделяется контролю над процессами разработки и обучения таких моделей, которые должны осуществляться исключительно на территории России и под контролем российских граждан или юридических лиц с большинством долевого участия [</w:t>
      </w:r>
      <w:r>
        <w:t xml:space="preserve">[21]</w:t>
      </w:r>
      <w:r>
        <w:t xml:space="preserve">]</w:t>
      </w:r>
      <w:r>
        <w:t xml:space="preserve">[22]</w:t>
      </w:r>
      <w:r>
        <w:t xml:space="preserve">.</w:t>
      </w:r>
    </w:p>
    <w:p>
      <w:pPr>
        <w:pStyle w:val="BodyText"/>
      </w:pPr>
      <w:r>
        <w:t xml:space="preserve">Обеспечение информационной безопасности в условиях применения ИИ связано не только с техническими, но и с правовыми, этическими и организационными аспектами. В этой связи законодательство стремится регулировать вопросы обработки огромных массивов персональных данных и решений, принимаемых системами ИИ, что требует новых средств контроля и ответственности. При этом государственный контроль усиливается с целью предотвращения злоупотреблений, обеспечения защиты национальных интересов и соблюдения этических стандартов. Попытки формирования специализированных кодексов этики для ИИ, например, в финансовом секторе, отражают стремление гармонизировать технологическое развитие с социальными требованиями и нормами безопасности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На международном уровне регулирование ИИ развивается в направлении риск-ориентированного подхода, направленного на безопасность и защиту фундаментальных прав человека. Примером служит законодательство Европейского Союза, принятого в конце 2023 года. Несмотря на наличие определённых ограничений по масштабности санкций, концепция ЕС оказывает влияние на российскую практику, стимулируя интеграцию принципов оценки рисков и прозрачности ИИ в отечественное законодательство. Однако российские меры дополнительно концентрируются на суверенитете и национальной безопасности, что выражается в строгих требованиях к «суверенным» моделям ИИ и их контролируемой разработке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Таким образом, внедрение ИИ и автоматизации меняет содержательную базу и направления законодательного регулирования информационной безопасности в России. Эти изменения обусловлены необходимостью учитывать новые технологические реалии и угрозы, а также создавать правовые механизмы, которые будут способствовать не только развитию цифровой экономики, но и защите критических информационных ресурсов и национальных интересов. Настоящий технологический контекст формирует основу для последующего анализа конкретных мер защиты и вызовов, реализуемых в обновлённой нормативной базе.</w:t>
      </w:r>
    </w:p>
    <w:bookmarkEnd w:id="25"/>
    <w:bookmarkStart w:id="26" w:name="X88a297357adb3f09b1acae4b3268a23ddc788f8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Основные требования нового законодательства к объектам информзащиты</w:t>
      </w:r>
    </w:p>
    <w:p>
      <w:pPr>
        <w:pStyle w:val="FirstParagraph"/>
      </w:pPr>
      <w:r>
        <w:t xml:space="preserve">Приказ ФСТЭК России № 117 от 11 апреля 2025 года устанавливает комплекс требований по защите информации, содержащейся в государственных информационных системах (ГИС), а также иных информационных системах государственных органов, унитарных предприятий и учреждений. Объекты информзащиты согласно новому законодательству охватывают широкий спектр государственных информационных систем, включая как централизованные базы данных и аналитические платформы, так и специализированные системы поддержки управленческих решений и документооборота [</w:t>
      </w:r>
      <w:r>
        <w:t xml:space="preserve">[15]</w:t>
      </w:r>
      <w:r>
        <w:t xml:space="preserve">]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В основе приказа лежит процессный подход к обеспечению безопасности, который требует от организаций не просто технической реализации средств защиты, но и постоянного управления рисками, мониторинга и обновления мер защиты в течение всего жизненного цикла информационных систем. Важным аспектом является установление показателя защищённости средств защиты информации (КЗИ), который рассчитывается исходя из 16 критериев, сгруппированных в четыре основные группы. Эти критерии охватывают технические средства, организационные мероприятия, контроль доступа, а также инцидент-менеджмент. Значение КЗИ варьируется от 0 до 1, при этом достижение базового уровня — 1 — свидетельствует о достаточности реализованных мер защиты[</w:t>
      </w:r>
      <w:r>
        <w:t xml:space="preserve">[16]</w:t>
      </w:r>
      <w:r>
        <w:t xml:space="preserve">]</w:t>
      </w:r>
      <w:r>
        <w:t xml:space="preserve">[24]</w:t>
      </w:r>
      <w:r>
        <w:t xml:space="preserve">.</w:t>
      </w:r>
    </w:p>
    <w:p>
      <w:pPr>
        <w:pStyle w:val="BodyText"/>
      </w:pPr>
      <w:r>
        <w:t xml:space="preserve">Относительно технических требований приказ предусматривает обязательное соответствие средств защиты современным стандартам безопасности, включая шифрование, антивирусную защиту, систему аутентификации и авторизации пользователей. Новые нормы регламентируют требования к защищённой передаче данных, безопасному хранению информации и средствам обнаружения вторжений и аномалий. Акцент сделан на необходимости своевременного обновления программного обеспечения и устранения выявленных уязвимостей в строго установленные сроки[21].</w:t>
      </w:r>
      <w:r>
        <w:t xml:space="preserve"> </w:t>
      </w:r>
      <w:r>
        <w:t xml:space="preserve">Организационные требования включают обязательства по формированию и поддерживанию укомплектованного и квалифицированного персонала, ответственного за информационную безопасность. Приказ вводит критерии квалификации и требования к проведению регулярного обучения и аттестации специалистов. Это связано с тем, что человеческий фактор является одним из ключевых элементов защиты и слабым звеном при реализации мер безопасности[</w:t>
      </w:r>
      <w:r>
        <w:t xml:space="preserve">[15]</w:t>
      </w:r>
      <w:r>
        <w:t xml:space="preserve">]</w:t>
      </w:r>
      <w:r>
        <w:t xml:space="preserve">[16]</w:t>
      </w:r>
      <w:r>
        <w:t xml:space="preserve">.</w:t>
      </w:r>
    </w:p>
    <w:p>
      <w:pPr>
        <w:pStyle w:val="BodyText"/>
      </w:pPr>
      <w:r>
        <w:t xml:space="preserve">Значительное внимание уделено обязательной отчетности организаций по вопросам информзащиты. Государственные структуры и учреждения обязаны предоставлять регулярные отчёты о применении мер, выявленных уязвимостях и принятых корректирующих действиях. Такой контроль направлен на повышение прозрачности и эффективности системы защиты информации, а также на своевременное выявление и предупреждение угроз[</w:t>
      </w:r>
      <w:r>
        <w:t xml:space="preserve">[17]</w:t>
      </w:r>
      <w:r>
        <w:t xml:space="preserve">]</w:t>
      </w:r>
      <w:r>
        <w:t xml:space="preserve">[24]</w:t>
      </w:r>
      <w:r>
        <w:t xml:space="preserve">.</w:t>
      </w:r>
    </w:p>
    <w:p>
      <w:pPr>
        <w:pStyle w:val="BodyText"/>
      </w:pPr>
      <w:r>
        <w:t xml:space="preserve">Еще одним важным элементом приказа является расширение сферы применения требований — теперь они касаются не только федеральных государственных систем, но и региональных и муниципальных информационных систем, что отражает необходимость комплексной защиты всех уровней государственного управления.</w:t>
      </w:r>
      <w:r>
        <w:t xml:space="preserve"> </w:t>
      </w:r>
      <w:r>
        <w:t xml:space="preserve">Таким образом, приказ № 117 формирует чёткую нормативную основу, объединяющую технические и организационные аспекты защиты информации. Он задаёт стандарты для государственного сектора, обеспечивая системность, унификацию и повышение качества обеспечительных мер. Эта нормативная база готовит почву для последующего анализа механизмов контроля и ответственности, которые необходимы для практического применения данных требований и обеспечения их соблюдения на всех уровнях государственных структур</w:t>
      </w:r>
      <w:r>
        <w:t xml:space="preserve">[18]</w:t>
      </w:r>
      <w:r>
        <w:t xml:space="preserve">.</w:t>
      </w:r>
    </w:p>
    <w:bookmarkEnd w:id="26"/>
    <w:bookmarkStart w:id="27" w:name="X76bbe34163f68374e67f3742f6603fe52ae7aca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Меры государственного контроля и ответственность за нарушение законодательства об информационной безопасности</w:t>
      </w:r>
    </w:p>
    <w:p>
      <w:pPr>
        <w:pStyle w:val="FirstParagraph"/>
      </w:pPr>
      <w:r>
        <w:t xml:space="preserve">Государственный контроль в области информационной безопасности в России осуществляется посредством системы надзора и мониторинга, закреплённой в Федеральном законе № 149-ФЗ «Об информации, информационных технологиях и о защите информации». В частности, статья 16.1 закона закрепляет полномочия федеральных органов по контролю соблюдения требований законодательства в информационно-телекоммуникационных сетях, включая интернет, а статья 16.2 предусматривает ведение мониторинга этих сетей с целью выявления и предупреждения нарушений[</w:t>
      </w:r>
      <w:r>
        <w:t xml:space="preserve">[7]</w:t>
      </w:r>
      <w:r>
        <w:t xml:space="preserve">]</w:t>
      </w:r>
      <w:r>
        <w:t xml:space="preserve">[25]</w:t>
      </w:r>
      <w:r>
        <w:t xml:space="preserve">.</w:t>
      </w:r>
    </w:p>
    <w:p>
      <w:pPr>
        <w:pStyle w:val="BodyText"/>
      </w:pPr>
      <w:r>
        <w:t xml:space="preserve">Контрольные мероприятия реализуются рядом государственных органов, среди которых ключевую роль выполняют Федеральная служба по техническому и экспортному контролю (ФСТЭК), Роскомнадзор и другие ведомства, обладающие полномочиями проводить проверки, аудит информационных систем и оценку состояния защищённости. Эти проверки могут быть как плановыми, так и внеплановыми, инициируемыми при обращении граждан, юридических лиц или в ходе расследования инцидентов.</w:t>
      </w:r>
    </w:p>
    <w:p>
      <w:pPr>
        <w:pStyle w:val="BodyText"/>
      </w:pPr>
      <w:r>
        <w:t xml:space="preserve">За нарушения требований законодательства в сфере информбезопасности предусмотрены разные уровни юридической ответственности. В частности, административная ответственность регламентирована Кодексом Российской Федерации об административных правонарушениях (глава 13), предусматривающей штрафы, предупреждения, приостановление деятельности в отношении организаций и должностных лиц, ответственных за нарушения</w:t>
      </w:r>
      <w:r>
        <w:t xml:space="preserve">[26]</w:t>
      </w:r>
      <w:r>
        <w:t xml:space="preserve">. Уголовная ответственность закреплена в главе 28 Уголовного кодекса РФ, в статьях 272–275, охватывающих деяния, связанные с несанкционированным доступом к информации, распространением вредоносных программ и другими преступлениями в информационной сфере</w:t>
      </w:r>
      <w:r>
        <w:t xml:space="preserve">[27]</w:t>
      </w:r>
      <w:r>
        <w:t xml:space="preserve">.</w:t>
      </w:r>
    </w:p>
    <w:p>
      <w:pPr>
        <w:pStyle w:val="BodyText"/>
      </w:pPr>
      <w:r>
        <w:t xml:space="preserve">Особое внимание уделяется ответственности за нарушение правил обработки персональных данных — Федеральный закон № 152-ФЗ устанавливает обязательства операторов персональных данных и меры за их невыполнение, что имеет критическое значение для защиты частной жизни и предотвращения утечек информации. Кроме того, закон № 187-ФЗ регулирует безопасность критической информационной инфраструктуры, распространяет меры защиты на объекты, жизненно важные для функционирования государства и экономики.</w:t>
      </w:r>
    </w:p>
    <w:p>
      <w:pPr>
        <w:pStyle w:val="BodyText"/>
      </w:pPr>
      <w:r>
        <w:t xml:space="preserve">Наряду с административными и уголовными мерами, законодательство предусматривает трудовую ответственность, обуславливающую дисциплинарные взыскания к сотрудникам, нарушающим нормы обработки персональных данных и иных требований безопасности. Данные меры направлены как на предупреждение инцидентов, так и на повышение ответственности персонала организаций за защиту информации.</w:t>
      </w:r>
    </w:p>
    <w:p>
      <w:pPr>
        <w:pStyle w:val="BodyText"/>
      </w:pPr>
      <w:r>
        <w:t xml:space="preserve">Важной частью системы контроля является требование к организациям регулярно представлять отчёты о состоянии информационной безопасности, фактах выявленных нарушений и принятых мерах по их устранению. Это способствует постоянному мониторингу и своевременному выявлению рисков, а также повышает прозрачность функционирования государственных и муниципальных структур.</w:t>
      </w:r>
      <w:r>
        <w:t xml:space="preserve"> </w:t>
      </w:r>
      <w:r>
        <w:t xml:space="preserve">Таким образом, механизм государственного контроля в области информационной безопасности в России сочетает профилактические мероприятия, надзор и санкции, предусматривающие как административные, так и уголовные наказания, а также мультилевелевую ответственность, что создаёт комплексный инструмент защиты информационного пространства и национальных интересов[</w:t>
      </w:r>
      <w:r>
        <w:t xml:space="preserve">[7]</w:t>
      </w:r>
      <w:r>
        <w:t xml:space="preserve">]</w:t>
      </w:r>
      <w:r>
        <w:t xml:space="preserve">[26]</w:t>
      </w:r>
      <w:r>
        <w:t xml:space="preserve">[</w:t>
      </w:r>
      <w:r>
        <w:t xml:space="preserve">[27]</w:t>
      </w:r>
      <w:r>
        <w:t xml:space="preserve">]</w:t>
      </w:r>
      <w:r>
        <w:t xml:space="preserve">[25]</w:t>
      </w:r>
      <w:r>
        <w:t xml:space="preserve">[28]</w:t>
      </w:r>
      <w:r>
        <w:t xml:space="preserve">.</w:t>
      </w:r>
    </w:p>
    <w:bookmarkEnd w:id="27"/>
    <w:bookmarkStart w:id="28" w:name="X346f68dfd5201261980f074d6fc46b7b617dc37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Адаптация организаций к новым правилам информационной безопасности: вызовы и лучшие практики</w:t>
      </w:r>
    </w:p>
    <w:p>
      <w:pPr>
        <w:pStyle w:val="FirstParagraph"/>
      </w:pPr>
      <w:r>
        <w:t xml:space="preserve">С 1 марта 2026 года российские организации сталкиваются с вызовом адаптации к новым жёстким требованиям в области информационной безопасности, связанным с вступлением в силу приказа ФСТЭК № 117. Расширение круга субъектов регулирования и повышение стандартов заставляют компании системно пересматривать подходы к управлению информационной безопасностью, что становится неотъемлемой частью их повседневной деятельности и стратегического риск-менеджмента[</w:t>
      </w:r>
      <w:r>
        <w:t xml:space="preserve">[1]</w:t>
      </w:r>
      <w:r>
        <w:t xml:space="preserve">]</w:t>
      </w:r>
      <w:r>
        <w:t xml:space="preserve">[29]</w:t>
      </w:r>
      <w:r>
        <w:t xml:space="preserve">.</w:t>
      </w:r>
    </w:p>
    <w:p>
      <w:pPr>
        <w:pStyle w:val="BodyText"/>
      </w:pPr>
      <w:r>
        <w:t xml:space="preserve">Одной из ключевых задач для организаций является анализ текущих политик и технических мер на предмет их соответствия новым нормативам. Часто это требует переработки внутренней документации, разработки и внедрения обновлённых правил и процедур, что сопряжено с необходимостью согласования с широким кругом заинтересованных лиц. Процесс обновления требует высокого уровня координации и планирования, поскольку новый приказ расширяет перечень субъектов, включая всё больше государственных информационных систем и объектов критической информационной инфраструктуры[</w:t>
      </w:r>
      <w:r>
        <w:t xml:space="preserve">[29]</w:t>
      </w:r>
      <w:r>
        <w:t xml:space="preserve">]</w:t>
      </w:r>
      <w:r>
        <w:t xml:space="preserve">[30]</w:t>
      </w:r>
      <w:r>
        <w:t xml:space="preserve">.</w:t>
      </w:r>
    </w:p>
    <w:p>
      <w:pPr>
        <w:pStyle w:val="BodyText"/>
      </w:pPr>
      <w:r>
        <w:t xml:space="preserve">Существенным упрощением процесса регулирования стало исключение индивидуальных предпринимателей из сферы субъектов критической информационной инфраструктуры, что позволило сосредоточить внимание и ресурсы на более масштабных юридических лицах. Это изменение способствует оптимизации административных процедур и уменьшает нагрузку на небольшой бизнес, однако крупные организации теперь несут более жёсткие обязательства по защите информации</w:t>
      </w:r>
      <w:r>
        <w:t xml:space="preserve">[30]</w:t>
      </w:r>
      <w:r>
        <w:t xml:space="preserve">.</w:t>
      </w:r>
    </w:p>
    <w:p>
      <w:pPr>
        <w:pStyle w:val="BodyText"/>
      </w:pPr>
      <w:r>
        <w:t xml:space="preserve">Обучение сотрудников представляется одним из самых важных элементов адаптации. Возросшие требования к квалификации специалистов, а также обязательное проведение регулярных курсов повышения квалификации и аттестаций способствуют формированию компетентной команды по информационной безопасности. Доступность бесплатных и дистанционных обучающих программ создаёт условия для масштабной подготовке кадров и снижает барьер для качественного освоения новых норм</w:t>
      </w:r>
      <w:r>
        <w:t xml:space="preserve">[31]</w:t>
      </w:r>
      <w:r>
        <w:t xml:space="preserve">.</w:t>
      </w:r>
    </w:p>
    <w:p>
      <w:pPr>
        <w:pStyle w:val="BodyText"/>
      </w:pPr>
      <w:r>
        <w:t xml:space="preserve">Распределение ответственности внутри организации требует назначения профильного ответственного за информационную безопасность и формирования профессионального коллектива, способного эффективно осуществлять комплекс мер защиты. Такой подход способствует более оперативному реагированию на инциденты и повышает общую культуру безопасности в компании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Технические меры защиты в соответствии с новыми требованиями ужесточаются: обновлённые стандарты требуют эффективных систем мониторинга, своевременного устранения уязвимостей, внедрения современных механизмов шифрования и контроля доступа. Это налагает дополнительную нагрузку на ИТ-структуры и требует существенных инвестиционных затрат</w:t>
      </w:r>
      <w:r>
        <w:t xml:space="preserve">[18]</w:t>
      </w:r>
      <w:r>
        <w:t xml:space="preserve">.</w:t>
      </w:r>
    </w:p>
    <w:p>
      <w:pPr>
        <w:pStyle w:val="BodyText"/>
      </w:pPr>
      <w:r>
        <w:t xml:space="preserve">Штрафные санкции за несоблюдение новых правил побуждают организации вырабатывать проактивные стратегии соответствия, что включает постоянный мониторинг нормативных изменений и регулярную внутреннюю проверку соответствия требованиям. Такой системный подход позволяет снизить риски возникновения штрафов и минимизировать негативное влияние нарушений на репутацию и бизнес-процессы[</w:t>
      </w:r>
      <w:r>
        <w:t xml:space="preserve">[1]</w:t>
      </w:r>
      <w:r>
        <w:t xml:space="preserve">]</w:t>
      </w:r>
      <w:r>
        <w:t xml:space="preserve">[29]</w:t>
      </w:r>
      <w:r>
        <w:t xml:space="preserve">.</w:t>
      </w:r>
    </w:p>
    <w:p>
      <w:pPr>
        <w:pStyle w:val="BodyText"/>
      </w:pPr>
      <w:r>
        <w:t xml:space="preserve">В целом, адаптация российских организаций к новому законодательству является сложным и масштабным процессом, требующим комплексного подхода, объединяющего обновление нормативной базы, подготовку кадров, технические улучшения и усиление контроля. Практика показывает, что те компании, которые системно подходят к трансформации процессов и инвестируют в развитие компетенций, имеют большие шансы успешно соответствовать новым требованиям и укрепить свои позиции в условиях увеличивающихся цифровых вызовов</w:t>
      </w:r>
      <w:r>
        <w:t xml:space="preserve">[31]</w:t>
      </w:r>
      <w:r>
        <w:t xml:space="preserve">.</w:t>
      </w:r>
    </w:p>
    <w:bookmarkEnd w:id="28"/>
    <w:bookmarkEnd w:id="29"/>
    <w:bookmarkStart w:id="30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проведённого исследования были детально проанализированы ключевые этапы формирования российского законодательства в области информационной безопасности, начиная с первых нормативных актов 1990-х годов и заканчивая современными изменениями, связанными с введением приказа ФСТЭК № 117. Рассмотрение исторического контекста позволило выявить основные недостатки и пробелы предыдущего регулирования, которые обусловили потребность в переходе к более современным и адаптированным к технологическим реалиям нормативным актам.</w:t>
      </w:r>
    </w:p>
    <w:p>
      <w:pPr>
        <w:pStyle w:val="BodyText"/>
      </w:pPr>
      <w:r>
        <w:t xml:space="preserve">Анализ приказа ФСТЭК № 17 показал, что, несмотря на последовательное обновление, законодательство предыдущего поколения имело ограниченную гибкость и не учитывало специфику новых информационных технологий и угроз, таких как облачные вычисления, искусственный интеллект и сложные кибератаки. Новый приказ № 117, введённый в 2026 году, представляет собой качественный сдвиг в подходах к обеспечению информационной безопасности, переход к риск-ориентированному регулированию с акцентом на количественную оценку защищённости, что повышает эффективность контроля и управления безопасностью.</w:t>
      </w:r>
    </w:p>
    <w:p>
      <w:pPr>
        <w:pStyle w:val="BodyText"/>
      </w:pPr>
      <w:r>
        <w:t xml:space="preserve">Особое внимание уделялось влиянию современных технологий на правовую базу. Внедрение и активное использование искусственного интеллекта и автоматизации требуют от законодательства учитывать не только технические, но и этические, организационные и социальные аспекты информбезопасности. Российское законодательство последовательно интегрирует эти изменения, что выражается в новых требованиях к «суверенным» моделям ИИ и усиленному контролю за процессами их разработки и эксплуатации, обеспечивая баланс между инновациями и национальной безопасностью.</w:t>
      </w:r>
    </w:p>
    <w:p>
      <w:pPr>
        <w:pStyle w:val="BodyText"/>
      </w:pPr>
      <w:r>
        <w:t xml:space="preserve">В работе представлены основные требования нового законодательства к объектам информзащиты, в том числе стандартизированные показатели защищённости и комплекс мер, охватывающих технические, организационные и контрольные аспекты. Эти требования охватывают широкий спектр государственных информационных систем и направлены на повышение прозрачности, системности и устойчивости к современным киберугрозам.</w:t>
      </w:r>
    </w:p>
    <w:p>
      <w:pPr>
        <w:pStyle w:val="BodyText"/>
      </w:pPr>
      <w:r>
        <w:t xml:space="preserve">Развитая система государственного контроля и различные формы ответственности создают комплексный механизм стимулирования соблюдения требований закона, предусматривая административные, уголовные и трудовые меры воздействия. Это вызывает необходимость постоянного мониторинга, регулярных проверок и прозрачной отчетности со стороны организаций и государственных структур.</w:t>
      </w:r>
    </w:p>
    <w:p>
      <w:pPr>
        <w:pStyle w:val="BodyText"/>
      </w:pPr>
      <w:r>
        <w:t xml:space="preserve">Адаптация российских организаций к новым правилам оказывается многогранной задачей, включающей обновление внутренних политик и процедур, развитие компетенций кадров, модернизацию технических средств защиты, а также выстраивание эффективной системы управления информационной безопасностью. Лучшие практики адаптации демонстрируют важность системного и проактивного подхода, направленного на устойчивость и своевременное реагирование на вызовы цифровой эпохи.</w:t>
      </w:r>
    </w:p>
    <w:p>
      <w:pPr>
        <w:pStyle w:val="BodyText"/>
      </w:pPr>
      <w:r>
        <w:t xml:space="preserve">Обобщая результаты, можно утверждать, что российское законодательство в области информационной безопасности развивается в сторону комплексности, технологической адаптивности и риск-ориентированности, что соответствует глобальным тенденциям и уникальным национальным особенностям. Такие изменения создают прочную нормативную основу для защиты государственной информации, критической инфраструктуры и цифровых ресурсов страны, обеспечивая при этом условия для инновационного развития и повышения цифрового суверенитета России в условиях постоянно меняющегося технологического ландшафта.</w:t>
      </w:r>
    </w:p>
    <w:bookmarkEnd w:id="30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Start w:id="93" w:name="refs"/>
    <w:bookmarkStart w:id="32" w:name="ref-9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Нововведения в законодательстве ИБ в 2026 году: что изменится... [Электронный ресурс]. URL:</w:t>
      </w:r>
      <w:r>
        <w:t xml:space="preserve"> </w:t>
      </w:r>
      <w:hyperlink r:id="rId31">
        <w:r>
          <w:rPr>
            <w:rStyle w:val="Hyperlink"/>
          </w:rPr>
          <w:t xml:space="preserve">https://www.klerk.ru/blogs/fedresurs/678022/</w:t>
        </w:r>
      </w:hyperlink>
      <w:r>
        <w:t xml:space="preserve">.</w:t>
      </w:r>
    </w:p>
    <w:bookmarkEnd w:id="32"/>
    <w:bookmarkStart w:id="34" w:name="ref-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Как изменится информационная безопасность с 1 марта 2026... [Электронный ресурс]. URL:</w:t>
      </w:r>
      <w:r>
        <w:t xml:space="preserve"> </w:t>
      </w:r>
      <w:hyperlink r:id="rId33">
        <w:r>
          <w:rPr>
            <w:rStyle w:val="Hyperlink"/>
          </w:rPr>
          <w:t xml:space="preserve">https://www.snta.ru/press-center/kakie-izmeneniya-proizoydut-v-sfere-informatsionnoy-bezopasnosti-1-marta-2026-goda/</w:t>
        </w:r>
      </w:hyperlink>
      <w:r>
        <w:t xml:space="preserve">.</w:t>
      </w:r>
    </w:p>
    <w:bookmarkEnd w:id="34"/>
    <w:bookmarkStart w:id="36" w:name="ref-2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Российский рынок информационной безопасности 2026... [Электронный ресурс]. URL:</w:t>
      </w:r>
      <w:r>
        <w:t xml:space="preserve"> </w:t>
      </w:r>
      <w:hyperlink r:id="rId35">
        <w:r>
          <w:rPr>
            <w:rStyle w:val="Hyperlink"/>
          </w:rPr>
          <w:t xml:space="preserve">https://www.ec-rs.ru/blog/informacionnaja-bezopasnost/rossiyskiy-rynok-informatsionnoy-bezopasnosti-2026-sbalansirovat-skorost-regulyatoriku-i-defitsit-ek/</w:t>
        </w:r>
      </w:hyperlink>
      <w:r>
        <w:t xml:space="preserve">.</w:t>
      </w:r>
    </w:p>
    <w:bookmarkEnd w:id="36"/>
    <w:bookmarkStart w:id="38" w:name="ref-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Прогноз киберугроз и средств защиты в России на 2026 год: ИИ... [Электронный ресурс]. URL:</w:t>
      </w:r>
      <w:r>
        <w:t xml:space="preserve"> </w:t>
      </w:r>
      <w:hyperlink r:id="rId37">
        <w:r>
          <w:rPr>
            <w:rStyle w:val="Hyperlink"/>
          </w:rPr>
          <w:t xml:space="preserve">https://www.anti-malware.ru/analytics/Technology_Analysis/Cyber-Threat-and-Information-Security-Forecast-2026</w:t>
        </w:r>
      </w:hyperlink>
      <w:r>
        <w:t xml:space="preserve">.</w:t>
      </w:r>
    </w:p>
    <w:bookmarkEnd w:id="38"/>
    <w:bookmarkStart w:id="40" w:name="ref-2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Законодательство СССР и России в области защиты... [Электронный ресурс]. URL:</w:t>
      </w:r>
      <w:r>
        <w:t xml:space="preserve"> </w:t>
      </w:r>
      <w:hyperlink r:id="rId39">
        <w:r>
          <w:rPr>
            <w:rStyle w:val="Hyperlink"/>
          </w:rPr>
          <w:t xml:space="preserve">https://elar.urfu.ru/bitstream/10995/44155/1/dais_2016_19.pdf</w:t>
        </w:r>
      </w:hyperlink>
      <w:r>
        <w:t xml:space="preserve">.</w:t>
      </w:r>
    </w:p>
    <w:bookmarkEnd w:id="40"/>
    <w:bookmarkStart w:id="42" w:name="ref-30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Этапы развития правового обеспечения информационной... [Электронный ресурс]. URL:</w:t>
      </w:r>
      <w:r>
        <w:t xml:space="preserve"> </w:t>
      </w:r>
      <w:hyperlink r:id="rId41">
        <w:r>
          <w:rPr>
            <w:rStyle w:val="Hyperlink"/>
          </w:rPr>
          <w:t xml:space="preserve">https://moluch.ru/archive/548/119981</w:t>
        </w:r>
      </w:hyperlink>
      <w:r>
        <w:t xml:space="preserve">.</w:t>
      </w:r>
    </w:p>
    <w:bookmarkEnd w:id="42"/>
    <w:bookmarkStart w:id="44" w:name="ref-27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Федеральный закон "Об информации, информационных..." [Электронный ресурс]. URL:</w:t>
      </w:r>
      <w:r>
        <w:t xml:space="preserve"> </w:t>
      </w:r>
      <w:hyperlink r:id="rId43">
        <w:r>
          <w:rPr>
            <w:rStyle w:val="Hyperlink"/>
          </w:rPr>
          <w:t xml:space="preserve">https://www.consultant.ru/document/cons_doc_LAW_61798/</w:t>
        </w:r>
      </w:hyperlink>
      <w:r>
        <w:t xml:space="preserve">.</w:t>
      </w:r>
    </w:p>
    <w:bookmarkEnd w:id="44"/>
    <w:bookmarkStart w:id="46" w:name="ref-6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История кибербезопасности в России — основные термины... [Электронный ресурс]. URL:</w:t>
      </w:r>
      <w:r>
        <w:t xml:space="preserve"> </w:t>
      </w:r>
      <w:hyperlink r:id="rId45">
        <w:r>
          <w:rPr>
            <w:rStyle w:val="Hyperlink"/>
          </w:rPr>
          <w:t xml:space="preserve">https://kedu.ru/press-center/articles/sfera-informatsionnoy-bezopasnosti-v-rossii/</w:t>
        </w:r>
      </w:hyperlink>
      <w:r>
        <w:t xml:space="preserve">.</w:t>
      </w:r>
    </w:p>
    <w:bookmarkEnd w:id="46"/>
    <w:bookmarkStart w:id="48" w:name="ref-5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Горбачёва Е.В. История информационного законодательства. ХХ век. Начало [Электронный ресурс]: 3 // Правовая информатика. 2016. URL:</w:t>
      </w:r>
      <w:r>
        <w:t xml:space="preserve"> </w:t>
      </w:r>
      <w:hyperlink r:id="rId47">
        <w:r>
          <w:rPr>
            <w:rStyle w:val="Hyperlink"/>
          </w:rPr>
          <w:t xml:space="preserve">https://cyberleninka.ru/article/n/istoriya-informatsionnogo-zakonodatelstva-hh-vek-nachalo</w:t>
        </w:r>
      </w:hyperlink>
      <w:r>
        <w:t xml:space="preserve">.</w:t>
      </w:r>
    </w:p>
    <w:bookmarkEnd w:id="48"/>
    <w:bookmarkStart w:id="50" w:name="ref-15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Приказ ФСТЭК России от 11 февраля 2013 г. N 17 — ФСТЭК России [Электронный ресурс]. URL:</w:t>
      </w:r>
      <w:r>
        <w:t xml:space="preserve"> </w:t>
      </w:r>
      <w:hyperlink r:id="rId49">
        <w:r>
          <w:rPr>
            <w:rStyle w:val="Hyperlink"/>
          </w:rPr>
          <w:t xml:space="preserve">https://fstec.ru/dokumenty/vse-dokumenty/prikazy/prikaz-fstek-rossii-ot-11-fevralya-2013-g-n-17</w:t>
        </w:r>
      </w:hyperlink>
      <w:r>
        <w:t xml:space="preserve">.</w:t>
      </w:r>
    </w:p>
    <w:bookmarkEnd w:id="50"/>
    <w:bookmarkStart w:id="52" w:name="ref-13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Приказ ФСТЭК РФ от 11.02.2013 N 17... — Контур.Норматив [Электронный ресурс]. URL:</w:t>
      </w:r>
      <w:r>
        <w:t xml:space="preserve"> </w:t>
      </w:r>
      <w:hyperlink r:id="rId51">
        <w:r>
          <w:rPr>
            <w:rStyle w:val="Hyperlink"/>
          </w:rPr>
          <w:t xml:space="preserve">https://normativ.kontur.ru/document?moduleId=1&amp;documentId=481221</w:t>
        </w:r>
      </w:hyperlink>
      <w:r>
        <w:t xml:space="preserve">.</w:t>
      </w:r>
    </w:p>
    <w:bookmarkEnd w:id="52"/>
    <w:bookmarkStart w:id="54" w:name="ref-18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Приказ Федеральной службы по техническому... | ГАРАНТ [Электронный ресурс]. URL:</w:t>
      </w:r>
      <w:r>
        <w:t xml:space="preserve"> </w:t>
      </w:r>
      <w:hyperlink r:id="rId53">
        <w:r>
          <w:rPr>
            <w:rStyle w:val="Hyperlink"/>
          </w:rPr>
          <w:t xml:space="preserve">https://base.garant.ru/70391358/</w:t>
        </w:r>
      </w:hyperlink>
      <w:r>
        <w:t xml:space="preserve">.</w:t>
      </w:r>
    </w:p>
    <w:bookmarkEnd w:id="54"/>
    <w:bookmarkStart w:id="56" w:name="ref-26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ФЕДЕРАЛЬНАЯ СЛУЖБА [Электронный ресурс]. URL:</w:t>
      </w:r>
      <w:r>
        <w:t xml:space="preserve"> </w:t>
      </w:r>
      <w:hyperlink r:id="rId55">
        <w:r>
          <w:rPr>
            <w:rStyle w:val="Hyperlink"/>
          </w:rPr>
          <w:t xml:space="preserve">https://pd.rkn.gov.ru/docs/Prikaz_FSTJEK_Rossii_17.pdf</w:t>
        </w:r>
      </w:hyperlink>
      <w:r>
        <w:t xml:space="preserve">.</w:t>
      </w:r>
    </w:p>
    <w:bookmarkEnd w:id="56"/>
    <w:bookmarkStart w:id="58" w:name="ref-16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Приказ ФСТЭК России от 11.02.2013 N 17 (ред. от 28.05.2019)... [Электронный ресурс]. URL:</w:t>
      </w:r>
      <w:r>
        <w:t xml:space="preserve"> </w:t>
      </w:r>
      <w:hyperlink r:id="rId57">
        <w:r>
          <w:rPr>
            <w:rStyle w:val="Hyperlink"/>
          </w:rPr>
          <w:t xml:space="preserve">https://vladokb.gosuslugi.ru/netcat_files/8/9/prikaz_fstek_17_11.02.2013.pdf</w:t>
        </w:r>
      </w:hyperlink>
      <w:r>
        <w:t xml:space="preserve">.</w:t>
      </w:r>
    </w:p>
    <w:bookmarkEnd w:id="58"/>
    <w:bookmarkStart w:id="60" w:name="ref-24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Требования. Утверждены приказом ФСТЭК... — ФСТЭК России [Электронный ресурс]. URL:</w:t>
      </w:r>
      <w:r>
        <w:t xml:space="preserve"> </w:t>
      </w:r>
      <w:hyperlink r:id="rId59">
        <w:r>
          <w:rPr>
            <w:rStyle w:val="Hyperlink"/>
          </w:rPr>
          <w:t xml:space="preserve">https://fstec.ru/dokumenty/vse-dokumenty/spetsialnye-normativnye-dokumenty/trebovaniya-utverzhdeny-prikazom-fstek-rossii-ot-11-aprelya-2025-g-n-117</w:t>
        </w:r>
      </w:hyperlink>
      <w:r>
        <w:t xml:space="preserve">.</w:t>
      </w:r>
    </w:p>
    <w:bookmarkEnd w:id="60"/>
    <w:bookmarkStart w:id="62" w:name="ref-14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Приказ ФСТЭК РФ от 11.04.2025 N 117... — Контур.Норматив [Электронный ресурс]. URL:</w:t>
      </w:r>
      <w:r>
        <w:t xml:space="preserve"> </w:t>
      </w:r>
      <w:hyperlink r:id="rId61">
        <w:r>
          <w:rPr>
            <w:rStyle w:val="Hyperlink"/>
          </w:rPr>
          <w:t xml:space="preserve">https://normativ.kontur.ru/document?moduleId=1&amp;documentId=500478</w:t>
        </w:r>
      </w:hyperlink>
      <w:r>
        <w:t xml:space="preserve">.</w:t>
      </w:r>
    </w:p>
    <w:bookmarkEnd w:id="62"/>
    <w:bookmarkStart w:id="64" w:name="ref-17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Приказ Федеральной службы по техническому и экспортному... [Электронный ресурс]. URL:</w:t>
      </w:r>
      <w:r>
        <w:t xml:space="preserve"> </w:t>
      </w:r>
      <w:hyperlink r:id="rId63">
        <w:r>
          <w:rPr>
            <w:rStyle w:val="Hyperlink"/>
          </w:rPr>
          <w:t xml:space="preserve">http://publication.pravo.gov.ru/document/0001202506170011</w:t>
        </w:r>
      </w:hyperlink>
      <w:r>
        <w:t xml:space="preserve">.</w:t>
      </w:r>
    </w:p>
    <w:bookmarkEnd w:id="64"/>
    <w:bookmarkStart w:id="66" w:name="ref-21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С 1 марта 2026 г. обновляются Требования о защите... [Электронный ресурс]. URL:</w:t>
      </w:r>
      <w:r>
        <w:t xml:space="preserve"> </w:t>
      </w:r>
      <w:hyperlink r:id="rId65">
        <w:r>
          <w:rPr>
            <w:rStyle w:val="Hyperlink"/>
          </w:rPr>
          <w:t xml:space="preserve">https://www.consultant.ru/law/hotdocs/89683.html</w:t>
        </w:r>
      </w:hyperlink>
      <w:r>
        <w:t xml:space="preserve">.</w:t>
      </w:r>
    </w:p>
    <w:bookmarkEnd w:id="66"/>
    <w:bookmarkStart w:id="68" w:name="ref-8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Комментарий к Требованиям о защите информации... [Электронный ресурс]. URL:</w:t>
      </w:r>
      <w:r>
        <w:t xml:space="preserve"> </w:t>
      </w:r>
      <w:hyperlink r:id="rId67">
        <w:r>
          <w:rPr>
            <w:rStyle w:val="Hyperlink"/>
          </w:rPr>
          <w:t xml:space="preserve">https://base.garant.ru/481015909/</w:t>
        </w:r>
      </w:hyperlink>
      <w:r>
        <w:t xml:space="preserve">.</w:t>
      </w:r>
    </w:p>
    <w:bookmarkEnd w:id="68"/>
    <w:bookmarkStart w:id="70" w:name="ref-4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Искусственный интеллект и право: есть... | Новости: ГАРАНТ.РУ [Электронный ресурс]. URL:</w:t>
      </w:r>
      <w:r>
        <w:t xml:space="preserve"> </w:t>
      </w:r>
      <w:hyperlink r:id="rId69">
        <w:r>
          <w:rPr>
            <w:rStyle w:val="Hyperlink"/>
          </w:rPr>
          <w:t xml:space="preserve">https://www.garant.ru/news/1401154/</w:t>
        </w:r>
      </w:hyperlink>
      <w:r>
        <w:t xml:space="preserve">.</w:t>
      </w:r>
    </w:p>
    <w:bookmarkEnd w:id="70"/>
    <w:bookmarkStart w:id="72" w:name="ref-25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Указ Президента от 15.02.2024 № 124: как в России будут... [Электронный ресурс]. URL:</w:t>
      </w:r>
      <w:r>
        <w:t xml:space="preserve"> </w:t>
      </w:r>
      <w:hyperlink r:id="rId71">
        <w:r>
          <w:rPr>
            <w:rStyle w:val="Hyperlink"/>
          </w:rPr>
          <w:t xml:space="preserve">https://www.anti-malware.ru/analytics/Technology_Analysis/AI-regulation-in-Russia</w:t>
        </w:r>
      </w:hyperlink>
      <w:r>
        <w:t xml:space="preserve">.</w:t>
      </w:r>
    </w:p>
    <w:bookmarkEnd w:id="72"/>
    <w:bookmarkStart w:id="74" w:name="ref-31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№ 1069302-8 Законопроект :: Система обеспечения... [Электронный ресурс]. URL:</w:t>
      </w:r>
      <w:r>
        <w:t xml:space="preserve"> </w:t>
      </w:r>
      <w:hyperlink r:id="rId73">
        <w:r>
          <w:rPr>
            <w:rStyle w:val="Hyperlink"/>
          </w:rPr>
          <w:t xml:space="preserve">https://sozd.duma.gov.ru/bill/1069302-8</w:t>
        </w:r>
      </w:hyperlink>
      <w:r>
        <w:t xml:space="preserve">.</w:t>
      </w:r>
    </w:p>
    <w:bookmarkEnd w:id="74"/>
    <w:bookmarkStart w:id="76" w:name="ref-11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Владимиров И.А., Токолов А.В., Иксанов Р.А. Правовые проблемы использования технологий искусственного интеллекта при обеспечении информационной безопасности [Электронный ресурс]: 3 // Вестник экономической безопасности. 2025. URL:</w:t>
      </w:r>
      <w:r>
        <w:t xml:space="preserve"> </w:t>
      </w:r>
      <w:hyperlink r:id="rId75">
        <w:r>
          <w:rPr>
            <w:rStyle w:val="Hyperlink"/>
          </w:rPr>
          <w:t xml:space="preserve">https://cyberleninka.ru/article/n/pravovye-problemy-ispolzovaniya-tehnologiy-iskusstvennogo-intellekta-pri-obespechenii-informatsionnoy-bezopasnosti</w:t>
        </w:r>
      </w:hyperlink>
      <w:r>
        <w:t xml:space="preserve">.</w:t>
      </w:r>
    </w:p>
    <w:bookmarkEnd w:id="76"/>
    <w:bookmarkStart w:id="78" w:name="ref-10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Об утверждении Требований о защите информации... [Электронный ресурс]. URL:</w:t>
      </w:r>
      <w:r>
        <w:t xml:space="preserve"> </w:t>
      </w:r>
      <w:hyperlink r:id="rId77">
        <w:r>
          <w:rPr>
            <w:rStyle w:val="Hyperlink"/>
          </w:rPr>
          <w:t xml:space="preserve">https://docs.cntd.ru/document/1313142310</w:t>
        </w:r>
      </w:hyperlink>
      <w:r>
        <w:t xml:space="preserve">.</w:t>
      </w:r>
    </w:p>
    <w:bookmarkEnd w:id="78"/>
    <w:bookmarkStart w:id="80" w:name="ref-28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Федеральный закон от 27.07.2006 N 149-ФЗ (ред. от 29.12.2025)... [Электронный ресурс]. URL:</w:t>
      </w:r>
      <w:r>
        <w:t xml:space="preserve"> </w:t>
      </w:r>
      <w:hyperlink r:id="rId79">
        <w:r>
          <w:rPr>
            <w:rStyle w:val="Hyperlink"/>
          </w:rPr>
          <w:t xml:space="preserve">https://eais.rkn.gov.ru/docs/149.pdf</w:t>
        </w:r>
      </w:hyperlink>
      <w:r>
        <w:t xml:space="preserve">.</w:t>
      </w:r>
    </w:p>
    <w:bookmarkEnd w:id="80"/>
    <w:bookmarkStart w:id="82" w:name="ref-29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Федеральный закон от 27.07.2006 N 149-ФЗ... — Контур.Норматив [Электронный ресурс]. URL:</w:t>
      </w:r>
      <w:r>
        <w:t xml:space="preserve"> </w:t>
      </w:r>
      <w:hyperlink r:id="rId81">
        <w:r>
          <w:rPr>
            <w:rStyle w:val="Hyperlink"/>
          </w:rPr>
          <w:t xml:space="preserve">https://normativ.kontur.ru/document?moduleId=1&amp;documentId=504575</w:t>
        </w:r>
      </w:hyperlink>
      <w:r>
        <w:t xml:space="preserve">.</w:t>
      </w:r>
    </w:p>
    <w:bookmarkEnd w:id="82"/>
    <w:bookmarkStart w:id="84" w:name="ref-22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Статья 17. Ответственность за правонарушения... | ГАРАНТ [Электронный ресурс]. URL:</w:t>
      </w:r>
      <w:r>
        <w:t xml:space="preserve"> </w:t>
      </w:r>
      <w:hyperlink r:id="rId83">
        <w:r>
          <w:rPr>
            <w:rStyle w:val="Hyperlink"/>
          </w:rPr>
          <w:t xml:space="preserve">https://base.garant.ru/76803739/a7b26eafd8fd23d18ca4410ac5359e0e/</w:t>
        </w:r>
      </w:hyperlink>
      <w:r>
        <w:t xml:space="preserve">.</w:t>
      </w:r>
    </w:p>
    <w:bookmarkEnd w:id="84"/>
    <w:bookmarkStart w:id="86" w:name="ref-1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Глава 3. Принципы построения системы информационной [Электронный ресурс]. 2018. URL:</w:t>
      </w:r>
      <w:r>
        <w:t xml:space="preserve"> </w:t>
      </w:r>
      <w:hyperlink r:id="rId85">
        <w:r>
          <w:rPr>
            <w:rStyle w:val="Hyperlink"/>
          </w:rPr>
          <w:t xml:space="preserve">https://iee.unn.ru/wp-content/uploads/sites/9/2018/02/3.-Gosudarstvennoe-regulirovanie-IB.pdf</w:t>
        </w:r>
      </w:hyperlink>
      <w:r>
        <w:t xml:space="preserve">.</w:t>
      </w:r>
    </w:p>
    <w:bookmarkEnd w:id="86"/>
    <w:bookmarkStart w:id="88" w:name="ref-12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Приказ 117 ФСТЭК РФ — что изменится с 1 марта 2026 года для... [Электронный ресурс]. URL:</w:t>
      </w:r>
      <w:r>
        <w:t xml:space="preserve"> </w:t>
      </w:r>
      <w:hyperlink r:id="rId87">
        <w:r>
          <w:rPr>
            <w:rStyle w:val="Hyperlink"/>
          </w:rPr>
          <w:t xml:space="preserve">https://academyit.ru/articles/tematika3/prikaz-fstek-117-klyuchevye-trebovaniya-v-2026-godu/</w:t>
        </w:r>
      </w:hyperlink>
      <w:r>
        <w:t xml:space="preserve">.</w:t>
      </w:r>
    </w:p>
    <w:bookmarkEnd w:id="88"/>
    <w:bookmarkStart w:id="90" w:name="ref-23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Трансформация законодательства в сфере КИИ России... [Электронный ресурс]. URL:</w:t>
      </w:r>
      <w:r>
        <w:t xml:space="preserve"> </w:t>
      </w:r>
      <w:hyperlink r:id="rId89">
        <w:r>
          <w:rPr>
            <w:rStyle w:val="Hyperlink"/>
          </w:rPr>
          <w:t xml:space="preserve">https://www.ec-rs.ru/blog/kii/novoe-v-regulirovanii-kii-polnyy-gid-po-izmeneniyam/</w:t>
        </w:r>
      </w:hyperlink>
      <w:r>
        <w:t xml:space="preserve">.</w:t>
      </w:r>
    </w:p>
    <w:bookmarkEnd w:id="90"/>
    <w:bookmarkStart w:id="92" w:name="ref-3"/>
    <w:p>
      <w:pPr>
        <w:pStyle w:val="Bibliography"/>
      </w:pPr>
      <w:r>
        <w:t xml:space="preserve">31.</w:t>
      </w:r>
      <w:r>
        <w:t xml:space="preserve"> </w:t>
      </w:r>
      <w:r>
        <w:t xml:space="preserve">	</w:t>
      </w:r>
      <w:r>
        <w:t xml:space="preserve">Изменения в 117 приказе ФСТЭК: обучение сотрудников по ИБ... [Электронный ресурс]. URL:</w:t>
      </w:r>
      <w:r>
        <w:t xml:space="preserve"> </w:t>
      </w:r>
      <w:hyperlink r:id="rId91">
        <w:r>
          <w:rPr>
            <w:rStyle w:val="Hyperlink"/>
          </w:rPr>
          <w:t xml:space="preserve">https://aiticenter.ru/news/prikaz-fstek-rossii-117-vstupa/</w:t>
        </w:r>
      </w:hyperlink>
      <w:r>
        <w:t xml:space="preserve">.</w: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http://publication.pravo.gov.ru/document/0001202506170011" TargetMode="External" /><Relationship Type="http://schemas.openxmlformats.org/officeDocument/2006/relationships/hyperlink" Id="rId87" Target="https://academyit.ru/articles/tematika3/prikaz-fstek-117-klyuchevye-trebovaniya-v-2026-godu/" TargetMode="External" /><Relationship Type="http://schemas.openxmlformats.org/officeDocument/2006/relationships/hyperlink" Id="rId91" Target="https://aiticenter.ru/news/prikaz-fstek-rossii-117-vstupa/" TargetMode="External" /><Relationship Type="http://schemas.openxmlformats.org/officeDocument/2006/relationships/hyperlink" Id="rId67" Target="https://base.garant.ru/481015909/" TargetMode="External" /><Relationship Type="http://schemas.openxmlformats.org/officeDocument/2006/relationships/hyperlink" Id="rId53" Target="https://base.garant.ru/70391358/" TargetMode="External" /><Relationship Type="http://schemas.openxmlformats.org/officeDocument/2006/relationships/hyperlink" Id="rId83" Target="https://base.garant.ru/76803739/a7b26eafd8fd23d18ca4410ac5359e0e/" TargetMode="External" /><Relationship Type="http://schemas.openxmlformats.org/officeDocument/2006/relationships/hyperlink" Id="rId47" Target="https://cyberleninka.ru/article/n/istoriya-informatsionnogo-zakonodatelstva-hh-vek-nachalo" TargetMode="External" /><Relationship Type="http://schemas.openxmlformats.org/officeDocument/2006/relationships/hyperlink" Id="rId75" Target="https://cyberleninka.ru/article/n/pravovye-problemy-ispolzovaniya-tehnologiy-iskusstvennogo-intellekta-pri-obespechenii-informatsionnoy-bezopasnosti" TargetMode="External" /><Relationship Type="http://schemas.openxmlformats.org/officeDocument/2006/relationships/hyperlink" Id="rId77" Target="https://docs.cntd.ru/document/1313142310" TargetMode="External" /><Relationship Type="http://schemas.openxmlformats.org/officeDocument/2006/relationships/hyperlink" Id="rId79" Target="https://eais.rkn.gov.ru/docs/149.pdf" TargetMode="External" /><Relationship Type="http://schemas.openxmlformats.org/officeDocument/2006/relationships/hyperlink" Id="rId39" Target="https://elar.urfu.ru/bitstream/10995/44155/1/dais_2016_19.pdf" TargetMode="External" /><Relationship Type="http://schemas.openxmlformats.org/officeDocument/2006/relationships/hyperlink" Id="rId49" Target="https://fstec.ru/dokumenty/vse-dokumenty/prikazy/prikaz-fstek-rossii-ot-11-fevralya-2013-g-n-17" TargetMode="External" /><Relationship Type="http://schemas.openxmlformats.org/officeDocument/2006/relationships/hyperlink" Id="rId59" Target="https://fstec.ru/dokumenty/vse-dokumenty/spetsialnye-normativnye-dokumenty/trebovaniya-utverzhdeny-prikazom-fstek-rossii-ot-11-aprelya-2025-g-n-117" TargetMode="External" /><Relationship Type="http://schemas.openxmlformats.org/officeDocument/2006/relationships/hyperlink" Id="rId85" Target="https://iee.unn.ru/wp-content/uploads/sites/9/2018/02/3.-Gosudarstvennoe-regulirovanie-IB.pdf" TargetMode="External" /><Relationship Type="http://schemas.openxmlformats.org/officeDocument/2006/relationships/hyperlink" Id="rId45" Target="https://kedu.ru/press-center/articles/sfera-informatsionnoy-bezopasnosti-v-rossii/" TargetMode="External" /><Relationship Type="http://schemas.openxmlformats.org/officeDocument/2006/relationships/hyperlink" Id="rId41" Target="https://moluch.ru/archive/548/119981" TargetMode="External" /><Relationship Type="http://schemas.openxmlformats.org/officeDocument/2006/relationships/hyperlink" Id="rId51" Target="https://normativ.kontur.ru/document?moduleId=1&amp;documentId=481221" TargetMode="External" /><Relationship Type="http://schemas.openxmlformats.org/officeDocument/2006/relationships/hyperlink" Id="rId61" Target="https://normativ.kontur.ru/document?moduleId=1&amp;documentId=500478" TargetMode="External" /><Relationship Type="http://schemas.openxmlformats.org/officeDocument/2006/relationships/hyperlink" Id="rId81" Target="https://normativ.kontur.ru/document?moduleId=1&amp;documentId=504575" TargetMode="External" /><Relationship Type="http://schemas.openxmlformats.org/officeDocument/2006/relationships/hyperlink" Id="rId55" Target="https://pd.rkn.gov.ru/docs/Prikaz_FSTJEK_Rossii_17.pdf" TargetMode="External" /><Relationship Type="http://schemas.openxmlformats.org/officeDocument/2006/relationships/hyperlink" Id="rId73" Target="https://sozd.duma.gov.ru/bill/1069302-8" TargetMode="External" /><Relationship Type="http://schemas.openxmlformats.org/officeDocument/2006/relationships/hyperlink" Id="rId57" Target="https://vladokb.gosuslugi.ru/netcat_files/8/9/prikaz_fstek_17_11.02.2013.pdf" TargetMode="External" /><Relationship Type="http://schemas.openxmlformats.org/officeDocument/2006/relationships/hyperlink" Id="rId71" Target="https://www.anti-malware.ru/analytics/Technology_Analysis/AI-regulation-in-Russia" TargetMode="External" /><Relationship Type="http://schemas.openxmlformats.org/officeDocument/2006/relationships/hyperlink" Id="rId37" Target="https://www.anti-malware.ru/analytics/Technology_Analysis/Cyber-Threat-and-Information-Security-Forecast-2026" TargetMode="External" /><Relationship Type="http://schemas.openxmlformats.org/officeDocument/2006/relationships/hyperlink" Id="rId43" Target="https://www.consultant.ru/document/cons_doc_LAW_61798/" TargetMode="External" /><Relationship Type="http://schemas.openxmlformats.org/officeDocument/2006/relationships/hyperlink" Id="rId65" Target="https://www.consultant.ru/law/hotdocs/89683.html" TargetMode="External" /><Relationship Type="http://schemas.openxmlformats.org/officeDocument/2006/relationships/hyperlink" Id="rId35" Target="https://www.ec-rs.ru/blog/informacionnaja-bezopasnost/rossiyskiy-rynok-informatsionnoy-bezopasnosti-2026-sbalansirovat-skorost-regulyatoriku-i-defitsit-ek/" TargetMode="External" /><Relationship Type="http://schemas.openxmlformats.org/officeDocument/2006/relationships/hyperlink" Id="rId89" Target="https://www.ec-rs.ru/blog/kii/novoe-v-regulirovanii-kii-polnyy-gid-po-izmeneniyam/" TargetMode="External" /><Relationship Type="http://schemas.openxmlformats.org/officeDocument/2006/relationships/hyperlink" Id="rId69" Target="https://www.garant.ru/news/1401154/" TargetMode="External" /><Relationship Type="http://schemas.openxmlformats.org/officeDocument/2006/relationships/hyperlink" Id="rId31" Target="https://www.klerk.ru/blogs/fedresurs/678022/" TargetMode="External" /><Relationship Type="http://schemas.openxmlformats.org/officeDocument/2006/relationships/hyperlink" Id="rId33" Target="https://www.snta.ru/press-center/kakie-izmeneniya-proizoydut-v-sfere-informatsionnoy-bezopasnosti-1-marta-2026-god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://publication.pravo.gov.ru/document/0001202506170011" TargetMode="External" /><Relationship Type="http://schemas.openxmlformats.org/officeDocument/2006/relationships/hyperlink" Id="rId87" Target="https://academyit.ru/articles/tematika3/prikaz-fstek-117-klyuchevye-trebovaniya-v-2026-godu/" TargetMode="External" /><Relationship Type="http://schemas.openxmlformats.org/officeDocument/2006/relationships/hyperlink" Id="rId91" Target="https://aiticenter.ru/news/prikaz-fstek-rossii-117-vstupa/" TargetMode="External" /><Relationship Type="http://schemas.openxmlformats.org/officeDocument/2006/relationships/hyperlink" Id="rId67" Target="https://base.garant.ru/481015909/" TargetMode="External" /><Relationship Type="http://schemas.openxmlformats.org/officeDocument/2006/relationships/hyperlink" Id="rId53" Target="https://base.garant.ru/70391358/" TargetMode="External" /><Relationship Type="http://schemas.openxmlformats.org/officeDocument/2006/relationships/hyperlink" Id="rId83" Target="https://base.garant.ru/76803739/a7b26eafd8fd23d18ca4410ac5359e0e/" TargetMode="External" /><Relationship Type="http://schemas.openxmlformats.org/officeDocument/2006/relationships/hyperlink" Id="rId47" Target="https://cyberleninka.ru/article/n/istoriya-informatsionnogo-zakonodatelstva-hh-vek-nachalo" TargetMode="External" /><Relationship Type="http://schemas.openxmlformats.org/officeDocument/2006/relationships/hyperlink" Id="rId75" Target="https://cyberleninka.ru/article/n/pravovye-problemy-ispolzovaniya-tehnologiy-iskusstvennogo-intellekta-pri-obespechenii-informatsionnoy-bezopasnosti" TargetMode="External" /><Relationship Type="http://schemas.openxmlformats.org/officeDocument/2006/relationships/hyperlink" Id="rId77" Target="https://docs.cntd.ru/document/1313142310" TargetMode="External" /><Relationship Type="http://schemas.openxmlformats.org/officeDocument/2006/relationships/hyperlink" Id="rId79" Target="https://eais.rkn.gov.ru/docs/149.pdf" TargetMode="External" /><Relationship Type="http://schemas.openxmlformats.org/officeDocument/2006/relationships/hyperlink" Id="rId39" Target="https://elar.urfu.ru/bitstream/10995/44155/1/dais_2016_19.pdf" TargetMode="External" /><Relationship Type="http://schemas.openxmlformats.org/officeDocument/2006/relationships/hyperlink" Id="rId49" Target="https://fstec.ru/dokumenty/vse-dokumenty/prikazy/prikaz-fstek-rossii-ot-11-fevralya-2013-g-n-17" TargetMode="External" /><Relationship Type="http://schemas.openxmlformats.org/officeDocument/2006/relationships/hyperlink" Id="rId59" Target="https://fstec.ru/dokumenty/vse-dokumenty/spetsialnye-normativnye-dokumenty/trebovaniya-utverzhdeny-prikazom-fstek-rossii-ot-11-aprelya-2025-g-n-117" TargetMode="External" /><Relationship Type="http://schemas.openxmlformats.org/officeDocument/2006/relationships/hyperlink" Id="rId85" Target="https://iee.unn.ru/wp-content/uploads/sites/9/2018/02/3.-Gosudarstvennoe-regulirovanie-IB.pdf" TargetMode="External" /><Relationship Type="http://schemas.openxmlformats.org/officeDocument/2006/relationships/hyperlink" Id="rId45" Target="https://kedu.ru/press-center/articles/sfera-informatsionnoy-bezopasnosti-v-rossii/" TargetMode="External" /><Relationship Type="http://schemas.openxmlformats.org/officeDocument/2006/relationships/hyperlink" Id="rId41" Target="https://moluch.ru/archive/548/119981" TargetMode="External" /><Relationship Type="http://schemas.openxmlformats.org/officeDocument/2006/relationships/hyperlink" Id="rId51" Target="https://normativ.kontur.ru/document?moduleId=1&amp;documentId=481221" TargetMode="External" /><Relationship Type="http://schemas.openxmlformats.org/officeDocument/2006/relationships/hyperlink" Id="rId61" Target="https://normativ.kontur.ru/document?moduleId=1&amp;documentId=500478" TargetMode="External" /><Relationship Type="http://schemas.openxmlformats.org/officeDocument/2006/relationships/hyperlink" Id="rId81" Target="https://normativ.kontur.ru/document?moduleId=1&amp;documentId=504575" TargetMode="External" /><Relationship Type="http://schemas.openxmlformats.org/officeDocument/2006/relationships/hyperlink" Id="rId55" Target="https://pd.rkn.gov.ru/docs/Prikaz_FSTJEK_Rossii_17.pdf" TargetMode="External" /><Relationship Type="http://schemas.openxmlformats.org/officeDocument/2006/relationships/hyperlink" Id="rId73" Target="https://sozd.duma.gov.ru/bill/1069302-8" TargetMode="External" /><Relationship Type="http://schemas.openxmlformats.org/officeDocument/2006/relationships/hyperlink" Id="rId57" Target="https://vladokb.gosuslugi.ru/netcat_files/8/9/prikaz_fstek_17_11.02.2013.pdf" TargetMode="External" /><Relationship Type="http://schemas.openxmlformats.org/officeDocument/2006/relationships/hyperlink" Id="rId71" Target="https://www.anti-malware.ru/analytics/Technology_Analysis/AI-regulation-in-Russia" TargetMode="External" /><Relationship Type="http://schemas.openxmlformats.org/officeDocument/2006/relationships/hyperlink" Id="rId37" Target="https://www.anti-malware.ru/analytics/Technology_Analysis/Cyber-Threat-and-Information-Security-Forecast-2026" TargetMode="External" /><Relationship Type="http://schemas.openxmlformats.org/officeDocument/2006/relationships/hyperlink" Id="rId43" Target="https://www.consultant.ru/document/cons_doc_LAW_61798/" TargetMode="External" /><Relationship Type="http://schemas.openxmlformats.org/officeDocument/2006/relationships/hyperlink" Id="rId65" Target="https://www.consultant.ru/law/hotdocs/89683.html" TargetMode="External" /><Relationship Type="http://schemas.openxmlformats.org/officeDocument/2006/relationships/hyperlink" Id="rId35" Target="https://www.ec-rs.ru/blog/informacionnaja-bezopasnost/rossiyskiy-rynok-informatsionnoy-bezopasnosti-2026-sbalansirovat-skorost-regulyatoriku-i-defitsit-ek/" TargetMode="External" /><Relationship Type="http://schemas.openxmlformats.org/officeDocument/2006/relationships/hyperlink" Id="rId89" Target="https://www.ec-rs.ru/blog/kii/novoe-v-regulirovanii-kii-polnyy-gid-po-izmeneniyam/" TargetMode="External" /><Relationship Type="http://schemas.openxmlformats.org/officeDocument/2006/relationships/hyperlink" Id="rId69" Target="https://www.garant.ru/news/1401154/" TargetMode="External" /><Relationship Type="http://schemas.openxmlformats.org/officeDocument/2006/relationships/hyperlink" Id="rId31" Target="https://www.klerk.ru/blogs/fedresurs/678022/" TargetMode="External" /><Relationship Type="http://schemas.openxmlformats.org/officeDocument/2006/relationships/hyperlink" Id="rId33" Target="https://www.snta.ru/press-center/kakie-izmeneniya-proizoydut-v-sfere-informatsionnoy-bezopasnosti-1-marta-2026-god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Яковлева Дарья Сергеевна</dc:creator>
  <dc:language>ru-RU</dc:language>
  <cp:keywords/>
  <dcterms:created xsi:type="dcterms:W3CDTF">2026-03-30T07:42:12Z</dcterms:created>
  <dcterms:modified xsi:type="dcterms:W3CDTF">2026-03-30T07:42:12Z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Законодательный уровень информационной безопасности в России в 2026 году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