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6D11" w14:textId="77777777" w:rsidR="00B22EC5" w:rsidRPr="000F3D59" w:rsidRDefault="002C2041" w:rsidP="007D6FE8">
      <w:pPr>
        <w:pStyle w:val="Title"/>
        <w:spacing w:before="480" w:after="240"/>
        <w:jc w:val="center"/>
        <w:rPr>
          <w:rFonts w:ascii="Arial" w:eastAsia="Arial" w:hAnsi="Arial" w:cs="Arial"/>
          <w:b/>
          <w:bCs/>
          <w:smallCaps/>
          <w:color w:val="000000" w:themeColor="text1"/>
          <w:sz w:val="40"/>
          <w:szCs w:val="40"/>
        </w:rPr>
      </w:pPr>
      <w:r w:rsidRPr="000F3D59">
        <w:rPr>
          <w:rFonts w:ascii="Arial" w:eastAsia="Arial" w:hAnsi="Arial" w:cs="Arial"/>
          <w:b/>
          <w:bCs/>
          <w:color w:val="000000" w:themeColor="text1"/>
          <w:sz w:val="40"/>
          <w:szCs w:val="40"/>
        </w:rPr>
        <w:t>Long-term Outcomes and Response Assessment of a Novel Agent (LORNA) Trial</w:t>
      </w:r>
    </w:p>
    <w:p w14:paraId="31A810B3" w14:textId="77777777" w:rsidR="00B22EC5" w:rsidRPr="000F3D59" w:rsidRDefault="002C2041" w:rsidP="007D6FE8">
      <w:pPr>
        <w:spacing w:before="120" w:after="120" w:line="240" w:lineRule="auto"/>
        <w:jc w:val="center"/>
        <w:rPr>
          <w:rFonts w:ascii="Arial" w:eastAsia="Arial" w:hAnsi="Arial" w:cs="Arial"/>
          <w:b/>
          <w:bCs/>
          <w:color w:val="000000" w:themeColor="text1"/>
          <w:sz w:val="28"/>
          <w:szCs w:val="28"/>
        </w:rPr>
      </w:pPr>
      <w:r w:rsidRPr="000F3D59">
        <w:rPr>
          <w:rFonts w:ascii="Arial" w:eastAsia="Arial" w:hAnsi="Arial" w:cs="Arial"/>
          <w:b/>
          <w:bCs/>
          <w:color w:val="000000" w:themeColor="text1"/>
          <w:sz w:val="28"/>
          <w:szCs w:val="28"/>
        </w:rPr>
        <w:t>Protocol Number: DLF552</w:t>
      </w:r>
    </w:p>
    <w:p w14:paraId="17956F9B" w14:textId="77777777" w:rsidR="00B22EC5" w:rsidRPr="000F3D59" w:rsidRDefault="002C2041" w:rsidP="007D6FE8">
      <w:pPr>
        <w:spacing w:before="120" w:after="120" w:line="240" w:lineRule="auto"/>
        <w:jc w:val="center"/>
        <w:rPr>
          <w:rFonts w:ascii="Arial" w:eastAsia="Arial" w:hAnsi="Arial" w:cs="Arial"/>
          <w:b/>
          <w:bCs/>
          <w:color w:val="000000" w:themeColor="text1"/>
          <w:sz w:val="28"/>
          <w:szCs w:val="28"/>
        </w:rPr>
      </w:pPr>
      <w:r w:rsidRPr="000F3D59">
        <w:rPr>
          <w:rFonts w:ascii="Arial" w:eastAsia="Arial" w:hAnsi="Arial" w:cs="Arial"/>
          <w:b/>
          <w:bCs/>
          <w:color w:val="000000" w:themeColor="text1"/>
          <w:sz w:val="28"/>
          <w:szCs w:val="28"/>
        </w:rPr>
        <w:t>National Clinical Trial (NCT) Identified Number: NCT00001240</w:t>
      </w:r>
    </w:p>
    <w:p w14:paraId="5AE75936" w14:textId="77777777" w:rsidR="00B22EC5" w:rsidRPr="000F3D59" w:rsidRDefault="002C2041" w:rsidP="007D6FE8">
      <w:pPr>
        <w:spacing w:before="120" w:after="120" w:line="240" w:lineRule="auto"/>
        <w:jc w:val="center"/>
        <w:rPr>
          <w:rFonts w:ascii="Arial" w:eastAsia="Arial" w:hAnsi="Arial" w:cs="Arial"/>
          <w:b/>
          <w:bCs/>
          <w:color w:val="000000" w:themeColor="text1"/>
          <w:sz w:val="28"/>
          <w:szCs w:val="28"/>
        </w:rPr>
      </w:pPr>
      <w:r w:rsidRPr="000F3D59">
        <w:rPr>
          <w:rFonts w:ascii="Arial" w:eastAsia="Arial" w:hAnsi="Arial" w:cs="Arial"/>
          <w:b/>
          <w:bCs/>
          <w:color w:val="000000" w:themeColor="text1"/>
          <w:sz w:val="28"/>
          <w:szCs w:val="28"/>
        </w:rPr>
        <w:t>Principal Investigator:</w:t>
      </w:r>
      <w:r w:rsidRPr="000F3D59">
        <w:rPr>
          <w:rFonts w:ascii="Arial" w:eastAsia="Arial" w:hAnsi="Arial" w:cs="Arial"/>
          <w:color w:val="000000" w:themeColor="text1"/>
        </w:rPr>
        <w:t xml:space="preserve"> </w:t>
      </w:r>
      <w:r w:rsidRPr="000F3D59">
        <w:rPr>
          <w:rFonts w:ascii="Arial" w:eastAsia="Arial" w:hAnsi="Arial" w:cs="Arial"/>
          <w:b/>
          <w:bCs/>
          <w:color w:val="000000" w:themeColor="text1"/>
          <w:sz w:val="28"/>
          <w:szCs w:val="28"/>
        </w:rPr>
        <w:t>William Ramos</w:t>
      </w:r>
    </w:p>
    <w:p w14:paraId="78564687" w14:textId="77777777" w:rsidR="00B22EC5" w:rsidRPr="000F3D59" w:rsidRDefault="002C2041" w:rsidP="007D6FE8">
      <w:pPr>
        <w:spacing w:before="120" w:after="120" w:line="240" w:lineRule="auto"/>
        <w:jc w:val="center"/>
        <w:rPr>
          <w:rFonts w:ascii="Arial" w:eastAsia="Arial" w:hAnsi="Arial" w:cs="Arial"/>
          <w:b/>
          <w:bCs/>
          <w:color w:val="000000" w:themeColor="text1"/>
          <w:sz w:val="28"/>
          <w:szCs w:val="28"/>
        </w:rPr>
      </w:pPr>
      <w:r w:rsidRPr="000F3D59">
        <w:rPr>
          <w:rFonts w:ascii="Arial" w:eastAsia="Arial" w:hAnsi="Arial" w:cs="Arial"/>
          <w:b/>
          <w:bCs/>
          <w:color w:val="000000" w:themeColor="text1"/>
          <w:sz w:val="28"/>
          <w:szCs w:val="28"/>
        </w:rPr>
        <w:t>IND Sponsor: PR Life Sciences</w:t>
      </w:r>
    </w:p>
    <w:p w14:paraId="20DCA80C" w14:textId="77777777" w:rsidR="00B22EC5" w:rsidRPr="000F3D59" w:rsidRDefault="002C2041" w:rsidP="007D6FE8">
      <w:pPr>
        <w:spacing w:before="120" w:after="120" w:line="240" w:lineRule="auto"/>
        <w:jc w:val="center"/>
        <w:rPr>
          <w:rFonts w:ascii="Arial" w:eastAsia="Arial" w:hAnsi="Arial" w:cs="Arial"/>
          <w:b/>
          <w:bCs/>
          <w:color w:val="000000" w:themeColor="text1"/>
          <w:sz w:val="28"/>
          <w:szCs w:val="28"/>
        </w:rPr>
      </w:pPr>
      <w:r w:rsidRPr="000F3D59">
        <w:rPr>
          <w:rFonts w:ascii="Arial" w:eastAsia="Arial" w:hAnsi="Arial" w:cs="Arial"/>
          <w:b/>
          <w:bCs/>
          <w:color w:val="000000" w:themeColor="text1"/>
          <w:sz w:val="28"/>
          <w:szCs w:val="28"/>
        </w:rPr>
        <w:t>Version Number:  v.1.0</w:t>
      </w:r>
    </w:p>
    <w:p w14:paraId="4C27A9B4" w14:textId="720611E4" w:rsidR="00B22EC5" w:rsidRPr="000F3D59" w:rsidRDefault="002C2041" w:rsidP="007D6FE8">
      <w:pPr>
        <w:spacing w:before="120" w:after="120" w:line="240" w:lineRule="auto"/>
        <w:jc w:val="center"/>
        <w:rPr>
          <w:rFonts w:ascii="Arial" w:eastAsia="Arial" w:hAnsi="Arial" w:cs="Arial"/>
          <w:b/>
          <w:bCs/>
          <w:color w:val="000000" w:themeColor="text1"/>
          <w:sz w:val="28"/>
          <w:szCs w:val="28"/>
        </w:rPr>
      </w:pPr>
      <w:r w:rsidRPr="000F3D59">
        <w:rPr>
          <w:rFonts w:ascii="Arial" w:eastAsia="Arial" w:hAnsi="Arial" w:cs="Arial"/>
          <w:b/>
          <w:bCs/>
          <w:color w:val="000000" w:themeColor="text1"/>
          <w:sz w:val="28"/>
          <w:szCs w:val="28"/>
        </w:rPr>
        <w:t>15 June 202</w:t>
      </w:r>
      <w:r w:rsidR="0057452E" w:rsidRPr="000F3D59">
        <w:rPr>
          <w:rFonts w:ascii="Arial" w:eastAsia="Arial" w:hAnsi="Arial" w:cs="Arial"/>
          <w:b/>
          <w:bCs/>
          <w:color w:val="000000" w:themeColor="text1"/>
          <w:sz w:val="28"/>
          <w:szCs w:val="28"/>
        </w:rPr>
        <w:t>2</w:t>
      </w:r>
    </w:p>
    <w:p w14:paraId="28A633F6" w14:textId="77777777" w:rsidR="00B22EC5" w:rsidRPr="000F3D59" w:rsidRDefault="00B22EC5" w:rsidP="007D6FE8">
      <w:pPr>
        <w:spacing w:before="0" w:after="0" w:line="240" w:lineRule="auto"/>
        <w:rPr>
          <w:rFonts w:ascii="Arial" w:eastAsia="Arial" w:hAnsi="Arial" w:cs="Arial"/>
          <w:color w:val="000000" w:themeColor="text1"/>
          <w:sz w:val="22"/>
          <w:szCs w:val="22"/>
        </w:rPr>
      </w:pPr>
    </w:p>
    <w:p w14:paraId="0B24287B" w14:textId="77777777" w:rsidR="00B22EC5" w:rsidRPr="000F3D59" w:rsidRDefault="00B22EC5" w:rsidP="007D6FE8">
      <w:pPr>
        <w:spacing w:before="0" w:after="0" w:line="240" w:lineRule="auto"/>
        <w:jc w:val="center"/>
        <w:rPr>
          <w:rFonts w:ascii="Arial" w:eastAsia="Arial" w:hAnsi="Arial" w:cs="Arial"/>
          <w:color w:val="000000" w:themeColor="text1"/>
          <w:sz w:val="22"/>
          <w:szCs w:val="22"/>
        </w:rPr>
      </w:pPr>
    </w:p>
    <w:p w14:paraId="0531AE6F" w14:textId="77777777" w:rsidR="00B22EC5" w:rsidRPr="000F3D59" w:rsidRDefault="002C2041" w:rsidP="007D6FE8">
      <w:pPr>
        <w:pBdr>
          <w:top w:val="nil"/>
          <w:left w:val="nil"/>
          <w:bottom w:val="nil"/>
          <w:right w:val="nil"/>
          <w:between w:val="nil"/>
        </w:pBdr>
        <w:spacing w:before="0" w:after="0" w:line="240" w:lineRule="auto"/>
        <w:rPr>
          <w:rFonts w:ascii="Arial" w:eastAsia="Arial" w:hAnsi="Arial" w:cs="Arial"/>
          <w:b/>
          <w:bCs/>
          <w:color w:val="000000" w:themeColor="text1"/>
          <w:sz w:val="28"/>
          <w:szCs w:val="28"/>
        </w:rPr>
      </w:pPr>
      <w:r w:rsidRPr="000F3D59">
        <w:rPr>
          <w:rFonts w:ascii="Arial" w:eastAsia="Arial" w:hAnsi="Arial" w:cs="Arial"/>
          <w:b/>
          <w:bCs/>
          <w:color w:val="000000" w:themeColor="text1"/>
          <w:sz w:val="28"/>
          <w:szCs w:val="28"/>
        </w:rPr>
        <w:t>Summary of Changes from Previous Version:</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5"/>
        <w:gridCol w:w="4100"/>
        <w:gridCol w:w="3875"/>
      </w:tblGrid>
      <w:tr w:rsidR="000A6C59" w:rsidRPr="000F3D59" w14:paraId="04C6AD35" w14:textId="77777777">
        <w:tc>
          <w:tcPr>
            <w:tcW w:w="1375" w:type="dxa"/>
          </w:tcPr>
          <w:p w14:paraId="5DFD9131" w14:textId="77777777" w:rsidR="00B22EC5" w:rsidRPr="000F3D59" w:rsidRDefault="002C2041" w:rsidP="007D6FE8">
            <w:pPr>
              <w:spacing w:line="240" w:lineRule="auto"/>
              <w:jc w:val="both"/>
              <w:rPr>
                <w:rFonts w:ascii="Arial" w:eastAsia="Arial" w:hAnsi="Arial" w:cs="Arial"/>
                <w:b/>
                <w:bCs/>
                <w:color w:val="000000" w:themeColor="text1"/>
              </w:rPr>
            </w:pPr>
            <w:r w:rsidRPr="000F3D59">
              <w:rPr>
                <w:rFonts w:ascii="Arial" w:eastAsia="Arial" w:hAnsi="Arial" w:cs="Arial"/>
                <w:b/>
                <w:bCs/>
                <w:color w:val="000000" w:themeColor="text1"/>
              </w:rPr>
              <w:t>Affected Section(s)</w:t>
            </w:r>
          </w:p>
        </w:tc>
        <w:tc>
          <w:tcPr>
            <w:tcW w:w="4100" w:type="dxa"/>
          </w:tcPr>
          <w:p w14:paraId="63B7FFD5" w14:textId="77777777" w:rsidR="00B22EC5" w:rsidRPr="000F3D59" w:rsidRDefault="002C2041" w:rsidP="007D6FE8">
            <w:pPr>
              <w:spacing w:line="240" w:lineRule="auto"/>
              <w:jc w:val="both"/>
              <w:rPr>
                <w:rFonts w:ascii="Arial" w:eastAsia="Arial" w:hAnsi="Arial" w:cs="Arial"/>
                <w:b/>
                <w:bCs/>
                <w:color w:val="000000" w:themeColor="text1"/>
              </w:rPr>
            </w:pPr>
            <w:r w:rsidRPr="000F3D59">
              <w:rPr>
                <w:rFonts w:ascii="Arial" w:eastAsia="Arial" w:hAnsi="Arial" w:cs="Arial"/>
                <w:b/>
                <w:bCs/>
                <w:color w:val="000000" w:themeColor="text1"/>
              </w:rPr>
              <w:t>Summary of Revisions Made</w:t>
            </w:r>
          </w:p>
        </w:tc>
        <w:tc>
          <w:tcPr>
            <w:tcW w:w="3875" w:type="dxa"/>
          </w:tcPr>
          <w:p w14:paraId="24DE71F6" w14:textId="77777777" w:rsidR="00B22EC5" w:rsidRPr="000F3D59" w:rsidRDefault="002C2041" w:rsidP="007D6FE8">
            <w:pPr>
              <w:spacing w:line="240" w:lineRule="auto"/>
              <w:jc w:val="both"/>
              <w:rPr>
                <w:rFonts w:ascii="Arial" w:eastAsia="Arial" w:hAnsi="Arial" w:cs="Arial"/>
                <w:b/>
                <w:bCs/>
                <w:color w:val="000000" w:themeColor="text1"/>
              </w:rPr>
            </w:pPr>
            <w:r w:rsidRPr="000F3D59">
              <w:rPr>
                <w:rFonts w:ascii="Arial" w:eastAsia="Arial" w:hAnsi="Arial" w:cs="Arial"/>
                <w:b/>
                <w:bCs/>
                <w:color w:val="000000" w:themeColor="text1"/>
              </w:rPr>
              <w:t>Rationale</w:t>
            </w:r>
          </w:p>
        </w:tc>
      </w:tr>
      <w:tr w:rsidR="000A6C59" w:rsidRPr="000F3D59" w14:paraId="25C98AB1" w14:textId="77777777">
        <w:tc>
          <w:tcPr>
            <w:tcW w:w="1375" w:type="dxa"/>
          </w:tcPr>
          <w:p w14:paraId="54EF7EA1" w14:textId="77777777" w:rsidR="00B22EC5" w:rsidRPr="000F3D59" w:rsidRDefault="00B22EC5" w:rsidP="007D6FE8">
            <w:pPr>
              <w:spacing w:line="240" w:lineRule="auto"/>
              <w:jc w:val="both"/>
              <w:rPr>
                <w:rFonts w:ascii="Arial" w:eastAsia="Arial" w:hAnsi="Arial" w:cs="Arial"/>
                <w:b/>
                <w:bCs/>
                <w:color w:val="000000" w:themeColor="text1"/>
              </w:rPr>
            </w:pPr>
          </w:p>
        </w:tc>
        <w:tc>
          <w:tcPr>
            <w:tcW w:w="4100" w:type="dxa"/>
          </w:tcPr>
          <w:p w14:paraId="02D9BF0F" w14:textId="77777777" w:rsidR="00B22EC5" w:rsidRPr="000F3D59" w:rsidRDefault="00B22EC5" w:rsidP="007D6FE8">
            <w:pPr>
              <w:spacing w:line="240" w:lineRule="auto"/>
              <w:jc w:val="both"/>
              <w:rPr>
                <w:rFonts w:ascii="Arial" w:eastAsia="Arial" w:hAnsi="Arial" w:cs="Arial"/>
                <w:b/>
                <w:bCs/>
                <w:color w:val="000000" w:themeColor="text1"/>
              </w:rPr>
            </w:pPr>
          </w:p>
        </w:tc>
        <w:tc>
          <w:tcPr>
            <w:tcW w:w="3875" w:type="dxa"/>
          </w:tcPr>
          <w:p w14:paraId="76834A62" w14:textId="77777777" w:rsidR="00B22EC5" w:rsidRPr="000F3D59" w:rsidRDefault="00B22EC5" w:rsidP="007D6FE8">
            <w:pPr>
              <w:spacing w:line="240" w:lineRule="auto"/>
              <w:jc w:val="both"/>
              <w:rPr>
                <w:rFonts w:ascii="Arial" w:eastAsia="Arial" w:hAnsi="Arial" w:cs="Arial"/>
                <w:b/>
                <w:bCs/>
                <w:color w:val="000000" w:themeColor="text1"/>
              </w:rPr>
            </w:pPr>
          </w:p>
        </w:tc>
      </w:tr>
      <w:tr w:rsidR="000A6C59" w:rsidRPr="000F3D59" w14:paraId="066ECC47" w14:textId="77777777">
        <w:tc>
          <w:tcPr>
            <w:tcW w:w="1375" w:type="dxa"/>
          </w:tcPr>
          <w:p w14:paraId="3FDA60DF" w14:textId="77777777" w:rsidR="00B22EC5" w:rsidRPr="000F3D59" w:rsidRDefault="00B22EC5" w:rsidP="007D6FE8">
            <w:pPr>
              <w:spacing w:line="240" w:lineRule="auto"/>
              <w:rPr>
                <w:rFonts w:ascii="Arial" w:eastAsia="Arial" w:hAnsi="Arial" w:cs="Arial"/>
                <w:b/>
                <w:bCs/>
                <w:color w:val="000000" w:themeColor="text1"/>
              </w:rPr>
            </w:pPr>
          </w:p>
        </w:tc>
        <w:tc>
          <w:tcPr>
            <w:tcW w:w="4100" w:type="dxa"/>
          </w:tcPr>
          <w:p w14:paraId="37C32A2C" w14:textId="77777777" w:rsidR="00B22EC5" w:rsidRPr="000F3D59" w:rsidRDefault="00B22EC5" w:rsidP="007D6FE8">
            <w:pPr>
              <w:spacing w:line="240" w:lineRule="auto"/>
              <w:rPr>
                <w:rFonts w:ascii="Arial" w:eastAsia="Arial" w:hAnsi="Arial" w:cs="Arial"/>
                <w:b/>
                <w:bCs/>
                <w:color w:val="000000" w:themeColor="text1"/>
              </w:rPr>
            </w:pPr>
          </w:p>
        </w:tc>
        <w:tc>
          <w:tcPr>
            <w:tcW w:w="3875" w:type="dxa"/>
          </w:tcPr>
          <w:p w14:paraId="5535A7AF" w14:textId="77777777" w:rsidR="00B22EC5" w:rsidRPr="000F3D59" w:rsidRDefault="00B22EC5" w:rsidP="007D6FE8">
            <w:pPr>
              <w:spacing w:line="240" w:lineRule="auto"/>
              <w:rPr>
                <w:rFonts w:ascii="Arial" w:eastAsia="Arial" w:hAnsi="Arial" w:cs="Arial"/>
                <w:b/>
                <w:bCs/>
                <w:color w:val="000000" w:themeColor="text1"/>
              </w:rPr>
            </w:pPr>
          </w:p>
        </w:tc>
      </w:tr>
    </w:tbl>
    <w:p w14:paraId="639F8241" w14:textId="102C0719" w:rsidR="00B22EC5" w:rsidRPr="000F3D59" w:rsidRDefault="00B22EC5" w:rsidP="007D6FE8">
      <w:pPr>
        <w:spacing w:line="240" w:lineRule="auto"/>
        <w:rPr>
          <w:rFonts w:ascii="Arial" w:eastAsia="Arial" w:hAnsi="Arial" w:cs="Arial"/>
          <w:color w:val="000000" w:themeColor="text1"/>
        </w:rPr>
        <w:sectPr w:rsidR="00B22EC5" w:rsidRPr="000F3D59">
          <w:footerReference w:type="default" r:id="rId9"/>
          <w:pgSz w:w="12240" w:h="15840"/>
          <w:pgMar w:top="1440" w:right="1440" w:bottom="1440" w:left="1440" w:header="708" w:footer="708" w:gutter="0"/>
          <w:pgNumType w:start="1"/>
          <w:cols w:space="720"/>
        </w:sectPr>
      </w:pPr>
    </w:p>
    <w:p w14:paraId="7954D5DF" w14:textId="77777777" w:rsidR="00B22EC5" w:rsidRPr="000F3D59" w:rsidRDefault="002C2041" w:rsidP="00E97CBF">
      <w:pPr>
        <w:spacing w:before="0" w:after="0" w:line="240" w:lineRule="auto"/>
        <w:jc w:val="center"/>
        <w:rPr>
          <w:rFonts w:ascii="Arial" w:eastAsia="Arial" w:hAnsi="Arial" w:cs="Arial"/>
          <w:color w:val="000000" w:themeColor="text1"/>
          <w:sz w:val="22"/>
          <w:szCs w:val="22"/>
        </w:rPr>
      </w:pPr>
      <w:r w:rsidRPr="000F3D59">
        <w:rPr>
          <w:rFonts w:ascii="Arial" w:eastAsia="Arial" w:hAnsi="Arial" w:cs="Arial"/>
          <w:b/>
          <w:bCs/>
          <w:color w:val="000000" w:themeColor="text1"/>
          <w:sz w:val="22"/>
          <w:szCs w:val="22"/>
        </w:rPr>
        <w:lastRenderedPageBreak/>
        <w:t>Table of Contents</w:t>
      </w:r>
    </w:p>
    <w:p w14:paraId="05270463" w14:textId="1BD41104" w:rsidR="00C17056" w:rsidRPr="000F3D59" w:rsidRDefault="00C17056" w:rsidP="00C17056">
      <w:pPr>
        <w:spacing w:before="0" w:after="0" w:line="240" w:lineRule="auto"/>
        <w:jc w:val="both"/>
        <w:rPr>
          <w:rFonts w:ascii="Arial" w:hAnsi="Arial" w:cs="Arial"/>
          <w:color w:val="000000" w:themeColor="text1"/>
        </w:rPr>
      </w:pPr>
      <w:r w:rsidRPr="000F3D59">
        <w:rPr>
          <w:rFonts w:ascii="Arial" w:hAnsi="Arial" w:cs="Arial"/>
          <w:color w:val="000000" w:themeColor="text1"/>
        </w:rPr>
        <w:t>Statement of Compliance …</w:t>
      </w:r>
      <w:r w:rsidR="00E97CBF" w:rsidRPr="000F3D59">
        <w:rPr>
          <w:rFonts w:ascii="Arial" w:hAnsi="Arial" w:cs="Arial"/>
          <w:color w:val="000000" w:themeColor="text1"/>
        </w:rPr>
        <w:t xml:space="preserve">……………………………………………………………………………………….. </w:t>
      </w:r>
      <w:r w:rsidRPr="000F3D59">
        <w:rPr>
          <w:rFonts w:ascii="Arial" w:hAnsi="Arial" w:cs="Arial"/>
          <w:color w:val="000000" w:themeColor="text1"/>
        </w:rPr>
        <w:t>3</w:t>
      </w:r>
    </w:p>
    <w:p w14:paraId="15352F83" w14:textId="58A2E466" w:rsidR="00C17056" w:rsidRPr="000F3D59" w:rsidRDefault="00C17056" w:rsidP="00C17056">
      <w:pPr>
        <w:pStyle w:val="ListParagraph"/>
        <w:numPr>
          <w:ilvl w:val="0"/>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Protocol Summary …</w:t>
      </w:r>
      <w:r w:rsidR="00E97CBF" w:rsidRPr="000F3D59">
        <w:rPr>
          <w:rFonts w:ascii="Arial" w:hAnsi="Arial" w:cs="Arial"/>
          <w:color w:val="000000" w:themeColor="text1"/>
        </w:rPr>
        <w:t>……………………………………………………………………………………………</w:t>
      </w:r>
      <w:r w:rsidRPr="000F3D59">
        <w:rPr>
          <w:rFonts w:ascii="Arial" w:hAnsi="Arial" w:cs="Arial"/>
          <w:color w:val="000000" w:themeColor="text1"/>
        </w:rPr>
        <w:t>4</w:t>
      </w:r>
    </w:p>
    <w:p w14:paraId="3B951D67" w14:textId="4EA2AD4A"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Synopsis …</w:t>
      </w:r>
      <w:r w:rsidR="00E97CBF" w:rsidRPr="000F3D59">
        <w:rPr>
          <w:rFonts w:ascii="Arial" w:hAnsi="Arial" w:cs="Arial"/>
          <w:color w:val="000000" w:themeColor="text1"/>
        </w:rPr>
        <w:t xml:space="preserve">………………………………………………………………………………………………… </w:t>
      </w:r>
      <w:r w:rsidRPr="000F3D59">
        <w:rPr>
          <w:rFonts w:ascii="Arial" w:hAnsi="Arial" w:cs="Arial"/>
          <w:color w:val="000000" w:themeColor="text1"/>
        </w:rPr>
        <w:t>4</w:t>
      </w:r>
    </w:p>
    <w:p w14:paraId="4EA30AA8" w14:textId="0E20D94E"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 xml:space="preserve">Schema </w:t>
      </w:r>
      <w:r w:rsidR="00E97CBF" w:rsidRPr="000F3D59">
        <w:rPr>
          <w:rFonts w:ascii="Arial" w:hAnsi="Arial" w:cs="Arial"/>
          <w:color w:val="000000" w:themeColor="text1"/>
        </w:rPr>
        <w:t xml:space="preserve">…………………………………………………………………………………………………….. </w:t>
      </w:r>
      <w:r w:rsidRPr="000F3D59">
        <w:rPr>
          <w:rFonts w:ascii="Arial" w:hAnsi="Arial" w:cs="Arial"/>
          <w:color w:val="000000" w:themeColor="text1"/>
        </w:rPr>
        <w:t>5</w:t>
      </w:r>
    </w:p>
    <w:p w14:paraId="5AD72B9F" w14:textId="0627B333"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Schedule of Activities (SoA) …</w:t>
      </w:r>
      <w:r w:rsidR="00E97CBF" w:rsidRPr="000F3D59">
        <w:rPr>
          <w:rFonts w:ascii="Arial" w:hAnsi="Arial" w:cs="Arial"/>
          <w:color w:val="000000" w:themeColor="text1"/>
        </w:rPr>
        <w:t>……………………………………………………………………………</w:t>
      </w:r>
      <w:r w:rsidRPr="000F3D59">
        <w:rPr>
          <w:rFonts w:ascii="Arial" w:hAnsi="Arial" w:cs="Arial"/>
          <w:color w:val="000000" w:themeColor="text1"/>
        </w:rPr>
        <w:t>5</w:t>
      </w:r>
    </w:p>
    <w:p w14:paraId="559390E6" w14:textId="59F75A63" w:rsidR="00C17056" w:rsidRPr="000F3D59" w:rsidRDefault="00C17056" w:rsidP="00C17056">
      <w:pPr>
        <w:pStyle w:val="ListParagraph"/>
        <w:numPr>
          <w:ilvl w:val="0"/>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Introduction …</w:t>
      </w:r>
      <w:r w:rsidR="00E97CBF" w:rsidRPr="000F3D59">
        <w:rPr>
          <w:rFonts w:ascii="Arial" w:hAnsi="Arial" w:cs="Arial"/>
          <w:color w:val="000000" w:themeColor="text1"/>
        </w:rPr>
        <w:t>……………………………………………………………………………………………………</w:t>
      </w:r>
      <w:r w:rsidR="00F4284C" w:rsidRPr="000F3D59">
        <w:rPr>
          <w:rFonts w:ascii="Arial" w:hAnsi="Arial" w:cs="Arial"/>
          <w:color w:val="000000" w:themeColor="text1"/>
        </w:rPr>
        <w:t>5</w:t>
      </w:r>
    </w:p>
    <w:p w14:paraId="40B031F8" w14:textId="11F675CE"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Study Rationale …</w:t>
      </w:r>
      <w:r w:rsidR="00E97CBF" w:rsidRPr="000F3D59">
        <w:rPr>
          <w:rFonts w:ascii="Arial" w:hAnsi="Arial" w:cs="Arial"/>
          <w:color w:val="000000" w:themeColor="text1"/>
        </w:rPr>
        <w:t>………………………………………………………………………………………….</w:t>
      </w:r>
      <w:r w:rsidRPr="000F3D59">
        <w:rPr>
          <w:rFonts w:ascii="Arial" w:hAnsi="Arial" w:cs="Arial"/>
          <w:color w:val="000000" w:themeColor="text1"/>
        </w:rPr>
        <w:t>5</w:t>
      </w:r>
    </w:p>
    <w:p w14:paraId="5F6FB315" w14:textId="1E6A3FC9"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Background …</w:t>
      </w:r>
      <w:r w:rsidR="00E97CBF" w:rsidRPr="000F3D59">
        <w:rPr>
          <w:rFonts w:ascii="Arial" w:hAnsi="Arial" w:cs="Arial"/>
          <w:color w:val="000000" w:themeColor="text1"/>
        </w:rPr>
        <w:t>………………………………………………………………………………………………</w:t>
      </w:r>
      <w:r w:rsidRPr="000F3D59">
        <w:rPr>
          <w:rFonts w:ascii="Arial" w:hAnsi="Arial" w:cs="Arial"/>
          <w:color w:val="000000" w:themeColor="text1"/>
        </w:rPr>
        <w:t>6</w:t>
      </w:r>
    </w:p>
    <w:p w14:paraId="12D14026" w14:textId="28BA8759"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Risk/Benefit Assessment …</w:t>
      </w:r>
      <w:r w:rsidR="00E97CBF" w:rsidRPr="000F3D59">
        <w:rPr>
          <w:rFonts w:ascii="Arial" w:hAnsi="Arial" w:cs="Arial"/>
          <w:color w:val="000000" w:themeColor="text1"/>
        </w:rPr>
        <w:t>……………………………………………………………………………….</w:t>
      </w:r>
      <w:r w:rsidRPr="000F3D59">
        <w:rPr>
          <w:rFonts w:ascii="Arial" w:hAnsi="Arial" w:cs="Arial"/>
          <w:color w:val="000000" w:themeColor="text1"/>
        </w:rPr>
        <w:t>6</w:t>
      </w:r>
    </w:p>
    <w:p w14:paraId="229366A2" w14:textId="1A5625B3" w:rsidR="000976C3" w:rsidRPr="000F3D59" w:rsidRDefault="000976C3" w:rsidP="00C17056">
      <w:pPr>
        <w:pStyle w:val="ListParagraph"/>
        <w:numPr>
          <w:ilvl w:val="0"/>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Objectives and Endpoints …</w:t>
      </w:r>
      <w:r w:rsidR="00E97CBF" w:rsidRPr="000F3D59">
        <w:rPr>
          <w:rFonts w:ascii="Arial" w:hAnsi="Arial" w:cs="Arial"/>
          <w:color w:val="000000" w:themeColor="text1"/>
        </w:rPr>
        <w:t>……………………………………………………………………………………</w:t>
      </w:r>
      <w:r w:rsidR="00F4284C" w:rsidRPr="000F3D59">
        <w:rPr>
          <w:rFonts w:ascii="Arial" w:hAnsi="Arial" w:cs="Arial"/>
          <w:color w:val="000000" w:themeColor="text1"/>
        </w:rPr>
        <w:t>6</w:t>
      </w:r>
    </w:p>
    <w:p w14:paraId="467A3D88" w14:textId="41386C6C" w:rsidR="000976C3" w:rsidRPr="000F3D59" w:rsidRDefault="000976C3" w:rsidP="00C17056">
      <w:pPr>
        <w:pStyle w:val="ListParagraph"/>
        <w:numPr>
          <w:ilvl w:val="0"/>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Study Design …</w:t>
      </w:r>
      <w:r w:rsidR="00E97CBF" w:rsidRPr="000F3D59">
        <w:rPr>
          <w:rFonts w:ascii="Arial" w:hAnsi="Arial" w:cs="Arial"/>
          <w:color w:val="000000" w:themeColor="text1"/>
        </w:rPr>
        <w:t>………………………………………………………………………………………………….7</w:t>
      </w:r>
    </w:p>
    <w:p w14:paraId="17BDD229" w14:textId="55E015F7"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Overall Design …</w:t>
      </w:r>
      <w:r w:rsidR="00E97CBF" w:rsidRPr="000F3D59">
        <w:rPr>
          <w:rFonts w:ascii="Arial" w:hAnsi="Arial" w:cs="Arial"/>
          <w:color w:val="000000" w:themeColor="text1"/>
        </w:rPr>
        <w:t>…………………………………………………………………………………………...</w:t>
      </w:r>
      <w:r w:rsidRPr="000F3D59">
        <w:rPr>
          <w:rFonts w:ascii="Arial" w:hAnsi="Arial" w:cs="Arial"/>
          <w:color w:val="000000" w:themeColor="text1"/>
        </w:rPr>
        <w:t>7</w:t>
      </w:r>
    </w:p>
    <w:p w14:paraId="21F85066" w14:textId="459F0D0F"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Justification for Dose …</w:t>
      </w:r>
      <w:r w:rsidR="00E97CBF" w:rsidRPr="000F3D59">
        <w:rPr>
          <w:rFonts w:ascii="Arial" w:hAnsi="Arial" w:cs="Arial"/>
          <w:color w:val="000000" w:themeColor="text1"/>
        </w:rPr>
        <w:t>…………………………………………………………………………………….</w:t>
      </w:r>
      <w:r w:rsidRPr="000F3D59">
        <w:rPr>
          <w:rFonts w:ascii="Arial" w:hAnsi="Arial" w:cs="Arial"/>
          <w:color w:val="000000" w:themeColor="text1"/>
        </w:rPr>
        <w:t>7</w:t>
      </w:r>
    </w:p>
    <w:p w14:paraId="6AD17DEA" w14:textId="356AB805"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End of Study Definition …</w:t>
      </w:r>
      <w:r w:rsidR="00E97CBF" w:rsidRPr="000F3D59">
        <w:rPr>
          <w:rFonts w:ascii="Arial" w:hAnsi="Arial" w:cs="Arial"/>
          <w:color w:val="000000" w:themeColor="text1"/>
        </w:rPr>
        <w:t xml:space="preserve">………………………………………………………………………………… </w:t>
      </w:r>
      <w:r w:rsidRPr="000F3D59">
        <w:rPr>
          <w:rFonts w:ascii="Arial" w:hAnsi="Arial" w:cs="Arial"/>
          <w:color w:val="000000" w:themeColor="text1"/>
        </w:rPr>
        <w:t>8</w:t>
      </w:r>
    </w:p>
    <w:p w14:paraId="6F264BEE" w14:textId="289F82BC" w:rsidR="000976C3" w:rsidRPr="000F3D59" w:rsidRDefault="000976C3" w:rsidP="00C17056">
      <w:pPr>
        <w:pStyle w:val="ListParagraph"/>
        <w:numPr>
          <w:ilvl w:val="0"/>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Study Population …</w:t>
      </w:r>
      <w:r w:rsidR="00E97CBF" w:rsidRPr="000F3D59">
        <w:rPr>
          <w:rFonts w:ascii="Arial" w:hAnsi="Arial" w:cs="Arial"/>
          <w:color w:val="000000" w:themeColor="text1"/>
        </w:rPr>
        <w:t>……………………………………………………………………………………………..</w:t>
      </w:r>
      <w:r w:rsidR="00F4284C" w:rsidRPr="000F3D59">
        <w:rPr>
          <w:rFonts w:ascii="Arial" w:hAnsi="Arial" w:cs="Arial"/>
          <w:color w:val="000000" w:themeColor="text1"/>
        </w:rPr>
        <w:t>8</w:t>
      </w:r>
    </w:p>
    <w:p w14:paraId="5CF605B8" w14:textId="5E421152"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Screening Participants …</w:t>
      </w:r>
      <w:r w:rsidR="00E97CBF" w:rsidRPr="000F3D59">
        <w:rPr>
          <w:rFonts w:ascii="Arial" w:hAnsi="Arial" w:cs="Arial"/>
          <w:color w:val="000000" w:themeColor="text1"/>
        </w:rPr>
        <w:t xml:space="preserve">…………………………………………………………………………………. </w:t>
      </w:r>
      <w:r w:rsidRPr="000F3D59">
        <w:rPr>
          <w:rFonts w:ascii="Arial" w:hAnsi="Arial" w:cs="Arial"/>
          <w:color w:val="000000" w:themeColor="text1"/>
        </w:rPr>
        <w:t>8</w:t>
      </w:r>
    </w:p>
    <w:p w14:paraId="20E10454" w14:textId="062DEB84"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Inclusion Criteria …</w:t>
      </w:r>
      <w:r w:rsidR="00E97CBF" w:rsidRPr="000F3D59">
        <w:rPr>
          <w:rFonts w:ascii="Arial" w:hAnsi="Arial" w:cs="Arial"/>
          <w:color w:val="000000" w:themeColor="text1"/>
        </w:rPr>
        <w:t>…………………………………………………………………………………………</w:t>
      </w:r>
      <w:r w:rsidRPr="000F3D59">
        <w:rPr>
          <w:rFonts w:ascii="Arial" w:hAnsi="Arial" w:cs="Arial"/>
          <w:color w:val="000000" w:themeColor="text1"/>
        </w:rPr>
        <w:t>8</w:t>
      </w:r>
    </w:p>
    <w:p w14:paraId="0AC999FA" w14:textId="1D449DEE"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Exclusion Criteria …</w:t>
      </w:r>
      <w:r w:rsidR="00E97CBF" w:rsidRPr="000F3D59">
        <w:rPr>
          <w:rFonts w:ascii="Arial" w:hAnsi="Arial" w:cs="Arial"/>
          <w:color w:val="000000" w:themeColor="text1"/>
        </w:rPr>
        <w:t xml:space="preserve">………………………………………………………………………………………. </w:t>
      </w:r>
      <w:r w:rsidRPr="000F3D59">
        <w:rPr>
          <w:rFonts w:ascii="Arial" w:hAnsi="Arial" w:cs="Arial"/>
          <w:color w:val="000000" w:themeColor="text1"/>
        </w:rPr>
        <w:t>8</w:t>
      </w:r>
    </w:p>
    <w:p w14:paraId="33AFA0CB" w14:textId="680C62D0" w:rsidR="000976C3" w:rsidRPr="000F3D59" w:rsidRDefault="000976C3" w:rsidP="00C17056">
      <w:pPr>
        <w:pStyle w:val="ListParagraph"/>
        <w:numPr>
          <w:ilvl w:val="0"/>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Study Intervention …</w:t>
      </w:r>
      <w:r w:rsidR="00E97CBF" w:rsidRPr="000F3D59">
        <w:rPr>
          <w:rFonts w:ascii="Arial" w:hAnsi="Arial" w:cs="Arial"/>
          <w:color w:val="000000" w:themeColor="text1"/>
        </w:rPr>
        <w:t xml:space="preserve">…………………………………………………………………………………………… </w:t>
      </w:r>
      <w:r w:rsidR="00F4284C" w:rsidRPr="000F3D59">
        <w:rPr>
          <w:rFonts w:ascii="Arial" w:hAnsi="Arial" w:cs="Arial"/>
          <w:color w:val="000000" w:themeColor="text1"/>
        </w:rPr>
        <w:t>9</w:t>
      </w:r>
    </w:p>
    <w:p w14:paraId="34D72FCA" w14:textId="6CE353A2"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Study Intervention Administration …</w:t>
      </w:r>
      <w:r w:rsidR="00E97CBF" w:rsidRPr="000F3D59">
        <w:rPr>
          <w:rFonts w:ascii="Arial" w:hAnsi="Arial" w:cs="Arial"/>
          <w:color w:val="000000" w:themeColor="text1"/>
        </w:rPr>
        <w:t xml:space="preserve">…………………………………………………………………….. </w:t>
      </w:r>
      <w:r w:rsidRPr="000F3D59">
        <w:rPr>
          <w:rFonts w:ascii="Arial" w:hAnsi="Arial" w:cs="Arial"/>
          <w:color w:val="000000" w:themeColor="text1"/>
        </w:rPr>
        <w:t>9</w:t>
      </w:r>
    </w:p>
    <w:p w14:paraId="27B0B8EC" w14:textId="07FC15F7" w:rsidR="00F4284C" w:rsidRPr="000F3D59" w:rsidRDefault="00F4284C"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Study Intervention Description …</w:t>
      </w:r>
      <w:r w:rsidR="00E97CBF" w:rsidRPr="000F3D59">
        <w:rPr>
          <w:rFonts w:ascii="Arial" w:hAnsi="Arial" w:cs="Arial"/>
          <w:color w:val="000000" w:themeColor="text1"/>
        </w:rPr>
        <w:t xml:space="preserve">………………………………………………………………. </w:t>
      </w:r>
      <w:r w:rsidRPr="000F3D59">
        <w:rPr>
          <w:rFonts w:ascii="Arial" w:hAnsi="Arial" w:cs="Arial"/>
          <w:color w:val="000000" w:themeColor="text1"/>
        </w:rPr>
        <w:t>9</w:t>
      </w:r>
    </w:p>
    <w:p w14:paraId="6D891CE4" w14:textId="3E37B43B" w:rsidR="00F4284C" w:rsidRPr="000F3D59" w:rsidRDefault="00F4284C"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Dosing and Administration …</w:t>
      </w:r>
      <w:r w:rsidR="00E97CBF" w:rsidRPr="000F3D59">
        <w:rPr>
          <w:rFonts w:ascii="Arial" w:hAnsi="Arial" w:cs="Arial"/>
          <w:color w:val="000000" w:themeColor="text1"/>
        </w:rPr>
        <w:t xml:space="preserve">…………………………………………………………………… </w:t>
      </w:r>
      <w:r w:rsidRPr="000F3D59">
        <w:rPr>
          <w:rFonts w:ascii="Arial" w:hAnsi="Arial" w:cs="Arial"/>
          <w:color w:val="000000" w:themeColor="text1"/>
        </w:rPr>
        <w:t>9</w:t>
      </w:r>
    </w:p>
    <w:p w14:paraId="24E04ED1" w14:textId="46DA3C8E"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Measures to Minimize Bias: Randomization and Blinding …</w:t>
      </w:r>
      <w:r w:rsidR="00E97CBF" w:rsidRPr="000F3D59">
        <w:rPr>
          <w:rFonts w:ascii="Arial" w:hAnsi="Arial" w:cs="Arial"/>
          <w:color w:val="000000" w:themeColor="text1"/>
        </w:rPr>
        <w:t>…………………………………………</w:t>
      </w:r>
      <w:r w:rsidRPr="000F3D59">
        <w:rPr>
          <w:rFonts w:ascii="Arial" w:hAnsi="Arial" w:cs="Arial"/>
          <w:color w:val="000000" w:themeColor="text1"/>
        </w:rPr>
        <w:t>10</w:t>
      </w:r>
    </w:p>
    <w:p w14:paraId="55A3EC36" w14:textId="1585FF6C"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Concomitant Therapy …</w:t>
      </w:r>
      <w:r w:rsidR="00E97CBF" w:rsidRPr="000F3D59">
        <w:rPr>
          <w:rFonts w:ascii="Arial" w:hAnsi="Arial" w:cs="Arial"/>
          <w:color w:val="000000" w:themeColor="text1"/>
        </w:rPr>
        <w:t>………………………………………………………………………………….</w:t>
      </w:r>
      <w:r w:rsidRPr="000F3D59">
        <w:rPr>
          <w:rFonts w:ascii="Arial" w:hAnsi="Arial" w:cs="Arial"/>
          <w:color w:val="000000" w:themeColor="text1"/>
        </w:rPr>
        <w:t>10</w:t>
      </w:r>
    </w:p>
    <w:p w14:paraId="697958FB" w14:textId="730B4A03" w:rsidR="000976C3" w:rsidRPr="000F3D59" w:rsidRDefault="000976C3" w:rsidP="00C17056">
      <w:pPr>
        <w:pStyle w:val="ListParagraph"/>
        <w:numPr>
          <w:ilvl w:val="0"/>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Study Assessments and Procedures …</w:t>
      </w:r>
      <w:r w:rsidR="00E97CBF" w:rsidRPr="000F3D59">
        <w:rPr>
          <w:rFonts w:ascii="Arial" w:hAnsi="Arial" w:cs="Arial"/>
          <w:color w:val="000000" w:themeColor="text1"/>
        </w:rPr>
        <w:t>……………………………………………………………………..</w:t>
      </w:r>
      <w:r w:rsidR="00F4284C" w:rsidRPr="000F3D59">
        <w:rPr>
          <w:rFonts w:ascii="Arial" w:hAnsi="Arial" w:cs="Arial"/>
          <w:color w:val="000000" w:themeColor="text1"/>
        </w:rPr>
        <w:t>10</w:t>
      </w:r>
    </w:p>
    <w:p w14:paraId="71488DA7" w14:textId="340DC634"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Efficacy Assessments …</w:t>
      </w:r>
      <w:r w:rsidR="00E97CBF" w:rsidRPr="000F3D59">
        <w:rPr>
          <w:rFonts w:ascii="Arial" w:hAnsi="Arial" w:cs="Arial"/>
          <w:color w:val="000000" w:themeColor="text1"/>
        </w:rPr>
        <w:t xml:space="preserve">………………………………………………………………………………… </w:t>
      </w:r>
      <w:r w:rsidRPr="000F3D59">
        <w:rPr>
          <w:rFonts w:ascii="Arial" w:hAnsi="Arial" w:cs="Arial"/>
          <w:color w:val="000000" w:themeColor="text1"/>
        </w:rPr>
        <w:t>10</w:t>
      </w:r>
    </w:p>
    <w:p w14:paraId="6988AF0D" w14:textId="69C82256"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Safety and Other Assessments …</w:t>
      </w:r>
      <w:r w:rsidR="00E97CBF" w:rsidRPr="000F3D59">
        <w:rPr>
          <w:rFonts w:ascii="Arial" w:hAnsi="Arial" w:cs="Arial"/>
          <w:color w:val="000000" w:themeColor="text1"/>
        </w:rPr>
        <w:t>………………………………………………………………………</w:t>
      </w:r>
      <w:r w:rsidRPr="000F3D59">
        <w:rPr>
          <w:rFonts w:ascii="Arial" w:hAnsi="Arial" w:cs="Arial"/>
          <w:color w:val="000000" w:themeColor="text1"/>
        </w:rPr>
        <w:t>11</w:t>
      </w:r>
    </w:p>
    <w:p w14:paraId="46D26C8E" w14:textId="5071DED7" w:rsidR="00F4284C" w:rsidRPr="000F3D59" w:rsidRDefault="00F4284C" w:rsidP="00F4284C">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Adverse Events and Serious Adverse Events …</w:t>
      </w:r>
      <w:r w:rsidR="00E97CBF" w:rsidRPr="000F3D59">
        <w:rPr>
          <w:rFonts w:ascii="Arial" w:hAnsi="Arial" w:cs="Arial"/>
          <w:color w:val="000000" w:themeColor="text1"/>
        </w:rPr>
        <w:t>………………………………………………………</w:t>
      </w:r>
      <w:r w:rsidRPr="000F3D59">
        <w:rPr>
          <w:rFonts w:ascii="Arial" w:hAnsi="Arial" w:cs="Arial"/>
          <w:color w:val="000000" w:themeColor="text1"/>
        </w:rPr>
        <w:t>12</w:t>
      </w:r>
    </w:p>
    <w:p w14:paraId="4716AAFD" w14:textId="40C55FCB" w:rsidR="00F4284C" w:rsidRPr="000F3D59" w:rsidRDefault="00F4284C"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Definition of Adverse Events (AEs) …</w:t>
      </w:r>
      <w:r w:rsidR="00E97CBF" w:rsidRPr="000F3D59">
        <w:rPr>
          <w:rFonts w:ascii="Arial" w:hAnsi="Arial" w:cs="Arial"/>
          <w:color w:val="000000" w:themeColor="text1"/>
        </w:rPr>
        <w:t>…………………………………………………………</w:t>
      </w:r>
      <w:r w:rsidRPr="000F3D59">
        <w:rPr>
          <w:rFonts w:ascii="Arial" w:hAnsi="Arial" w:cs="Arial"/>
          <w:color w:val="000000" w:themeColor="text1"/>
        </w:rPr>
        <w:t>12</w:t>
      </w:r>
    </w:p>
    <w:p w14:paraId="75784595" w14:textId="0C21B3DC" w:rsidR="00F4284C" w:rsidRPr="000F3D59" w:rsidRDefault="00F4284C"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Definition of Serious Adverse Events (SAEs) …</w:t>
      </w:r>
      <w:r w:rsidR="00E97CBF" w:rsidRPr="000F3D59">
        <w:rPr>
          <w:rFonts w:ascii="Arial" w:hAnsi="Arial" w:cs="Arial"/>
          <w:color w:val="000000" w:themeColor="text1"/>
        </w:rPr>
        <w:t>……………………………………………..</w:t>
      </w:r>
      <w:r w:rsidRPr="000F3D59">
        <w:rPr>
          <w:rFonts w:ascii="Arial" w:hAnsi="Arial" w:cs="Arial"/>
          <w:color w:val="000000" w:themeColor="text1"/>
        </w:rPr>
        <w:t>12</w:t>
      </w:r>
    </w:p>
    <w:p w14:paraId="331272A2" w14:textId="0CEE2593" w:rsidR="00F4284C" w:rsidRPr="000F3D59" w:rsidRDefault="00F4284C"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Classification of an AE …</w:t>
      </w:r>
      <w:r w:rsidR="00E97CBF" w:rsidRPr="000F3D59">
        <w:rPr>
          <w:rFonts w:ascii="Arial" w:hAnsi="Arial" w:cs="Arial"/>
          <w:color w:val="000000" w:themeColor="text1"/>
        </w:rPr>
        <w:t>……………………………………………………………………….</w:t>
      </w:r>
      <w:r w:rsidRPr="000F3D59">
        <w:rPr>
          <w:rFonts w:ascii="Arial" w:hAnsi="Arial" w:cs="Arial"/>
          <w:color w:val="000000" w:themeColor="text1"/>
        </w:rPr>
        <w:t>12</w:t>
      </w:r>
    </w:p>
    <w:p w14:paraId="3BF5CA88" w14:textId="42B838AD" w:rsidR="00F4284C" w:rsidRPr="000F3D59" w:rsidRDefault="00F4284C" w:rsidP="00F4284C">
      <w:pPr>
        <w:pStyle w:val="ListParagraph"/>
        <w:numPr>
          <w:ilvl w:val="3"/>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Severity of an Event …</w:t>
      </w:r>
      <w:r w:rsidR="00E97CBF" w:rsidRPr="000F3D59">
        <w:rPr>
          <w:rFonts w:ascii="Arial" w:hAnsi="Arial" w:cs="Arial"/>
          <w:color w:val="000000" w:themeColor="text1"/>
        </w:rPr>
        <w:t>……………………………………………………………………..</w:t>
      </w:r>
      <w:r w:rsidRPr="000F3D59">
        <w:rPr>
          <w:rFonts w:ascii="Arial" w:hAnsi="Arial" w:cs="Arial"/>
          <w:color w:val="000000" w:themeColor="text1"/>
        </w:rPr>
        <w:t>12</w:t>
      </w:r>
    </w:p>
    <w:p w14:paraId="3D546D76" w14:textId="6F212BEF" w:rsidR="00F4284C" w:rsidRPr="000F3D59" w:rsidRDefault="00F4284C" w:rsidP="00F4284C">
      <w:pPr>
        <w:pStyle w:val="ListParagraph"/>
        <w:numPr>
          <w:ilvl w:val="3"/>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Relationship to Study Intervention …</w:t>
      </w:r>
      <w:r w:rsidR="00E97CBF" w:rsidRPr="000F3D59">
        <w:rPr>
          <w:rFonts w:ascii="Arial" w:hAnsi="Arial" w:cs="Arial"/>
          <w:color w:val="000000" w:themeColor="text1"/>
        </w:rPr>
        <w:t>……………………………………………………..</w:t>
      </w:r>
      <w:r w:rsidRPr="000F3D59">
        <w:rPr>
          <w:rFonts w:ascii="Arial" w:hAnsi="Arial" w:cs="Arial"/>
          <w:color w:val="000000" w:themeColor="text1"/>
        </w:rPr>
        <w:t>12</w:t>
      </w:r>
    </w:p>
    <w:p w14:paraId="6D48DEDF" w14:textId="5D7E8410" w:rsidR="00F4284C" w:rsidRPr="000F3D59" w:rsidRDefault="00F4284C" w:rsidP="00F4284C">
      <w:pPr>
        <w:pStyle w:val="ListParagraph"/>
        <w:numPr>
          <w:ilvl w:val="3"/>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Expectedness …</w:t>
      </w:r>
      <w:r w:rsidR="00E97CBF" w:rsidRPr="000F3D59">
        <w:rPr>
          <w:rFonts w:ascii="Arial" w:hAnsi="Arial" w:cs="Arial"/>
          <w:color w:val="000000" w:themeColor="text1"/>
        </w:rPr>
        <w:t>…………………………………………………………………………....</w:t>
      </w:r>
      <w:r w:rsidRPr="000F3D59">
        <w:rPr>
          <w:rFonts w:ascii="Arial" w:hAnsi="Arial" w:cs="Arial"/>
          <w:color w:val="000000" w:themeColor="text1"/>
        </w:rPr>
        <w:t>13</w:t>
      </w:r>
    </w:p>
    <w:p w14:paraId="5EE3251A" w14:textId="39DD1A18" w:rsidR="00F4284C" w:rsidRPr="000F3D59" w:rsidRDefault="00F4284C"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Time Period and Frequency for Event Assessment and Follow-Up …</w:t>
      </w:r>
      <w:r w:rsidR="00E97CBF" w:rsidRPr="000F3D59">
        <w:rPr>
          <w:rFonts w:ascii="Arial" w:hAnsi="Arial" w:cs="Arial"/>
          <w:color w:val="000000" w:themeColor="text1"/>
        </w:rPr>
        <w:t>…………………….</w:t>
      </w:r>
      <w:r w:rsidRPr="000F3D59">
        <w:rPr>
          <w:rFonts w:ascii="Arial" w:hAnsi="Arial" w:cs="Arial"/>
          <w:color w:val="000000" w:themeColor="text1"/>
        </w:rPr>
        <w:t>13</w:t>
      </w:r>
    </w:p>
    <w:p w14:paraId="29BF1148" w14:textId="67219345" w:rsidR="00E97CBF" w:rsidRPr="000F3D59" w:rsidRDefault="00E97CBF"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AE Reporting …………………………………………………………………………………….13</w:t>
      </w:r>
    </w:p>
    <w:p w14:paraId="24AB8DB0" w14:textId="271C6445" w:rsidR="00E97CBF" w:rsidRPr="000F3D59" w:rsidRDefault="00E97CBF"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SAE Reporting …………………………………………………………………………………..14</w:t>
      </w:r>
    </w:p>
    <w:p w14:paraId="0A8CEAF7" w14:textId="2959A94F" w:rsidR="00E97CBF" w:rsidRPr="000F3D59" w:rsidRDefault="00E97CBF"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Reporting Events to Participants ………………………………………………………………14</w:t>
      </w:r>
    </w:p>
    <w:p w14:paraId="599BD995" w14:textId="5F95C141" w:rsidR="00E97CBF" w:rsidRPr="000F3D59" w:rsidRDefault="00E97CBF"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Events of Special Interest (ESIs) ………………………………………………………………15</w:t>
      </w:r>
    </w:p>
    <w:p w14:paraId="26794DE7" w14:textId="16B7DEAD" w:rsidR="00E97CBF" w:rsidRPr="000F3D59" w:rsidRDefault="00E97CBF" w:rsidP="00F4284C">
      <w:pPr>
        <w:pStyle w:val="ListParagraph"/>
        <w:numPr>
          <w:ilvl w:val="2"/>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Reporting of Pregnancy ………………………………………………………………………...15</w:t>
      </w:r>
    </w:p>
    <w:p w14:paraId="68745C20" w14:textId="6B3BE3F4" w:rsidR="00E97CBF" w:rsidRPr="000F3D59" w:rsidRDefault="000976C3" w:rsidP="00C17056">
      <w:pPr>
        <w:pStyle w:val="ListParagraph"/>
        <w:numPr>
          <w:ilvl w:val="0"/>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Supporting Documentation and Operational Conditions …</w:t>
      </w:r>
      <w:r w:rsidR="00E97CBF" w:rsidRPr="000F3D59">
        <w:rPr>
          <w:rFonts w:ascii="Arial" w:hAnsi="Arial" w:cs="Arial"/>
          <w:color w:val="000000" w:themeColor="text1"/>
        </w:rPr>
        <w:t>………………………………………………..15</w:t>
      </w:r>
    </w:p>
    <w:p w14:paraId="5CBF168C" w14:textId="3FB9C18C" w:rsidR="00E97CBF" w:rsidRPr="000F3D59" w:rsidRDefault="00E97CBF" w:rsidP="00E97CBF">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Protocol Deviations ……………………………………………………………………………………….15</w:t>
      </w:r>
    </w:p>
    <w:p w14:paraId="469DB92F" w14:textId="02CB27D7" w:rsidR="00B22EC5" w:rsidRPr="000F3D59" w:rsidRDefault="00E97CBF" w:rsidP="00E97CBF">
      <w:pPr>
        <w:pStyle w:val="ListParagraph"/>
        <w:numPr>
          <w:ilvl w:val="1"/>
          <w:numId w:val="31"/>
        </w:numPr>
        <w:spacing w:before="0" w:after="0" w:line="240" w:lineRule="auto"/>
        <w:jc w:val="both"/>
        <w:rPr>
          <w:rFonts w:ascii="Arial" w:hAnsi="Arial" w:cs="Arial"/>
          <w:color w:val="000000" w:themeColor="text1"/>
        </w:rPr>
      </w:pPr>
      <w:r w:rsidRPr="000F3D59">
        <w:rPr>
          <w:rFonts w:ascii="Arial" w:hAnsi="Arial" w:cs="Arial"/>
          <w:color w:val="000000" w:themeColor="text1"/>
        </w:rPr>
        <w:t>Abbreviations …………………………………………………………………………………………….. 16</w:t>
      </w:r>
      <w:r w:rsidR="002C2041" w:rsidRPr="000F3D59">
        <w:rPr>
          <w:rFonts w:ascii="Arial" w:hAnsi="Arial" w:cs="Arial"/>
          <w:color w:val="000000" w:themeColor="text1"/>
        </w:rPr>
        <w:br w:type="page"/>
      </w:r>
    </w:p>
    <w:p w14:paraId="2BD60C94" w14:textId="77777777" w:rsidR="00B22EC5" w:rsidRPr="000F3D59" w:rsidRDefault="002C2041" w:rsidP="007D6FE8">
      <w:pPr>
        <w:spacing w:before="0" w:line="240" w:lineRule="auto"/>
        <w:jc w:val="both"/>
        <w:rPr>
          <w:rFonts w:ascii="Arial" w:eastAsia="Arial" w:hAnsi="Arial" w:cs="Arial"/>
          <w:color w:val="000000" w:themeColor="text1"/>
          <w:sz w:val="22"/>
          <w:szCs w:val="22"/>
        </w:rPr>
      </w:pPr>
      <w:r w:rsidRPr="000F3D59">
        <w:rPr>
          <w:rFonts w:ascii="Arial" w:eastAsia="Arial" w:hAnsi="Arial" w:cs="Arial"/>
          <w:b/>
          <w:bCs/>
          <w:color w:val="000000" w:themeColor="text1"/>
          <w:sz w:val="22"/>
          <w:szCs w:val="22"/>
        </w:rPr>
        <w:lastRenderedPageBreak/>
        <w:t>Statement of Compliance</w:t>
      </w:r>
    </w:p>
    <w:p w14:paraId="4DAD4EB3" w14:textId="39243509" w:rsidR="00B22EC5" w:rsidRPr="000F3D59" w:rsidRDefault="002C2041" w:rsidP="007D6FE8">
      <w:pPr>
        <w:spacing w:before="0" w:line="240" w:lineRule="auto"/>
        <w:jc w:val="both"/>
        <w:rPr>
          <w:rFonts w:ascii="Arial" w:eastAsia="Calibri" w:hAnsi="Arial" w:cs="Arial"/>
          <w:color w:val="000000" w:themeColor="text1"/>
        </w:rPr>
      </w:pPr>
      <w:r w:rsidRPr="000F3D59">
        <w:rPr>
          <w:rFonts w:ascii="Arial" w:eastAsia="Calibri" w:hAnsi="Arial" w:cs="Arial"/>
          <w:color w:val="000000" w:themeColor="text1"/>
        </w:rPr>
        <w:t>The trial will be conducted in accordance with International Conference on Harmonisation Good Clinical Practice (ICH GCP), applicable United States (US) Code of Federal Regulations (CFR), and the</w:t>
      </w:r>
      <w:r w:rsidR="00287359" w:rsidRPr="000F3D59">
        <w:rPr>
          <w:rFonts w:ascii="Arial" w:eastAsia="Calibri" w:hAnsi="Arial" w:cs="Arial"/>
          <w:color w:val="000000" w:themeColor="text1"/>
        </w:rPr>
        <w:t xml:space="preserve"> American Institute for Renal Therapeutics and Nephrology</w:t>
      </w:r>
      <w:r w:rsidRPr="000F3D59">
        <w:rPr>
          <w:rFonts w:ascii="Arial" w:eastAsia="Calibri" w:hAnsi="Arial" w:cs="Arial"/>
          <w:color w:val="000000" w:themeColor="text1"/>
        </w:rPr>
        <w:t xml:space="preserve"> </w:t>
      </w:r>
      <w:r w:rsidR="009C4BAE" w:rsidRPr="000F3D59">
        <w:rPr>
          <w:rFonts w:ascii="Arial" w:eastAsia="Calibri" w:hAnsi="Arial" w:cs="Arial"/>
          <w:color w:val="000000" w:themeColor="text1"/>
        </w:rPr>
        <w:t>(</w:t>
      </w:r>
      <w:r w:rsidR="00287359" w:rsidRPr="000F3D59">
        <w:rPr>
          <w:rFonts w:ascii="Arial" w:eastAsia="Calibri" w:hAnsi="Arial" w:cs="Arial"/>
          <w:color w:val="000000" w:themeColor="text1"/>
        </w:rPr>
        <w:t>AIRTN</w:t>
      </w:r>
      <w:r w:rsidR="009C4BAE" w:rsidRPr="000F3D59">
        <w:rPr>
          <w:rFonts w:ascii="Arial" w:eastAsia="Calibri" w:hAnsi="Arial" w:cs="Arial"/>
          <w:color w:val="000000" w:themeColor="text1"/>
        </w:rPr>
        <w:t>)*</w:t>
      </w:r>
      <w:r w:rsidRPr="000F3D59">
        <w:rPr>
          <w:rFonts w:ascii="Arial" w:eastAsia="Calibri" w:hAnsi="Arial" w:cs="Arial"/>
          <w:color w:val="000000" w:themeColor="text1"/>
        </w:rPr>
        <w:t xml:space="preserve"> Terms and Conditions of Award. The Principal Investigator will assure that no deviation from, or changes to the protocol will take place without prior agreement from the Investigational New Drug (IND) sponsor, funding agency and documented approval from the Institutional Review Board (IRB), except where necessary to eliminate an immediate hazard(s) to the trial participants. All personnel involved in the conduct of this study have completed Human Subjects Protection and ICH GCP Training.</w:t>
      </w:r>
    </w:p>
    <w:p w14:paraId="1A55D607" w14:textId="225C01FF" w:rsidR="008543CE" w:rsidRPr="000F3D59" w:rsidRDefault="002C2041" w:rsidP="007D6FE8">
      <w:pPr>
        <w:spacing w:before="0" w:after="0" w:line="240" w:lineRule="auto"/>
        <w:jc w:val="both"/>
        <w:rPr>
          <w:rFonts w:ascii="Arial" w:eastAsia="Calibri" w:hAnsi="Arial" w:cs="Arial"/>
          <w:color w:val="000000" w:themeColor="text1"/>
        </w:rPr>
      </w:pPr>
      <w:r w:rsidRPr="000F3D59">
        <w:rPr>
          <w:rFonts w:ascii="Arial" w:eastAsia="Calibri" w:hAnsi="Arial" w:cs="Arial"/>
          <w:color w:val="000000" w:themeColor="text1"/>
        </w:rPr>
        <w:t>The protocol, informed consent form(s), recruitment materials, and all participant materials will be submitted to the IRB for review and approval.  Approval of both the protocol and the consent form must be obtained before any participant is enrolled.  Any amendment to the protocol will require review and approval by the IRB before the changes are implemented to the study.  All changes to the consent form will be IRB approved; a determination will be made regarding whether a new consent needs to be obtained from participants who provided consent, using a previously approved consent form.</w:t>
      </w:r>
    </w:p>
    <w:p w14:paraId="3EC55623" w14:textId="33864B47" w:rsidR="009C4BAE" w:rsidRPr="000F3D59" w:rsidRDefault="009C4BAE" w:rsidP="007D6FE8">
      <w:pPr>
        <w:spacing w:before="0" w:after="0" w:line="240" w:lineRule="auto"/>
        <w:jc w:val="both"/>
        <w:rPr>
          <w:rFonts w:ascii="Arial" w:eastAsia="Calibri" w:hAnsi="Arial" w:cs="Arial"/>
          <w:color w:val="000000" w:themeColor="text1"/>
        </w:rPr>
      </w:pPr>
    </w:p>
    <w:p w14:paraId="4202BAC2" w14:textId="7BC3B243" w:rsidR="009C4BAE" w:rsidRPr="000F3D59" w:rsidRDefault="009C4BAE" w:rsidP="007D6FE8">
      <w:pPr>
        <w:spacing w:before="0" w:after="0" w:line="240" w:lineRule="auto"/>
        <w:jc w:val="both"/>
        <w:rPr>
          <w:rFonts w:ascii="Arial" w:hAnsi="Arial" w:cs="Arial"/>
          <w:color w:val="000000" w:themeColor="text1"/>
          <w:sz w:val="16"/>
          <w:szCs w:val="16"/>
        </w:rPr>
      </w:pPr>
      <w:r w:rsidRPr="000F3D59">
        <w:rPr>
          <w:rFonts w:ascii="Arial" w:hAnsi="Arial" w:cs="Arial"/>
          <w:color w:val="000000" w:themeColor="text1"/>
          <w:sz w:val="16"/>
          <w:szCs w:val="16"/>
        </w:rPr>
        <w:t xml:space="preserve">* This is a protocol for an artificial clinical trial meant only for demonstrative purposes – as such, it is entirely fictional does not represent any actual </w:t>
      </w:r>
      <w:r w:rsidR="00EF72E0" w:rsidRPr="000F3D59">
        <w:rPr>
          <w:rFonts w:ascii="Arial" w:hAnsi="Arial" w:cs="Arial"/>
          <w:color w:val="000000" w:themeColor="text1"/>
          <w:sz w:val="16"/>
          <w:szCs w:val="16"/>
        </w:rPr>
        <w:t>institution-</w:t>
      </w:r>
      <w:r w:rsidRPr="000F3D59">
        <w:rPr>
          <w:rFonts w:ascii="Arial" w:hAnsi="Arial" w:cs="Arial"/>
          <w:color w:val="000000" w:themeColor="text1"/>
          <w:sz w:val="16"/>
          <w:szCs w:val="16"/>
        </w:rPr>
        <w:t>funded study</w:t>
      </w:r>
    </w:p>
    <w:p w14:paraId="607767D7" w14:textId="77777777" w:rsidR="008543CE" w:rsidRPr="000F3D59" w:rsidRDefault="008543CE" w:rsidP="007D6FE8">
      <w:pPr>
        <w:spacing w:line="240" w:lineRule="auto"/>
        <w:rPr>
          <w:rFonts w:ascii="Arial" w:hAnsi="Arial" w:cs="Arial"/>
          <w:color w:val="000000" w:themeColor="text1"/>
        </w:rPr>
      </w:pPr>
      <w:r w:rsidRPr="000F3D59">
        <w:rPr>
          <w:rFonts w:ascii="Arial" w:hAnsi="Arial" w:cs="Arial"/>
          <w:color w:val="000000" w:themeColor="text1"/>
        </w:rPr>
        <w:br w:type="page"/>
      </w:r>
    </w:p>
    <w:p w14:paraId="19EF19D7" w14:textId="77777777" w:rsidR="008543CE" w:rsidRPr="000F3D59" w:rsidRDefault="008543CE" w:rsidP="007D6FE8">
      <w:pPr>
        <w:pStyle w:val="ListParagraph"/>
        <w:numPr>
          <w:ilvl w:val="0"/>
          <w:numId w:val="2"/>
        </w:numPr>
        <w:spacing w:before="0" w:after="0" w:line="240" w:lineRule="auto"/>
        <w:jc w:val="both"/>
        <w:rPr>
          <w:rFonts w:ascii="Arial" w:eastAsia="Calibri" w:hAnsi="Arial" w:cs="Arial"/>
          <w:b/>
          <w:bCs/>
          <w:color w:val="000000" w:themeColor="text1"/>
          <w:sz w:val="22"/>
          <w:szCs w:val="22"/>
        </w:rPr>
      </w:pPr>
      <w:r w:rsidRPr="000F3D59">
        <w:rPr>
          <w:rFonts w:ascii="Arial" w:eastAsia="Calibri" w:hAnsi="Arial" w:cs="Arial"/>
          <w:b/>
          <w:bCs/>
          <w:color w:val="000000" w:themeColor="text1"/>
          <w:sz w:val="22"/>
          <w:szCs w:val="22"/>
        </w:rPr>
        <w:lastRenderedPageBreak/>
        <w:t>Protocol Summary</w:t>
      </w:r>
    </w:p>
    <w:p w14:paraId="2448F6AA" w14:textId="24DD27E8" w:rsidR="008543CE"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Synopsis</w:t>
      </w:r>
    </w:p>
    <w:tbl>
      <w:tblPr>
        <w:tblStyle w:val="TableGrid"/>
        <w:tblW w:w="0" w:type="auto"/>
        <w:tblInd w:w="792" w:type="dxa"/>
        <w:tblLook w:val="04A0" w:firstRow="1" w:lastRow="0" w:firstColumn="1" w:lastColumn="0" w:noHBand="0" w:noVBand="1"/>
      </w:tblPr>
      <w:tblGrid>
        <w:gridCol w:w="1993"/>
        <w:gridCol w:w="6565"/>
      </w:tblGrid>
      <w:tr w:rsidR="000A6C59" w:rsidRPr="000F3D59" w14:paraId="547A31C6" w14:textId="77777777" w:rsidTr="00EF3BE2">
        <w:tc>
          <w:tcPr>
            <w:tcW w:w="1993" w:type="dxa"/>
          </w:tcPr>
          <w:p w14:paraId="6F3954FC" w14:textId="3D921F95"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Title</w:t>
            </w:r>
          </w:p>
        </w:tc>
        <w:tc>
          <w:tcPr>
            <w:tcW w:w="6565" w:type="dxa"/>
          </w:tcPr>
          <w:p w14:paraId="057E2C67" w14:textId="635DDE78" w:rsidR="00EF3BE2" w:rsidRPr="000F3D59" w:rsidRDefault="00EF3BE2" w:rsidP="007D6FE8">
            <w:pPr>
              <w:pStyle w:val="ListParagraph"/>
              <w:ind w:left="0"/>
              <w:jc w:val="both"/>
              <w:rPr>
                <w:rFonts w:ascii="Arial" w:eastAsia="Calibri" w:hAnsi="Arial" w:cs="Arial"/>
                <w:color w:val="000000" w:themeColor="text1"/>
                <w:sz w:val="18"/>
                <w:szCs w:val="18"/>
              </w:rPr>
            </w:pPr>
            <w:r w:rsidRPr="000F3D59">
              <w:rPr>
                <w:rFonts w:ascii="Arial" w:eastAsia="Arial" w:hAnsi="Arial" w:cs="Arial"/>
                <w:color w:val="000000" w:themeColor="text1"/>
                <w:sz w:val="18"/>
                <w:szCs w:val="18"/>
              </w:rPr>
              <w:t>Long-term Outcomes and Response Assessment of a Novel Agent (LORNA) Trial</w:t>
            </w:r>
          </w:p>
        </w:tc>
      </w:tr>
      <w:tr w:rsidR="000A6C59" w:rsidRPr="000F3D59" w14:paraId="3AF23C3C" w14:textId="77777777" w:rsidTr="00EF3BE2">
        <w:tc>
          <w:tcPr>
            <w:tcW w:w="1993" w:type="dxa"/>
          </w:tcPr>
          <w:p w14:paraId="094F66C3" w14:textId="1B971667"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Study Description</w:t>
            </w:r>
          </w:p>
        </w:tc>
        <w:tc>
          <w:tcPr>
            <w:tcW w:w="6565" w:type="dxa"/>
          </w:tcPr>
          <w:p w14:paraId="4626009C" w14:textId="5D666F28" w:rsidR="00EF3BE2" w:rsidRPr="000F3D59" w:rsidRDefault="009C4BA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This study is designed to evaluate the safety and effectiveness of two investigational treatments, Drug A and Drug B, in adults with chronic </w:t>
            </w:r>
            <w:r w:rsidR="00D25324" w:rsidRPr="000F3D59">
              <w:rPr>
                <w:rFonts w:ascii="Arial" w:hAnsi="Arial" w:cs="Arial"/>
                <w:color w:val="000000" w:themeColor="text1"/>
                <w:sz w:val="18"/>
                <w:szCs w:val="18"/>
              </w:rPr>
              <w:t>liver</w:t>
            </w:r>
            <w:r w:rsidRPr="000F3D59">
              <w:rPr>
                <w:rFonts w:ascii="Arial" w:hAnsi="Arial" w:cs="Arial"/>
                <w:color w:val="000000" w:themeColor="text1"/>
                <w:sz w:val="18"/>
                <w:szCs w:val="18"/>
              </w:rPr>
              <w:t xml:space="preserve"> disease</w:t>
            </w:r>
            <w:r w:rsidR="00D74C28">
              <w:rPr>
                <w:rFonts w:ascii="Arial" w:hAnsi="Arial" w:cs="Arial"/>
                <w:color w:val="000000" w:themeColor="text1"/>
                <w:sz w:val="18"/>
                <w:szCs w:val="18"/>
              </w:rPr>
              <w:t xml:space="preserve"> (CLD)</w:t>
            </w:r>
            <w:r w:rsidRPr="000F3D59">
              <w:rPr>
                <w:rFonts w:ascii="Arial" w:hAnsi="Arial" w:cs="Arial"/>
                <w:color w:val="000000" w:themeColor="text1"/>
                <w:sz w:val="18"/>
                <w:szCs w:val="18"/>
              </w:rPr>
              <w:t>. The study aims to determine whether either treatment improves biomarkers associated with liver function and systemic inflammation, including alanine aminotransferase (ALT), aspartate aminotransferase (AST), and C-reactive protein (CRP). Participants will be assigned to receive either Drug A or Drug B, and laboratory assessments will be performed throughout the study to evaluate treatment-related changes. The hypothesis is that both treatments will improve these biomarkers, with differences in the magnitude of response between the two treatment groups.</w:t>
            </w:r>
          </w:p>
        </w:tc>
      </w:tr>
      <w:tr w:rsidR="000A6C59" w:rsidRPr="000F3D59" w14:paraId="2438710D" w14:textId="77777777" w:rsidTr="00EF3BE2">
        <w:tc>
          <w:tcPr>
            <w:tcW w:w="1993" w:type="dxa"/>
          </w:tcPr>
          <w:p w14:paraId="394CD498" w14:textId="46E3A0C4"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Objectives</w:t>
            </w:r>
          </w:p>
        </w:tc>
        <w:tc>
          <w:tcPr>
            <w:tcW w:w="6565" w:type="dxa"/>
          </w:tcPr>
          <w:p w14:paraId="3B4CC896" w14:textId="7BE5DC0A" w:rsidR="00EF3BE2" w:rsidRPr="000F3D59" w:rsidRDefault="009C4BAE"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Primary Objectives:</w:t>
            </w:r>
          </w:p>
          <w:p w14:paraId="1D8C115F" w14:textId="25A2DB0F" w:rsidR="009C4BAE" w:rsidRPr="000F3D59" w:rsidRDefault="009C4BAE" w:rsidP="007D6FE8">
            <w:pPr>
              <w:pStyle w:val="ListParagraph"/>
              <w:numPr>
                <w:ilvl w:val="0"/>
                <w:numId w:val="9"/>
              </w:numPr>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To compare the effects of Drug A and Drug B on liver function and systemic inflammation in adults with </w:t>
            </w:r>
            <w:r w:rsidR="00D74C28">
              <w:rPr>
                <w:rFonts w:ascii="Arial" w:hAnsi="Arial" w:cs="Arial"/>
                <w:color w:val="000000" w:themeColor="text1"/>
                <w:sz w:val="18"/>
                <w:szCs w:val="18"/>
              </w:rPr>
              <w:t>CLD</w:t>
            </w:r>
            <w:r w:rsidRPr="000F3D59">
              <w:rPr>
                <w:rFonts w:ascii="Arial" w:hAnsi="Arial" w:cs="Arial"/>
                <w:color w:val="000000" w:themeColor="text1"/>
                <w:sz w:val="18"/>
                <w:szCs w:val="18"/>
              </w:rPr>
              <w:t xml:space="preserve"> by evaluating changes in ALT, AST, and CRP.</w:t>
            </w:r>
          </w:p>
          <w:p w14:paraId="12E17DA4" w14:textId="338755A1" w:rsidR="009C4BAE" w:rsidRPr="000F3D59" w:rsidRDefault="009C4BAE"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Secondary Objectives:</w:t>
            </w:r>
          </w:p>
          <w:p w14:paraId="51EA9C7C" w14:textId="77777777" w:rsidR="009C4BAE" w:rsidRPr="000F3D59" w:rsidRDefault="009C4BAE" w:rsidP="007D6FE8">
            <w:pPr>
              <w:pStyle w:val="ListParagraph"/>
              <w:numPr>
                <w:ilvl w:val="0"/>
                <w:numId w:val="9"/>
              </w:numPr>
              <w:jc w:val="both"/>
              <w:rPr>
                <w:rFonts w:ascii="Arial" w:eastAsia="Calibri" w:hAnsi="Arial" w:cs="Arial"/>
                <w:color w:val="000000" w:themeColor="text1"/>
                <w:sz w:val="18"/>
                <w:szCs w:val="18"/>
              </w:rPr>
            </w:pPr>
            <w:r w:rsidRPr="000F3D59">
              <w:rPr>
                <w:rFonts w:ascii="Arial" w:eastAsia="Times New Roman" w:hAnsi="Arial" w:cs="Arial"/>
                <w:color w:val="000000" w:themeColor="text1"/>
                <w:sz w:val="18"/>
                <w:szCs w:val="18"/>
                <w:lang w:val="en-US"/>
              </w:rPr>
              <w:t xml:space="preserve">To evaluate the safety and tolerability of Drug A and Drug B throughout the treatment period. </w:t>
            </w:r>
          </w:p>
          <w:p w14:paraId="2ABEBADA" w14:textId="50D9E31C" w:rsidR="009C4BAE" w:rsidRPr="000F3D59" w:rsidRDefault="009C4BAE" w:rsidP="007D6FE8">
            <w:pPr>
              <w:pStyle w:val="ListParagraph"/>
              <w:numPr>
                <w:ilvl w:val="0"/>
                <w:numId w:val="9"/>
              </w:numPr>
              <w:jc w:val="both"/>
              <w:rPr>
                <w:rFonts w:ascii="Arial" w:eastAsia="Calibri" w:hAnsi="Arial" w:cs="Arial"/>
                <w:color w:val="000000" w:themeColor="text1"/>
                <w:sz w:val="18"/>
                <w:szCs w:val="18"/>
              </w:rPr>
            </w:pPr>
            <w:r w:rsidRPr="000F3D59">
              <w:rPr>
                <w:rFonts w:ascii="Arial" w:eastAsia="Times New Roman" w:hAnsi="Arial" w:cs="Arial"/>
                <w:color w:val="000000" w:themeColor="text1"/>
                <w:sz w:val="18"/>
                <w:szCs w:val="18"/>
                <w:lang w:val="en-US"/>
              </w:rPr>
              <w:t xml:space="preserve">To compare the magnitude and time course of changes in ALT, AST, and CRP between the two treatment groups. </w:t>
            </w:r>
          </w:p>
          <w:p w14:paraId="5384AEF3" w14:textId="38E7DA19" w:rsidR="009C4BAE" w:rsidRPr="000F3D59" w:rsidRDefault="009C4BAE" w:rsidP="007D6FE8">
            <w:pPr>
              <w:pStyle w:val="ListParagraph"/>
              <w:numPr>
                <w:ilvl w:val="0"/>
                <w:numId w:val="9"/>
              </w:numPr>
              <w:jc w:val="both"/>
              <w:rPr>
                <w:rFonts w:ascii="Arial" w:eastAsia="Calibri" w:hAnsi="Arial" w:cs="Arial"/>
                <w:color w:val="000000" w:themeColor="text1"/>
                <w:sz w:val="18"/>
                <w:szCs w:val="18"/>
              </w:rPr>
            </w:pPr>
            <w:r w:rsidRPr="000F3D59">
              <w:rPr>
                <w:rFonts w:ascii="Arial" w:eastAsia="Times New Roman" w:hAnsi="Arial" w:cs="Arial"/>
                <w:color w:val="000000" w:themeColor="text1"/>
                <w:sz w:val="18"/>
                <w:szCs w:val="18"/>
                <w:lang w:val="en-US"/>
              </w:rPr>
              <w:t>To assess the proportion of participants achieving clinically meaningful improvements in laboratory biomarkers.</w:t>
            </w:r>
          </w:p>
        </w:tc>
      </w:tr>
      <w:tr w:rsidR="000A6C59" w:rsidRPr="000F3D59" w14:paraId="6F3B45C9" w14:textId="77777777" w:rsidTr="00EF3BE2">
        <w:tc>
          <w:tcPr>
            <w:tcW w:w="1993" w:type="dxa"/>
          </w:tcPr>
          <w:p w14:paraId="0C022CBD" w14:textId="4ABF9894"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Endpoints</w:t>
            </w:r>
          </w:p>
        </w:tc>
        <w:tc>
          <w:tcPr>
            <w:tcW w:w="6565" w:type="dxa"/>
          </w:tcPr>
          <w:p w14:paraId="70C1532A" w14:textId="77777777" w:rsidR="009C4BAE" w:rsidRPr="000F3D59" w:rsidRDefault="009C4BAE"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Primary Endpoint:</w:t>
            </w:r>
          </w:p>
          <w:p w14:paraId="3F0B92A9" w14:textId="4280D0B2" w:rsidR="009C4BAE" w:rsidRPr="000F3D59" w:rsidRDefault="009C4BAE" w:rsidP="002B3729">
            <w:pPr>
              <w:jc w:val="both"/>
              <w:rPr>
                <w:rFonts w:ascii="Arial" w:eastAsia="Times New Roman" w:hAnsi="Arial" w:cs="Arial"/>
                <w:color w:val="000000" w:themeColor="text1"/>
                <w:sz w:val="18"/>
                <w:szCs w:val="18"/>
                <w:lang w:val="en-US"/>
              </w:rPr>
            </w:pPr>
            <w:r w:rsidRPr="000F3D59">
              <w:rPr>
                <w:rFonts w:ascii="Arial" w:eastAsia="Times New Roman" w:hAnsi="Arial" w:cs="Arial"/>
                <w:color w:val="000000" w:themeColor="text1"/>
                <w:sz w:val="18"/>
                <w:szCs w:val="18"/>
                <w:lang w:val="en-US"/>
              </w:rPr>
              <w:t>Change from baseline to the end of the treatment period in</w:t>
            </w:r>
            <w:r w:rsidR="002B3729" w:rsidRPr="000F3D59">
              <w:rPr>
                <w:rFonts w:ascii="Arial" w:eastAsia="Times New Roman" w:hAnsi="Arial" w:cs="Arial"/>
                <w:color w:val="000000" w:themeColor="text1"/>
                <w:sz w:val="18"/>
                <w:szCs w:val="18"/>
                <w:lang w:val="en-US"/>
              </w:rPr>
              <w:t xml:space="preserve"> ALT, AST, and CRP.</w:t>
            </w:r>
          </w:p>
          <w:p w14:paraId="7BB3F9BF" w14:textId="77777777" w:rsidR="009C4BAE" w:rsidRPr="000F3D59" w:rsidRDefault="009C4BAE"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Secondary Endpoints:</w:t>
            </w:r>
          </w:p>
          <w:p w14:paraId="2ECA9BBB" w14:textId="77777777" w:rsidR="009C4BAE" w:rsidRPr="000F3D59" w:rsidRDefault="009C4BAE" w:rsidP="007D6FE8">
            <w:pPr>
              <w:pStyle w:val="ListParagraph"/>
              <w:numPr>
                <w:ilvl w:val="0"/>
                <w:numId w:val="9"/>
              </w:numPr>
              <w:jc w:val="both"/>
              <w:rPr>
                <w:rFonts w:ascii="Arial" w:eastAsia="Times New Roman" w:hAnsi="Arial" w:cs="Arial"/>
                <w:color w:val="000000" w:themeColor="text1"/>
                <w:sz w:val="18"/>
                <w:szCs w:val="18"/>
                <w:lang w:val="en-US"/>
              </w:rPr>
            </w:pPr>
            <w:r w:rsidRPr="000F3D59">
              <w:rPr>
                <w:rFonts w:ascii="Arial" w:eastAsia="Times New Roman" w:hAnsi="Arial" w:cs="Arial"/>
                <w:color w:val="000000" w:themeColor="text1"/>
                <w:sz w:val="18"/>
                <w:szCs w:val="18"/>
                <w:lang w:val="en-US"/>
              </w:rPr>
              <w:t>Incidence and severity of treatment-emergent adverse events.</w:t>
            </w:r>
          </w:p>
          <w:p w14:paraId="0DF83F03" w14:textId="77777777" w:rsidR="009C4BAE" w:rsidRPr="000F3D59" w:rsidRDefault="009C4BAE" w:rsidP="007D6FE8">
            <w:pPr>
              <w:pStyle w:val="ListParagraph"/>
              <w:numPr>
                <w:ilvl w:val="0"/>
                <w:numId w:val="9"/>
              </w:numPr>
              <w:jc w:val="both"/>
              <w:rPr>
                <w:rFonts w:ascii="Arial" w:eastAsia="Times New Roman" w:hAnsi="Arial" w:cs="Arial"/>
                <w:color w:val="000000" w:themeColor="text1"/>
                <w:sz w:val="18"/>
                <w:szCs w:val="18"/>
                <w:lang w:val="en-US"/>
              </w:rPr>
            </w:pPr>
            <w:r w:rsidRPr="000F3D59">
              <w:rPr>
                <w:rFonts w:ascii="Arial" w:eastAsia="Times New Roman" w:hAnsi="Arial" w:cs="Arial"/>
                <w:color w:val="000000" w:themeColor="text1"/>
                <w:sz w:val="18"/>
                <w:szCs w:val="18"/>
                <w:lang w:val="en-US"/>
              </w:rPr>
              <w:t>Mean change from baseline in ALT, AST, and CRP at each scheduled study visit.</w:t>
            </w:r>
          </w:p>
          <w:p w14:paraId="4A7B1757" w14:textId="6771A5F3" w:rsidR="009C4BAE" w:rsidRPr="000F3D59" w:rsidRDefault="009C4BAE" w:rsidP="007D6FE8">
            <w:pPr>
              <w:pStyle w:val="ListParagraph"/>
              <w:numPr>
                <w:ilvl w:val="0"/>
                <w:numId w:val="9"/>
              </w:numPr>
              <w:jc w:val="both"/>
              <w:rPr>
                <w:rFonts w:ascii="Times New Roman" w:eastAsia="Times New Roman" w:hAnsi="Times New Roman" w:cs="Times New Roman"/>
                <w:color w:val="000000" w:themeColor="text1"/>
                <w:sz w:val="18"/>
                <w:szCs w:val="18"/>
                <w:lang w:val="en-US"/>
              </w:rPr>
            </w:pPr>
            <w:r w:rsidRPr="000F3D59">
              <w:rPr>
                <w:rFonts w:ascii="Arial" w:eastAsia="Times New Roman" w:hAnsi="Arial" w:cs="Arial"/>
                <w:color w:val="000000" w:themeColor="text1"/>
                <w:sz w:val="18"/>
                <w:szCs w:val="18"/>
                <w:lang w:val="en-US"/>
              </w:rPr>
              <w:t>Proportion of participants achieving a predefined improvement in ALT, AST, and CRP from baseline.</w:t>
            </w:r>
          </w:p>
        </w:tc>
      </w:tr>
      <w:tr w:rsidR="000A6C59" w:rsidRPr="000F3D59" w14:paraId="20F695BF" w14:textId="77777777" w:rsidTr="00EF3BE2">
        <w:tc>
          <w:tcPr>
            <w:tcW w:w="1993" w:type="dxa"/>
          </w:tcPr>
          <w:p w14:paraId="16F7E6B9" w14:textId="21A71DA4"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Study Population</w:t>
            </w:r>
          </w:p>
        </w:tc>
        <w:tc>
          <w:tcPr>
            <w:tcW w:w="6565" w:type="dxa"/>
          </w:tcPr>
          <w:p w14:paraId="3F5AFF07" w14:textId="28436F68" w:rsidR="00EF3BE2" w:rsidRPr="000F3D59" w:rsidRDefault="009C4BA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The study population consists of approximately 300 adult participants, 18 to 85 years of age, with </w:t>
            </w:r>
            <w:r w:rsidR="00D74C28">
              <w:rPr>
                <w:rFonts w:ascii="Arial" w:hAnsi="Arial" w:cs="Arial"/>
                <w:color w:val="000000" w:themeColor="text1"/>
                <w:sz w:val="18"/>
                <w:szCs w:val="18"/>
              </w:rPr>
              <w:t>CLD</w:t>
            </w:r>
            <w:r w:rsidRPr="000F3D59">
              <w:rPr>
                <w:rFonts w:ascii="Arial" w:hAnsi="Arial" w:cs="Arial"/>
                <w:color w:val="000000" w:themeColor="text1"/>
                <w:sz w:val="18"/>
                <w:szCs w:val="18"/>
              </w:rPr>
              <w:t xml:space="preserve">. Participants may have a medical history of common comorbid conditions, including hypertension, type 2 diabetes, hyperlipidemia, and prior stroke. Eligible participants who meet all inclusion and </w:t>
            </w:r>
            <w:r w:rsidR="00D25324" w:rsidRPr="000F3D59">
              <w:rPr>
                <w:rFonts w:ascii="Arial" w:hAnsi="Arial" w:cs="Arial"/>
                <w:color w:val="000000" w:themeColor="text1"/>
                <w:sz w:val="18"/>
                <w:szCs w:val="18"/>
              </w:rPr>
              <w:t xml:space="preserve">none of the </w:t>
            </w:r>
            <w:r w:rsidRPr="000F3D59">
              <w:rPr>
                <w:rFonts w:ascii="Arial" w:hAnsi="Arial" w:cs="Arial"/>
                <w:color w:val="000000" w:themeColor="text1"/>
                <w:sz w:val="18"/>
                <w:szCs w:val="18"/>
              </w:rPr>
              <w:t>exclusion criteria will be enrolled and randomized to receive Drug A</w:t>
            </w:r>
            <w:r w:rsidR="004E6530" w:rsidRPr="000F3D59">
              <w:rPr>
                <w:rFonts w:ascii="Arial" w:hAnsi="Arial" w:cs="Arial"/>
                <w:color w:val="000000" w:themeColor="text1"/>
                <w:sz w:val="18"/>
                <w:szCs w:val="18"/>
              </w:rPr>
              <w:t>,</w:t>
            </w:r>
            <w:r w:rsidRPr="000F3D59">
              <w:rPr>
                <w:rFonts w:ascii="Arial" w:hAnsi="Arial" w:cs="Arial"/>
                <w:color w:val="000000" w:themeColor="text1"/>
                <w:sz w:val="18"/>
                <w:szCs w:val="18"/>
              </w:rPr>
              <w:t xml:space="preserve"> Drug B</w:t>
            </w:r>
            <w:r w:rsidR="004E6530" w:rsidRPr="000F3D59">
              <w:rPr>
                <w:rFonts w:ascii="Arial" w:hAnsi="Arial" w:cs="Arial"/>
                <w:color w:val="000000" w:themeColor="text1"/>
                <w:sz w:val="18"/>
                <w:szCs w:val="18"/>
              </w:rPr>
              <w:t>, or a matching placebo.</w:t>
            </w:r>
          </w:p>
        </w:tc>
      </w:tr>
      <w:tr w:rsidR="000A6C59" w:rsidRPr="000F3D59" w14:paraId="1023DA35" w14:textId="77777777" w:rsidTr="00EF3BE2">
        <w:tc>
          <w:tcPr>
            <w:tcW w:w="1993" w:type="dxa"/>
          </w:tcPr>
          <w:p w14:paraId="72E98274" w14:textId="0EB808DD"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Phase</w:t>
            </w:r>
          </w:p>
        </w:tc>
        <w:tc>
          <w:tcPr>
            <w:tcW w:w="6565" w:type="dxa"/>
          </w:tcPr>
          <w:p w14:paraId="033E8292" w14:textId="3DB606E7" w:rsidR="00EF3BE2" w:rsidRPr="000F3D59" w:rsidRDefault="00EF3BE2"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II</w:t>
            </w:r>
          </w:p>
        </w:tc>
      </w:tr>
      <w:tr w:rsidR="000A6C59" w:rsidRPr="000F3D59" w14:paraId="140CF364" w14:textId="77777777" w:rsidTr="00EF3BE2">
        <w:tc>
          <w:tcPr>
            <w:tcW w:w="1993" w:type="dxa"/>
          </w:tcPr>
          <w:p w14:paraId="7377E735" w14:textId="33AF5F77"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Description of Sites/Facilities Enrolling Participants</w:t>
            </w:r>
          </w:p>
        </w:tc>
        <w:tc>
          <w:tcPr>
            <w:tcW w:w="6565" w:type="dxa"/>
          </w:tcPr>
          <w:p w14:paraId="59EDD4E3" w14:textId="08A4B544" w:rsidR="00EF3BE2" w:rsidRPr="000F3D59" w:rsidRDefault="00FD2E3A"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4 </w:t>
            </w:r>
            <w:r w:rsidR="00287359" w:rsidRPr="000F3D59">
              <w:rPr>
                <w:rFonts w:ascii="Arial" w:hAnsi="Arial" w:cs="Arial"/>
                <w:color w:val="000000" w:themeColor="text1"/>
                <w:sz w:val="18"/>
                <w:szCs w:val="18"/>
              </w:rPr>
              <w:t xml:space="preserve">outpatient clinical research centers and academic medical institutions in the United States will participate in this multicenter study. Each site will enroll eligible participants, perform study assessments, and conduct follow-up visits in accordance with the study protocol and </w:t>
            </w:r>
            <w:r w:rsidR="002B3729" w:rsidRPr="000F3D59">
              <w:rPr>
                <w:rFonts w:ascii="Arial" w:hAnsi="Arial" w:cs="Arial"/>
                <w:color w:val="000000" w:themeColor="text1"/>
                <w:sz w:val="18"/>
                <w:szCs w:val="18"/>
              </w:rPr>
              <w:t xml:space="preserve">ICH </w:t>
            </w:r>
            <w:r w:rsidR="00287359" w:rsidRPr="000F3D59">
              <w:rPr>
                <w:rFonts w:ascii="Arial" w:hAnsi="Arial" w:cs="Arial"/>
                <w:color w:val="000000" w:themeColor="text1"/>
                <w:sz w:val="18"/>
                <w:szCs w:val="18"/>
              </w:rPr>
              <w:t>GCP guidelines.</w:t>
            </w:r>
          </w:p>
        </w:tc>
      </w:tr>
      <w:tr w:rsidR="000A6C59" w:rsidRPr="000F3D59" w14:paraId="1AB4BA2D" w14:textId="77777777" w:rsidTr="00EF3BE2">
        <w:tc>
          <w:tcPr>
            <w:tcW w:w="1993" w:type="dxa"/>
          </w:tcPr>
          <w:p w14:paraId="1E4410ED" w14:textId="282DFA90" w:rsidR="00EF3BE2" w:rsidRPr="000F3D59" w:rsidRDefault="00EF3BE2" w:rsidP="007D6FE8">
            <w:pPr>
              <w:pStyle w:val="ListParagraph"/>
              <w:ind w:left="0"/>
              <w:jc w:val="both"/>
              <w:rPr>
                <w:rFonts w:ascii="Arial" w:eastAsia="Calibri" w:hAnsi="Arial" w:cs="Arial"/>
                <w:b/>
                <w:bCs/>
                <w:color w:val="000000" w:themeColor="text1"/>
                <w:sz w:val="18"/>
                <w:szCs w:val="18"/>
                <w:highlight w:val="yellow"/>
              </w:rPr>
            </w:pPr>
            <w:r w:rsidRPr="000F3D59">
              <w:rPr>
                <w:rFonts w:ascii="Arial" w:eastAsia="Calibri" w:hAnsi="Arial" w:cs="Arial"/>
                <w:b/>
                <w:bCs/>
                <w:color w:val="000000" w:themeColor="text1"/>
                <w:sz w:val="18"/>
                <w:szCs w:val="18"/>
              </w:rPr>
              <w:t>Description of Study Intervention</w:t>
            </w:r>
          </w:p>
        </w:tc>
        <w:tc>
          <w:tcPr>
            <w:tcW w:w="6565" w:type="dxa"/>
          </w:tcPr>
          <w:p w14:paraId="344A1FDA" w14:textId="7E375608" w:rsidR="00EF3BE2" w:rsidRPr="000F3D59" w:rsidRDefault="00287359"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Participants will be randomized in an approximately 1:1:1 ratio to receive Drug A, Drug B, or </w:t>
            </w:r>
            <w:r w:rsidR="00EF6371" w:rsidRPr="000F3D59">
              <w:rPr>
                <w:rFonts w:ascii="Arial" w:hAnsi="Arial" w:cs="Arial"/>
                <w:color w:val="000000" w:themeColor="text1"/>
                <w:sz w:val="18"/>
                <w:szCs w:val="18"/>
              </w:rPr>
              <w:t xml:space="preserve">a matching </w:t>
            </w:r>
            <w:r w:rsidRPr="000F3D59">
              <w:rPr>
                <w:rFonts w:ascii="Arial" w:hAnsi="Arial" w:cs="Arial"/>
                <w:color w:val="000000" w:themeColor="text1"/>
                <w:sz w:val="18"/>
                <w:szCs w:val="18"/>
              </w:rPr>
              <w:t>placebo in a double-blind, placebo-controlled study. Study treatment will be administered according to the protocol-defined dosing regimen throughout the treatment period. Neither participants nor study personnel involved in study conduct and assessment will be aware of treatment assignment. Laboratory assessments, including ALT, AST, CRP, and hemoglobin (HGB), will be performed at scheduled study visits to evaluate treatment effects and monitor participant safety. Additional safety evaluations, including adverse event monitoring, physical examinations, and routine clinical laboratory testing, will be conducted throughout the study in accordance with the protocol.</w:t>
            </w:r>
          </w:p>
        </w:tc>
      </w:tr>
      <w:tr w:rsidR="000A6C59" w:rsidRPr="000F3D59" w14:paraId="0AC741E4" w14:textId="77777777" w:rsidTr="00EF3BE2">
        <w:tc>
          <w:tcPr>
            <w:tcW w:w="1993" w:type="dxa"/>
          </w:tcPr>
          <w:p w14:paraId="16C7502C" w14:textId="7B0B817E"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Study Duration</w:t>
            </w:r>
          </w:p>
        </w:tc>
        <w:tc>
          <w:tcPr>
            <w:tcW w:w="6565" w:type="dxa"/>
          </w:tcPr>
          <w:p w14:paraId="775B75E8" w14:textId="3CE11B6B" w:rsidR="00EF3BE2" w:rsidRPr="000F3D59" w:rsidRDefault="00287359"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The anticipated total study duration is approximately 24 months, including participant enrollment, treatment, follow-up, data collection, and study completion.</w:t>
            </w:r>
          </w:p>
        </w:tc>
      </w:tr>
      <w:tr w:rsidR="000A6C59" w:rsidRPr="000F3D59" w14:paraId="68A1C7B4" w14:textId="77777777" w:rsidTr="00EF3BE2">
        <w:tc>
          <w:tcPr>
            <w:tcW w:w="1993" w:type="dxa"/>
          </w:tcPr>
          <w:p w14:paraId="394317F1" w14:textId="6131B59E" w:rsidR="00EF3BE2" w:rsidRPr="000F3D59" w:rsidRDefault="00EF3BE2"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Participant Duration</w:t>
            </w:r>
          </w:p>
        </w:tc>
        <w:tc>
          <w:tcPr>
            <w:tcW w:w="6565" w:type="dxa"/>
          </w:tcPr>
          <w:p w14:paraId="5DFA5BD4" w14:textId="4809B14E" w:rsidR="00EF3BE2" w:rsidRPr="000F3D59" w:rsidRDefault="00287359"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Each participant will be enrolled in the study for approximately 18 weeks, consisting of a screening period of up to 2 weeks, a 12-week treatment period, and an end-of-study follow-up 4 weeks after the last treatment is administered. </w:t>
            </w:r>
            <w:r w:rsidRPr="000F3D59">
              <w:rPr>
                <w:rFonts w:ascii="Arial" w:hAnsi="Arial" w:cs="Arial"/>
                <w:color w:val="000000" w:themeColor="text1"/>
                <w:sz w:val="18"/>
                <w:szCs w:val="18"/>
              </w:rPr>
              <w:lastRenderedPageBreak/>
              <w:t>Participants who discontinue study treatment early will be encouraged to complete all remaining study assessments whenever possible.</w:t>
            </w:r>
          </w:p>
        </w:tc>
      </w:tr>
    </w:tbl>
    <w:p w14:paraId="18E3AD54" w14:textId="717D314D" w:rsidR="005B05C7" w:rsidRPr="000F3D59" w:rsidRDefault="005B05C7" w:rsidP="007D6FE8">
      <w:pPr>
        <w:pStyle w:val="ListParagraph"/>
        <w:spacing w:before="0" w:after="0" w:line="240" w:lineRule="auto"/>
        <w:ind w:left="792"/>
        <w:jc w:val="both"/>
        <w:rPr>
          <w:rFonts w:ascii="Arial" w:eastAsia="Calibri" w:hAnsi="Arial" w:cs="Arial"/>
          <w:color w:val="000000" w:themeColor="text1"/>
        </w:rPr>
      </w:pPr>
    </w:p>
    <w:p w14:paraId="7FE913E1" w14:textId="2C4CC9BA" w:rsidR="008543CE"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Schema</w:t>
      </w:r>
    </w:p>
    <w:tbl>
      <w:tblPr>
        <w:tblStyle w:val="TableGrid"/>
        <w:tblW w:w="0" w:type="auto"/>
        <w:tblInd w:w="792" w:type="dxa"/>
        <w:tblLook w:val="04A0" w:firstRow="1" w:lastRow="0" w:firstColumn="1" w:lastColumn="0" w:noHBand="0" w:noVBand="1"/>
      </w:tblPr>
      <w:tblGrid>
        <w:gridCol w:w="643"/>
        <w:gridCol w:w="1620"/>
        <w:gridCol w:w="1260"/>
        <w:gridCol w:w="5035"/>
      </w:tblGrid>
      <w:tr w:rsidR="000A6C59" w:rsidRPr="000F3D59" w14:paraId="066D9AFB" w14:textId="77777777" w:rsidTr="005B05C7">
        <w:tc>
          <w:tcPr>
            <w:tcW w:w="643" w:type="dxa"/>
          </w:tcPr>
          <w:p w14:paraId="65D2485C" w14:textId="2E4180D6" w:rsidR="000B307D" w:rsidRPr="000F3D59" w:rsidRDefault="000B307D"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Visit</w:t>
            </w:r>
          </w:p>
        </w:tc>
        <w:tc>
          <w:tcPr>
            <w:tcW w:w="1620" w:type="dxa"/>
          </w:tcPr>
          <w:p w14:paraId="4F2ECC3D" w14:textId="64E0366F" w:rsidR="000B307D" w:rsidRPr="000F3D59" w:rsidRDefault="000B307D"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Study Period</w:t>
            </w:r>
          </w:p>
        </w:tc>
        <w:tc>
          <w:tcPr>
            <w:tcW w:w="1260" w:type="dxa"/>
          </w:tcPr>
          <w:p w14:paraId="515E1055" w14:textId="5632600A" w:rsidR="000B307D" w:rsidRPr="000F3D59" w:rsidRDefault="005B05C7"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Scheduled</w:t>
            </w:r>
            <w:r w:rsidR="000B307D" w:rsidRPr="000F3D59">
              <w:rPr>
                <w:rFonts w:ascii="Arial" w:eastAsia="Calibri" w:hAnsi="Arial" w:cs="Arial"/>
                <w:b/>
                <w:bCs/>
                <w:color w:val="000000" w:themeColor="text1"/>
                <w:sz w:val="18"/>
                <w:szCs w:val="18"/>
              </w:rPr>
              <w:t xml:space="preserve"> Timing</w:t>
            </w:r>
          </w:p>
        </w:tc>
        <w:tc>
          <w:tcPr>
            <w:tcW w:w="5035" w:type="dxa"/>
          </w:tcPr>
          <w:p w14:paraId="20A5745B" w14:textId="13C577D8" w:rsidR="000B307D" w:rsidRPr="000F3D59" w:rsidRDefault="000B307D"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Study Activities</w:t>
            </w:r>
          </w:p>
        </w:tc>
      </w:tr>
      <w:tr w:rsidR="000A6C59" w:rsidRPr="000F3D59" w14:paraId="4BBD74D0" w14:textId="77777777" w:rsidTr="005B05C7">
        <w:tc>
          <w:tcPr>
            <w:tcW w:w="643" w:type="dxa"/>
          </w:tcPr>
          <w:p w14:paraId="716689FC" w14:textId="55BF3A5D"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1</w:t>
            </w:r>
          </w:p>
        </w:tc>
        <w:tc>
          <w:tcPr>
            <w:tcW w:w="1620" w:type="dxa"/>
          </w:tcPr>
          <w:p w14:paraId="05C88C46" w14:textId="22A5A6E6"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Screening</w:t>
            </w:r>
          </w:p>
        </w:tc>
        <w:tc>
          <w:tcPr>
            <w:tcW w:w="1260" w:type="dxa"/>
          </w:tcPr>
          <w:p w14:paraId="79BA197D" w14:textId="59C9316F"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Day –14</w:t>
            </w:r>
          </w:p>
        </w:tc>
        <w:tc>
          <w:tcPr>
            <w:tcW w:w="5035" w:type="dxa"/>
          </w:tcPr>
          <w:p w14:paraId="7370DC39" w14:textId="1BA06413" w:rsidR="000B307D"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Informed consent, demographics, medical history, concomitant medications, vital signs, eligibility assessment</w:t>
            </w:r>
          </w:p>
        </w:tc>
      </w:tr>
      <w:tr w:rsidR="000A6C59" w:rsidRPr="000F3D59" w14:paraId="52FFCA66" w14:textId="77777777" w:rsidTr="005B05C7">
        <w:tc>
          <w:tcPr>
            <w:tcW w:w="643" w:type="dxa"/>
          </w:tcPr>
          <w:p w14:paraId="1B6EAF8C" w14:textId="3A0488CA"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2</w:t>
            </w:r>
          </w:p>
        </w:tc>
        <w:tc>
          <w:tcPr>
            <w:tcW w:w="1620" w:type="dxa"/>
          </w:tcPr>
          <w:p w14:paraId="1FACB2DE" w14:textId="77777777" w:rsidR="005B05C7"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Baseline</w:t>
            </w:r>
          </w:p>
          <w:p w14:paraId="75E9975A" w14:textId="77777777"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Randomization</w:t>
            </w:r>
          </w:p>
          <w:p w14:paraId="005144F0" w14:textId="4C8423BA"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Treatment</w:t>
            </w:r>
          </w:p>
        </w:tc>
        <w:tc>
          <w:tcPr>
            <w:tcW w:w="1260" w:type="dxa"/>
          </w:tcPr>
          <w:p w14:paraId="48CE4BB5" w14:textId="7FC2F138"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Day 1</w:t>
            </w:r>
          </w:p>
        </w:tc>
        <w:tc>
          <w:tcPr>
            <w:tcW w:w="5035" w:type="dxa"/>
          </w:tcPr>
          <w:p w14:paraId="2D3B3227" w14:textId="093F44F1" w:rsidR="000B307D"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Baseline vital signs, laboratory assessments (ALT, AST, CRP, HGB), randomization, first study drug administration</w:t>
            </w:r>
          </w:p>
        </w:tc>
      </w:tr>
      <w:tr w:rsidR="000A6C59" w:rsidRPr="000F3D59" w14:paraId="5F189095" w14:textId="77777777" w:rsidTr="005B05C7">
        <w:tc>
          <w:tcPr>
            <w:tcW w:w="643" w:type="dxa"/>
          </w:tcPr>
          <w:p w14:paraId="128EC039" w14:textId="4C6F82FD"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3</w:t>
            </w:r>
          </w:p>
        </w:tc>
        <w:tc>
          <w:tcPr>
            <w:tcW w:w="1620" w:type="dxa"/>
          </w:tcPr>
          <w:p w14:paraId="0970FA84" w14:textId="51BA0234"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Treatment</w:t>
            </w:r>
          </w:p>
        </w:tc>
        <w:tc>
          <w:tcPr>
            <w:tcW w:w="1260" w:type="dxa"/>
          </w:tcPr>
          <w:p w14:paraId="30A29D16" w14:textId="77777777" w:rsidR="002A119C" w:rsidRPr="000F3D59" w:rsidRDefault="002A119C"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Week 4</w:t>
            </w:r>
          </w:p>
          <w:p w14:paraId="4E474915" w14:textId="6B5186E0" w:rsidR="000B307D" w:rsidRPr="000F3D59" w:rsidRDefault="002A119C" w:rsidP="002A119C">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w:t>
            </w:r>
            <w:r w:rsidR="000B307D" w:rsidRPr="000F3D59">
              <w:rPr>
                <w:rFonts w:ascii="Arial" w:eastAsia="Calibri" w:hAnsi="Arial" w:cs="Arial"/>
                <w:color w:val="000000" w:themeColor="text1"/>
                <w:sz w:val="18"/>
                <w:szCs w:val="18"/>
              </w:rPr>
              <w:t>Day</w:t>
            </w:r>
            <w:r w:rsidR="005B05C7" w:rsidRPr="000F3D59">
              <w:rPr>
                <w:rFonts w:ascii="Arial" w:eastAsia="Calibri" w:hAnsi="Arial" w:cs="Arial"/>
                <w:color w:val="000000" w:themeColor="text1"/>
                <w:sz w:val="18"/>
                <w:szCs w:val="18"/>
              </w:rPr>
              <w:t xml:space="preserve"> 29</w:t>
            </w:r>
            <w:r w:rsidRPr="000F3D59">
              <w:rPr>
                <w:rFonts w:ascii="Arial" w:eastAsia="Calibri" w:hAnsi="Arial" w:cs="Arial"/>
                <w:color w:val="000000" w:themeColor="text1"/>
                <w:sz w:val="18"/>
                <w:szCs w:val="18"/>
              </w:rPr>
              <w:t xml:space="preserve">; </w:t>
            </w:r>
            <w:r w:rsidR="005B05C7" w:rsidRPr="000F3D59">
              <w:rPr>
                <w:rFonts w:ascii="Arial" w:eastAsia="Calibri" w:hAnsi="Arial" w:cs="Arial"/>
                <w:color w:val="000000" w:themeColor="text1"/>
                <w:sz w:val="18"/>
                <w:szCs w:val="18"/>
              </w:rPr>
              <w:t xml:space="preserve">+/- </w:t>
            </w:r>
            <w:r w:rsidR="005B05C7" w:rsidRPr="000F3D59">
              <w:rPr>
                <w:rFonts w:ascii="Arial" w:hAnsi="Arial" w:cs="Arial"/>
                <w:color w:val="000000" w:themeColor="text1"/>
                <w:sz w:val="18"/>
                <w:szCs w:val="18"/>
              </w:rPr>
              <w:t>5 days</w:t>
            </w:r>
            <w:r w:rsidR="000B307D" w:rsidRPr="000F3D59">
              <w:rPr>
                <w:rFonts w:ascii="Arial" w:eastAsia="Calibri" w:hAnsi="Arial" w:cs="Arial"/>
                <w:color w:val="000000" w:themeColor="text1"/>
                <w:sz w:val="18"/>
                <w:szCs w:val="18"/>
              </w:rPr>
              <w:t>)</w:t>
            </w:r>
          </w:p>
        </w:tc>
        <w:tc>
          <w:tcPr>
            <w:tcW w:w="5035" w:type="dxa"/>
          </w:tcPr>
          <w:p w14:paraId="1FCB8E23" w14:textId="3A9D8C14" w:rsidR="000B307D"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Study drug administration, vital signs, laboratory assessments, adverse event review</w:t>
            </w:r>
          </w:p>
        </w:tc>
      </w:tr>
      <w:tr w:rsidR="000A6C59" w:rsidRPr="000F3D59" w14:paraId="3188A616" w14:textId="77777777" w:rsidTr="005B05C7">
        <w:tc>
          <w:tcPr>
            <w:tcW w:w="643" w:type="dxa"/>
          </w:tcPr>
          <w:p w14:paraId="0A693655" w14:textId="6258752E"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4</w:t>
            </w:r>
          </w:p>
        </w:tc>
        <w:tc>
          <w:tcPr>
            <w:tcW w:w="1620" w:type="dxa"/>
          </w:tcPr>
          <w:p w14:paraId="01561FD1" w14:textId="01715BFC"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Treatment</w:t>
            </w:r>
          </w:p>
        </w:tc>
        <w:tc>
          <w:tcPr>
            <w:tcW w:w="1260" w:type="dxa"/>
          </w:tcPr>
          <w:p w14:paraId="18544B2E" w14:textId="77777777" w:rsidR="002A119C" w:rsidRPr="000F3D59" w:rsidRDefault="002A119C"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Week 8</w:t>
            </w:r>
          </w:p>
          <w:p w14:paraId="600F4C99" w14:textId="29711947" w:rsidR="000B307D" w:rsidRPr="000F3D59" w:rsidRDefault="002A119C"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w:t>
            </w:r>
            <w:r w:rsidR="000B307D" w:rsidRPr="000F3D59">
              <w:rPr>
                <w:rFonts w:ascii="Arial" w:eastAsia="Calibri" w:hAnsi="Arial" w:cs="Arial"/>
                <w:color w:val="000000" w:themeColor="text1"/>
                <w:sz w:val="18"/>
                <w:szCs w:val="18"/>
              </w:rPr>
              <w:t>Day</w:t>
            </w:r>
            <w:r w:rsidR="005B05C7" w:rsidRPr="000F3D59">
              <w:rPr>
                <w:rFonts w:ascii="Arial" w:eastAsia="Calibri" w:hAnsi="Arial" w:cs="Arial"/>
                <w:color w:val="000000" w:themeColor="text1"/>
                <w:sz w:val="18"/>
                <w:szCs w:val="18"/>
              </w:rPr>
              <w:t xml:space="preserve"> 57</w:t>
            </w:r>
            <w:r w:rsidRPr="000F3D59">
              <w:rPr>
                <w:rFonts w:ascii="Arial" w:eastAsia="Calibri" w:hAnsi="Arial" w:cs="Arial"/>
                <w:color w:val="000000" w:themeColor="text1"/>
                <w:sz w:val="18"/>
                <w:szCs w:val="18"/>
              </w:rPr>
              <w:t xml:space="preserve">; </w:t>
            </w:r>
            <w:r w:rsidR="005B05C7" w:rsidRPr="000F3D59">
              <w:rPr>
                <w:rFonts w:ascii="Arial" w:eastAsia="Calibri" w:hAnsi="Arial" w:cs="Arial"/>
                <w:color w:val="000000" w:themeColor="text1"/>
                <w:sz w:val="18"/>
                <w:szCs w:val="18"/>
              </w:rPr>
              <w:t xml:space="preserve">+/- </w:t>
            </w:r>
            <w:r w:rsidR="005B05C7" w:rsidRPr="000F3D59">
              <w:rPr>
                <w:rFonts w:ascii="Arial" w:hAnsi="Arial" w:cs="Arial"/>
                <w:color w:val="000000" w:themeColor="text1"/>
                <w:sz w:val="18"/>
                <w:szCs w:val="18"/>
              </w:rPr>
              <w:t>5 days</w:t>
            </w:r>
            <w:r w:rsidR="000B307D" w:rsidRPr="000F3D59">
              <w:rPr>
                <w:rFonts w:ascii="Arial" w:eastAsia="Calibri" w:hAnsi="Arial" w:cs="Arial"/>
                <w:color w:val="000000" w:themeColor="text1"/>
                <w:sz w:val="18"/>
                <w:szCs w:val="18"/>
              </w:rPr>
              <w:t>)</w:t>
            </w:r>
          </w:p>
        </w:tc>
        <w:tc>
          <w:tcPr>
            <w:tcW w:w="5035" w:type="dxa"/>
          </w:tcPr>
          <w:p w14:paraId="45FA61D9" w14:textId="3F944130" w:rsidR="000B307D"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Study drug administration, vital signs, laboratory assessments, adverse event review</w:t>
            </w:r>
          </w:p>
        </w:tc>
      </w:tr>
      <w:tr w:rsidR="000A6C59" w:rsidRPr="000F3D59" w14:paraId="7F857C63" w14:textId="77777777" w:rsidTr="005B05C7">
        <w:tc>
          <w:tcPr>
            <w:tcW w:w="643" w:type="dxa"/>
          </w:tcPr>
          <w:p w14:paraId="338CBB67" w14:textId="3F01EB4F"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5</w:t>
            </w:r>
          </w:p>
        </w:tc>
        <w:tc>
          <w:tcPr>
            <w:tcW w:w="1620" w:type="dxa"/>
          </w:tcPr>
          <w:p w14:paraId="38FE3B08" w14:textId="74E28844"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Treatment</w:t>
            </w:r>
          </w:p>
        </w:tc>
        <w:tc>
          <w:tcPr>
            <w:tcW w:w="1260" w:type="dxa"/>
          </w:tcPr>
          <w:p w14:paraId="1CF853CD" w14:textId="77777777" w:rsidR="002A119C" w:rsidRPr="000F3D59" w:rsidRDefault="002A119C"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Week 12</w:t>
            </w:r>
          </w:p>
          <w:p w14:paraId="0C2B68DE" w14:textId="196A0099" w:rsidR="000B307D" w:rsidRPr="000F3D59" w:rsidRDefault="002A119C"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w:t>
            </w:r>
            <w:r w:rsidR="000B307D" w:rsidRPr="000F3D59">
              <w:rPr>
                <w:rFonts w:ascii="Arial" w:eastAsia="Calibri" w:hAnsi="Arial" w:cs="Arial"/>
                <w:color w:val="000000" w:themeColor="text1"/>
                <w:sz w:val="18"/>
                <w:szCs w:val="18"/>
              </w:rPr>
              <w:t xml:space="preserve">Day </w:t>
            </w:r>
            <w:r w:rsidR="005B05C7" w:rsidRPr="000F3D59">
              <w:rPr>
                <w:rFonts w:ascii="Arial" w:eastAsia="Calibri" w:hAnsi="Arial" w:cs="Arial"/>
                <w:color w:val="000000" w:themeColor="text1"/>
                <w:sz w:val="18"/>
                <w:szCs w:val="18"/>
              </w:rPr>
              <w:t>85</w:t>
            </w:r>
            <w:r w:rsidRPr="000F3D59">
              <w:rPr>
                <w:rFonts w:ascii="Arial" w:eastAsia="Calibri" w:hAnsi="Arial" w:cs="Arial"/>
                <w:color w:val="000000" w:themeColor="text1"/>
                <w:sz w:val="18"/>
                <w:szCs w:val="18"/>
              </w:rPr>
              <w:t xml:space="preserve">; </w:t>
            </w:r>
            <w:r w:rsidR="005B05C7" w:rsidRPr="000F3D59">
              <w:rPr>
                <w:rFonts w:ascii="Arial" w:eastAsia="Calibri" w:hAnsi="Arial" w:cs="Arial"/>
                <w:color w:val="000000" w:themeColor="text1"/>
                <w:sz w:val="18"/>
                <w:szCs w:val="18"/>
              </w:rPr>
              <w:t xml:space="preserve">+/- </w:t>
            </w:r>
            <w:r w:rsidR="005B05C7" w:rsidRPr="000F3D59">
              <w:rPr>
                <w:rFonts w:ascii="Arial" w:hAnsi="Arial" w:cs="Arial"/>
                <w:color w:val="000000" w:themeColor="text1"/>
                <w:sz w:val="18"/>
                <w:szCs w:val="18"/>
              </w:rPr>
              <w:t>5 days</w:t>
            </w:r>
            <w:r w:rsidR="000B307D" w:rsidRPr="000F3D59">
              <w:rPr>
                <w:rFonts w:ascii="Arial" w:eastAsia="Calibri" w:hAnsi="Arial" w:cs="Arial"/>
                <w:color w:val="000000" w:themeColor="text1"/>
                <w:sz w:val="18"/>
                <w:szCs w:val="18"/>
              </w:rPr>
              <w:t>)</w:t>
            </w:r>
          </w:p>
        </w:tc>
        <w:tc>
          <w:tcPr>
            <w:tcW w:w="5035" w:type="dxa"/>
          </w:tcPr>
          <w:p w14:paraId="7862C0A5" w14:textId="0B701AD3" w:rsidR="000B307D"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Final study drug administration, vital signs, laboratory assessments, adverse event review</w:t>
            </w:r>
          </w:p>
        </w:tc>
      </w:tr>
      <w:tr w:rsidR="000A6C59" w:rsidRPr="000F3D59" w14:paraId="37CA5235" w14:textId="77777777" w:rsidTr="005B05C7">
        <w:tc>
          <w:tcPr>
            <w:tcW w:w="643" w:type="dxa"/>
          </w:tcPr>
          <w:p w14:paraId="3FC8A4EB" w14:textId="67C09C82"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6</w:t>
            </w:r>
          </w:p>
        </w:tc>
        <w:tc>
          <w:tcPr>
            <w:tcW w:w="1620" w:type="dxa"/>
          </w:tcPr>
          <w:p w14:paraId="0F6BA3F1" w14:textId="383F5207" w:rsidR="000B307D" w:rsidRPr="000F3D59" w:rsidRDefault="000B307D"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Follow-up</w:t>
            </w:r>
          </w:p>
        </w:tc>
        <w:tc>
          <w:tcPr>
            <w:tcW w:w="1260" w:type="dxa"/>
          </w:tcPr>
          <w:p w14:paraId="46F81A0B" w14:textId="77777777" w:rsidR="002A119C" w:rsidRPr="000F3D59" w:rsidRDefault="002A119C"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Week 16</w:t>
            </w:r>
          </w:p>
          <w:p w14:paraId="2F7CFC7D" w14:textId="7C3DB384" w:rsidR="000B307D" w:rsidRPr="000F3D59" w:rsidRDefault="002A119C"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w:t>
            </w:r>
            <w:r w:rsidR="000B307D" w:rsidRPr="000F3D59">
              <w:rPr>
                <w:rFonts w:ascii="Arial" w:eastAsia="Calibri" w:hAnsi="Arial" w:cs="Arial"/>
                <w:color w:val="000000" w:themeColor="text1"/>
                <w:sz w:val="18"/>
                <w:szCs w:val="18"/>
              </w:rPr>
              <w:t xml:space="preserve">Day </w:t>
            </w:r>
            <w:r w:rsidR="005B05C7" w:rsidRPr="000F3D59">
              <w:rPr>
                <w:rFonts w:ascii="Arial" w:eastAsia="Calibri" w:hAnsi="Arial" w:cs="Arial"/>
                <w:color w:val="000000" w:themeColor="text1"/>
                <w:sz w:val="18"/>
                <w:szCs w:val="18"/>
              </w:rPr>
              <w:t>113</w:t>
            </w:r>
            <w:r w:rsidRPr="000F3D59">
              <w:rPr>
                <w:rFonts w:ascii="Arial" w:eastAsia="Calibri" w:hAnsi="Arial" w:cs="Arial"/>
                <w:color w:val="000000" w:themeColor="text1"/>
                <w:sz w:val="18"/>
                <w:szCs w:val="18"/>
              </w:rPr>
              <w:t xml:space="preserve">; </w:t>
            </w:r>
            <w:r w:rsidR="005B05C7" w:rsidRPr="000F3D59">
              <w:rPr>
                <w:rFonts w:ascii="Arial" w:eastAsia="Calibri" w:hAnsi="Arial" w:cs="Arial"/>
                <w:color w:val="000000" w:themeColor="text1"/>
                <w:sz w:val="18"/>
                <w:szCs w:val="18"/>
              </w:rPr>
              <w:t xml:space="preserve">+/- </w:t>
            </w:r>
            <w:r w:rsidR="005B05C7" w:rsidRPr="000F3D59">
              <w:rPr>
                <w:rFonts w:ascii="Arial" w:hAnsi="Arial" w:cs="Arial"/>
                <w:color w:val="000000" w:themeColor="text1"/>
                <w:sz w:val="18"/>
                <w:szCs w:val="18"/>
              </w:rPr>
              <w:t>5 days</w:t>
            </w:r>
            <w:r w:rsidR="000B307D" w:rsidRPr="000F3D59">
              <w:rPr>
                <w:rFonts w:ascii="Arial" w:eastAsia="Calibri" w:hAnsi="Arial" w:cs="Arial"/>
                <w:color w:val="000000" w:themeColor="text1"/>
                <w:sz w:val="18"/>
                <w:szCs w:val="18"/>
              </w:rPr>
              <w:t>)</w:t>
            </w:r>
          </w:p>
        </w:tc>
        <w:tc>
          <w:tcPr>
            <w:tcW w:w="5035" w:type="dxa"/>
          </w:tcPr>
          <w:p w14:paraId="68EF1A21" w14:textId="4194DFF5" w:rsidR="000B307D"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Follow-up assessment, vital signs, laboratory assessments, adverse event review, end-of-study procedures</w:t>
            </w:r>
          </w:p>
        </w:tc>
      </w:tr>
    </w:tbl>
    <w:p w14:paraId="0642113D" w14:textId="2F9C0B4E" w:rsidR="005B05C7" w:rsidRPr="000F3D59" w:rsidRDefault="005B05C7" w:rsidP="007D6FE8">
      <w:pPr>
        <w:pStyle w:val="ListParagraph"/>
        <w:spacing w:before="0" w:after="0" w:line="240" w:lineRule="auto"/>
        <w:ind w:left="792"/>
        <w:jc w:val="both"/>
        <w:rPr>
          <w:rFonts w:ascii="Arial" w:eastAsia="Calibri" w:hAnsi="Arial" w:cs="Arial"/>
          <w:color w:val="000000" w:themeColor="text1"/>
        </w:rPr>
      </w:pPr>
    </w:p>
    <w:p w14:paraId="5B4C40FF" w14:textId="2BF58D7F" w:rsidR="008543CE"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Schedule of Activities (SoA)</w:t>
      </w:r>
    </w:p>
    <w:tbl>
      <w:tblPr>
        <w:tblStyle w:val="TableGrid"/>
        <w:tblW w:w="0" w:type="auto"/>
        <w:tblInd w:w="792" w:type="dxa"/>
        <w:tblLook w:val="04A0" w:firstRow="1" w:lastRow="0" w:firstColumn="1" w:lastColumn="0" w:noHBand="0" w:noVBand="1"/>
      </w:tblPr>
      <w:tblGrid>
        <w:gridCol w:w="1551"/>
        <w:gridCol w:w="1167"/>
        <w:gridCol w:w="1168"/>
        <w:gridCol w:w="1168"/>
        <w:gridCol w:w="1168"/>
        <w:gridCol w:w="1168"/>
        <w:gridCol w:w="1168"/>
      </w:tblGrid>
      <w:tr w:rsidR="000A6C59" w:rsidRPr="000F3D59" w14:paraId="3F80C83C" w14:textId="77777777" w:rsidTr="005B05C7">
        <w:tc>
          <w:tcPr>
            <w:tcW w:w="1551" w:type="dxa"/>
          </w:tcPr>
          <w:p w14:paraId="1B06337E" w14:textId="287C4E62" w:rsidR="005B05C7" w:rsidRPr="000F3D59" w:rsidRDefault="005B05C7"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Procedure</w:t>
            </w:r>
          </w:p>
        </w:tc>
        <w:tc>
          <w:tcPr>
            <w:tcW w:w="1167" w:type="dxa"/>
          </w:tcPr>
          <w:p w14:paraId="5A4636D8" w14:textId="77777777" w:rsidR="002A119C"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Screening</w:t>
            </w:r>
          </w:p>
          <w:p w14:paraId="57F23C05" w14:textId="34300B37" w:rsidR="005B05C7"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w:t>
            </w:r>
            <w:r w:rsidR="005B05C7" w:rsidRPr="000F3D59">
              <w:rPr>
                <w:rFonts w:ascii="Arial" w:eastAsia="Calibri" w:hAnsi="Arial" w:cs="Arial"/>
                <w:b/>
                <w:bCs/>
                <w:color w:val="000000" w:themeColor="text1"/>
                <w:sz w:val="18"/>
                <w:szCs w:val="18"/>
              </w:rPr>
              <w:t>Day –14</w:t>
            </w:r>
            <w:r w:rsidRPr="000F3D59">
              <w:rPr>
                <w:rFonts w:ascii="Arial" w:eastAsia="Calibri" w:hAnsi="Arial" w:cs="Arial"/>
                <w:b/>
                <w:bCs/>
                <w:color w:val="000000" w:themeColor="text1"/>
                <w:sz w:val="18"/>
                <w:szCs w:val="18"/>
              </w:rPr>
              <w:t>)</w:t>
            </w:r>
          </w:p>
        </w:tc>
        <w:tc>
          <w:tcPr>
            <w:tcW w:w="1168" w:type="dxa"/>
          </w:tcPr>
          <w:p w14:paraId="73C5CF3A" w14:textId="77777777" w:rsidR="002A119C"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Baseline</w:t>
            </w:r>
          </w:p>
          <w:p w14:paraId="02F55E17" w14:textId="0844E714" w:rsidR="005B05C7"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w:t>
            </w:r>
            <w:r w:rsidR="005B05C7" w:rsidRPr="000F3D59">
              <w:rPr>
                <w:rFonts w:ascii="Arial" w:eastAsia="Calibri" w:hAnsi="Arial" w:cs="Arial"/>
                <w:b/>
                <w:bCs/>
                <w:color w:val="000000" w:themeColor="text1"/>
                <w:sz w:val="18"/>
                <w:szCs w:val="18"/>
              </w:rPr>
              <w:t>Day 1</w:t>
            </w:r>
            <w:r w:rsidRPr="000F3D59">
              <w:rPr>
                <w:rFonts w:ascii="Arial" w:eastAsia="Calibri" w:hAnsi="Arial" w:cs="Arial"/>
                <w:b/>
                <w:bCs/>
                <w:color w:val="000000" w:themeColor="text1"/>
                <w:sz w:val="18"/>
                <w:szCs w:val="18"/>
              </w:rPr>
              <w:t>)</w:t>
            </w:r>
          </w:p>
        </w:tc>
        <w:tc>
          <w:tcPr>
            <w:tcW w:w="1168" w:type="dxa"/>
          </w:tcPr>
          <w:p w14:paraId="42933B52" w14:textId="77777777" w:rsidR="002A119C"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Week 4</w:t>
            </w:r>
          </w:p>
          <w:p w14:paraId="1A275CC5" w14:textId="2B2281DA" w:rsidR="005B05C7"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w:t>
            </w:r>
            <w:r w:rsidR="005B05C7" w:rsidRPr="000F3D59">
              <w:rPr>
                <w:rFonts w:ascii="Arial" w:eastAsia="Calibri" w:hAnsi="Arial" w:cs="Arial"/>
                <w:b/>
                <w:bCs/>
                <w:color w:val="000000" w:themeColor="text1"/>
                <w:sz w:val="18"/>
                <w:szCs w:val="18"/>
              </w:rPr>
              <w:t>Day 29</w:t>
            </w:r>
            <w:r w:rsidRPr="000F3D59">
              <w:rPr>
                <w:rFonts w:ascii="Arial" w:eastAsia="Calibri" w:hAnsi="Arial" w:cs="Arial"/>
                <w:b/>
                <w:bCs/>
                <w:color w:val="000000" w:themeColor="text1"/>
                <w:sz w:val="18"/>
                <w:szCs w:val="18"/>
              </w:rPr>
              <w:t>)</w:t>
            </w:r>
          </w:p>
        </w:tc>
        <w:tc>
          <w:tcPr>
            <w:tcW w:w="1168" w:type="dxa"/>
          </w:tcPr>
          <w:p w14:paraId="646D00C6" w14:textId="77777777" w:rsidR="002A119C"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Week 8</w:t>
            </w:r>
          </w:p>
          <w:p w14:paraId="731E9ED3" w14:textId="2084737A" w:rsidR="005B05C7"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w:t>
            </w:r>
            <w:r w:rsidR="005B05C7" w:rsidRPr="000F3D59">
              <w:rPr>
                <w:rFonts w:ascii="Arial" w:eastAsia="Calibri" w:hAnsi="Arial" w:cs="Arial"/>
                <w:b/>
                <w:bCs/>
                <w:color w:val="000000" w:themeColor="text1"/>
                <w:sz w:val="18"/>
                <w:szCs w:val="18"/>
              </w:rPr>
              <w:t>Day 57</w:t>
            </w:r>
            <w:r w:rsidRPr="000F3D59">
              <w:rPr>
                <w:rFonts w:ascii="Arial" w:eastAsia="Calibri" w:hAnsi="Arial" w:cs="Arial"/>
                <w:b/>
                <w:bCs/>
                <w:color w:val="000000" w:themeColor="text1"/>
                <w:sz w:val="18"/>
                <w:szCs w:val="18"/>
              </w:rPr>
              <w:t>)</w:t>
            </w:r>
          </w:p>
        </w:tc>
        <w:tc>
          <w:tcPr>
            <w:tcW w:w="1168" w:type="dxa"/>
          </w:tcPr>
          <w:p w14:paraId="65E95258" w14:textId="77777777" w:rsidR="002A119C"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Week 12</w:t>
            </w:r>
          </w:p>
          <w:p w14:paraId="78BFEA67" w14:textId="47D199EB" w:rsidR="005B05C7"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w:t>
            </w:r>
            <w:r w:rsidR="005B05C7" w:rsidRPr="000F3D59">
              <w:rPr>
                <w:rFonts w:ascii="Arial" w:eastAsia="Calibri" w:hAnsi="Arial" w:cs="Arial"/>
                <w:b/>
                <w:bCs/>
                <w:color w:val="000000" w:themeColor="text1"/>
                <w:sz w:val="18"/>
                <w:szCs w:val="18"/>
              </w:rPr>
              <w:t>Day 85</w:t>
            </w:r>
            <w:r w:rsidRPr="000F3D59">
              <w:rPr>
                <w:rFonts w:ascii="Arial" w:eastAsia="Calibri" w:hAnsi="Arial" w:cs="Arial"/>
                <w:b/>
                <w:bCs/>
                <w:color w:val="000000" w:themeColor="text1"/>
                <w:sz w:val="18"/>
                <w:szCs w:val="18"/>
              </w:rPr>
              <w:t>)</w:t>
            </w:r>
          </w:p>
        </w:tc>
        <w:tc>
          <w:tcPr>
            <w:tcW w:w="1168" w:type="dxa"/>
          </w:tcPr>
          <w:p w14:paraId="5A55A147" w14:textId="77777777" w:rsidR="002A119C" w:rsidRPr="000F3D59" w:rsidRDefault="002A119C"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Follow-up</w:t>
            </w:r>
          </w:p>
          <w:p w14:paraId="75906508" w14:textId="369B44C3" w:rsidR="005B05C7" w:rsidRPr="000F3D59" w:rsidRDefault="002A119C" w:rsidP="007D6FE8">
            <w:pPr>
              <w:pStyle w:val="ListParagraph"/>
              <w:ind w:left="0"/>
              <w:jc w:val="both"/>
              <w:rPr>
                <w:rFonts w:ascii="Arial" w:eastAsia="Calibri" w:hAnsi="Arial" w:cs="Arial"/>
                <w:b/>
                <w:bCs/>
                <w:color w:val="000000" w:themeColor="text1"/>
                <w:sz w:val="18"/>
                <w:szCs w:val="18"/>
                <w:highlight w:val="yellow"/>
              </w:rPr>
            </w:pPr>
            <w:r w:rsidRPr="000F3D59">
              <w:rPr>
                <w:rFonts w:ascii="Arial" w:eastAsia="Calibri" w:hAnsi="Arial" w:cs="Arial"/>
                <w:b/>
                <w:bCs/>
                <w:color w:val="000000" w:themeColor="text1"/>
                <w:sz w:val="18"/>
                <w:szCs w:val="18"/>
              </w:rPr>
              <w:t>(</w:t>
            </w:r>
            <w:r w:rsidR="005B05C7" w:rsidRPr="000F3D59">
              <w:rPr>
                <w:rFonts w:ascii="Arial" w:eastAsia="Calibri" w:hAnsi="Arial" w:cs="Arial"/>
                <w:b/>
                <w:bCs/>
                <w:color w:val="000000" w:themeColor="text1"/>
                <w:sz w:val="18"/>
                <w:szCs w:val="18"/>
              </w:rPr>
              <w:t>Day 113</w:t>
            </w:r>
            <w:r w:rsidRPr="000F3D59">
              <w:rPr>
                <w:rFonts w:ascii="Arial" w:eastAsia="Calibri" w:hAnsi="Arial" w:cs="Arial"/>
                <w:b/>
                <w:bCs/>
                <w:color w:val="000000" w:themeColor="text1"/>
                <w:sz w:val="18"/>
                <w:szCs w:val="18"/>
              </w:rPr>
              <w:t>)</w:t>
            </w:r>
          </w:p>
        </w:tc>
      </w:tr>
      <w:tr w:rsidR="000A6C59" w:rsidRPr="000F3D59" w14:paraId="5AFFA562" w14:textId="77777777" w:rsidTr="005B05C7">
        <w:tc>
          <w:tcPr>
            <w:tcW w:w="1551" w:type="dxa"/>
          </w:tcPr>
          <w:p w14:paraId="5DB09E60" w14:textId="3EB07ED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Informed Consent</w:t>
            </w:r>
          </w:p>
        </w:tc>
        <w:tc>
          <w:tcPr>
            <w:tcW w:w="1167" w:type="dxa"/>
          </w:tcPr>
          <w:p w14:paraId="5BB8A735" w14:textId="29B2C01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55F39064"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7BF73AFE"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569F2D57"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339B413E"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6622AACF"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r>
      <w:tr w:rsidR="000A6C59" w:rsidRPr="000F3D59" w14:paraId="43159047" w14:textId="77777777" w:rsidTr="005B05C7">
        <w:tc>
          <w:tcPr>
            <w:tcW w:w="1551" w:type="dxa"/>
          </w:tcPr>
          <w:p w14:paraId="201349A9" w14:textId="7028DEA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Eligibility Assessment</w:t>
            </w:r>
          </w:p>
        </w:tc>
        <w:tc>
          <w:tcPr>
            <w:tcW w:w="1167" w:type="dxa"/>
          </w:tcPr>
          <w:p w14:paraId="1EFD8DE5" w14:textId="497FB3DB"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00395832"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32F92D03"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1C40A46F"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76F0FE1A"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16512C1A"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r>
      <w:tr w:rsidR="000A6C59" w:rsidRPr="000F3D59" w14:paraId="72F7AB13" w14:textId="77777777" w:rsidTr="005B05C7">
        <w:tc>
          <w:tcPr>
            <w:tcW w:w="1551" w:type="dxa"/>
          </w:tcPr>
          <w:p w14:paraId="0C26F276" w14:textId="65EA600E"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Demographics</w:t>
            </w:r>
          </w:p>
        </w:tc>
        <w:tc>
          <w:tcPr>
            <w:tcW w:w="1167" w:type="dxa"/>
          </w:tcPr>
          <w:p w14:paraId="4D3043BA" w14:textId="4323A450"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4FA30C83"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3D23E48B"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25037201"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10394B1C"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0103343D"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r>
      <w:tr w:rsidR="000A6C59" w:rsidRPr="000F3D59" w14:paraId="04C7677A" w14:textId="77777777" w:rsidTr="005B05C7">
        <w:tc>
          <w:tcPr>
            <w:tcW w:w="1551" w:type="dxa"/>
          </w:tcPr>
          <w:p w14:paraId="725F8C32" w14:textId="6053C42C"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Medical History</w:t>
            </w:r>
          </w:p>
        </w:tc>
        <w:tc>
          <w:tcPr>
            <w:tcW w:w="1167" w:type="dxa"/>
          </w:tcPr>
          <w:p w14:paraId="56924F47" w14:textId="49635D0A"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45F82D09"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5CE48EBB"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47447B51"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293BB508"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729CCF3E"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r>
      <w:tr w:rsidR="000A6C59" w:rsidRPr="000F3D59" w14:paraId="7DFD28A3" w14:textId="77777777" w:rsidTr="005B05C7">
        <w:tc>
          <w:tcPr>
            <w:tcW w:w="1551" w:type="dxa"/>
          </w:tcPr>
          <w:p w14:paraId="1BBF137E" w14:textId="46A0D33A"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Concomitant Medications</w:t>
            </w:r>
          </w:p>
        </w:tc>
        <w:tc>
          <w:tcPr>
            <w:tcW w:w="1167" w:type="dxa"/>
          </w:tcPr>
          <w:p w14:paraId="0C5B7B5B" w14:textId="03F5298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2C97F67A" w14:textId="4225E198"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5CD7646F" w14:textId="424C4F86"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4E34E66B" w14:textId="0493903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5E786685" w14:textId="2C103ADD"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4C01D960" w14:textId="05AF028F" w:rsidR="005B05C7" w:rsidRPr="000F3D59" w:rsidRDefault="005B05C7" w:rsidP="007D6FE8">
            <w:pPr>
              <w:pStyle w:val="ListParagraph"/>
              <w:ind w:left="0"/>
              <w:jc w:val="both"/>
              <w:rPr>
                <w:rFonts w:ascii="Arial" w:eastAsia="Calibri" w:hAnsi="Arial" w:cs="Arial"/>
                <w:color w:val="000000" w:themeColor="text1"/>
                <w:sz w:val="18"/>
                <w:szCs w:val="18"/>
              </w:rPr>
            </w:pPr>
          </w:p>
        </w:tc>
      </w:tr>
      <w:tr w:rsidR="000A6C59" w:rsidRPr="000F3D59" w14:paraId="4C0B7CCE" w14:textId="77777777" w:rsidTr="005B05C7">
        <w:tc>
          <w:tcPr>
            <w:tcW w:w="1551" w:type="dxa"/>
          </w:tcPr>
          <w:p w14:paraId="56451721" w14:textId="509DCFED"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Randomization</w:t>
            </w:r>
          </w:p>
        </w:tc>
        <w:tc>
          <w:tcPr>
            <w:tcW w:w="1167" w:type="dxa"/>
          </w:tcPr>
          <w:p w14:paraId="33953B22"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7F0A61A3" w14:textId="32D3FEAD"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4C50A5B2"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4CF184B1"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687C4AC6"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034D6AEB"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r>
      <w:tr w:rsidR="000A6C59" w:rsidRPr="000F3D59" w14:paraId="098F1D16" w14:textId="77777777" w:rsidTr="005B05C7">
        <w:tc>
          <w:tcPr>
            <w:tcW w:w="1551" w:type="dxa"/>
          </w:tcPr>
          <w:p w14:paraId="627D238B" w14:textId="05B107D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Study Drug Administration</w:t>
            </w:r>
          </w:p>
        </w:tc>
        <w:tc>
          <w:tcPr>
            <w:tcW w:w="1167" w:type="dxa"/>
          </w:tcPr>
          <w:p w14:paraId="75C98088"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4E54D6F8" w14:textId="09DDFEAE"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27C7C1C9" w14:textId="248005CC"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3561FFC1" w14:textId="5E6B1981"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0B9D70C0" w14:textId="4DBE651F"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31FB1CDD" w14:textId="77777777" w:rsidR="005B05C7" w:rsidRPr="000F3D59" w:rsidRDefault="005B05C7" w:rsidP="007D6FE8">
            <w:pPr>
              <w:pStyle w:val="ListParagraph"/>
              <w:ind w:left="0"/>
              <w:jc w:val="both"/>
              <w:rPr>
                <w:rFonts w:ascii="Arial" w:eastAsia="Calibri" w:hAnsi="Arial" w:cs="Arial"/>
                <w:color w:val="000000" w:themeColor="text1"/>
                <w:sz w:val="18"/>
                <w:szCs w:val="18"/>
              </w:rPr>
            </w:pPr>
          </w:p>
        </w:tc>
      </w:tr>
      <w:tr w:rsidR="000A6C59" w:rsidRPr="000F3D59" w14:paraId="16B41B12" w14:textId="77777777" w:rsidTr="005B05C7">
        <w:tc>
          <w:tcPr>
            <w:tcW w:w="1551" w:type="dxa"/>
          </w:tcPr>
          <w:p w14:paraId="23707FC8" w14:textId="089FA1AE"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Vital Signs</w:t>
            </w:r>
          </w:p>
        </w:tc>
        <w:tc>
          <w:tcPr>
            <w:tcW w:w="1167" w:type="dxa"/>
          </w:tcPr>
          <w:p w14:paraId="2DE2EAA2" w14:textId="1C3A2863"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75500D8F" w14:textId="7E2C146F"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1B251672" w14:textId="7C18E88C"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78DAD1AD" w14:textId="629E375F"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7DAAD7E0" w14:textId="6ABF22BB"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1E289A4C" w14:textId="41A45D5D"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r>
      <w:tr w:rsidR="000A6C59" w:rsidRPr="000F3D59" w14:paraId="1093C7EB" w14:textId="77777777" w:rsidTr="005B05C7">
        <w:tc>
          <w:tcPr>
            <w:tcW w:w="1551" w:type="dxa"/>
          </w:tcPr>
          <w:p w14:paraId="0C033E2E" w14:textId="36EF1850"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ALT</w:t>
            </w:r>
          </w:p>
        </w:tc>
        <w:tc>
          <w:tcPr>
            <w:tcW w:w="1167" w:type="dxa"/>
          </w:tcPr>
          <w:p w14:paraId="73751C03" w14:textId="2242CA0C"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6EC08CDB" w14:textId="774DEE58"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6BE8B1CE" w14:textId="03BDAAD2"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58FA1C9A" w14:textId="1E4EEFB7"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0E282806" w14:textId="554F0683"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35942D1F" w14:textId="53B9B0EC"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r>
      <w:tr w:rsidR="000A6C59" w:rsidRPr="000F3D59" w14:paraId="4CA527EC" w14:textId="77777777" w:rsidTr="005B05C7">
        <w:tc>
          <w:tcPr>
            <w:tcW w:w="1551" w:type="dxa"/>
          </w:tcPr>
          <w:p w14:paraId="6382C0A7" w14:textId="7B9A91D7"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AST</w:t>
            </w:r>
          </w:p>
        </w:tc>
        <w:tc>
          <w:tcPr>
            <w:tcW w:w="1167" w:type="dxa"/>
          </w:tcPr>
          <w:p w14:paraId="2A25AB60" w14:textId="1760BA7D"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022C3A26" w14:textId="74DF039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75BF8716" w14:textId="2A99517C"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4FAE5B8B" w14:textId="56D7BA51"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6EFABA56" w14:textId="2D139F13"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23CB6317" w14:textId="64CA7A16"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r>
      <w:tr w:rsidR="000A6C59" w:rsidRPr="000F3D59" w14:paraId="12807892" w14:textId="77777777" w:rsidTr="005B05C7">
        <w:tc>
          <w:tcPr>
            <w:tcW w:w="1551" w:type="dxa"/>
          </w:tcPr>
          <w:p w14:paraId="7DA3A8CB" w14:textId="5393E68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CRP</w:t>
            </w:r>
          </w:p>
        </w:tc>
        <w:tc>
          <w:tcPr>
            <w:tcW w:w="1167" w:type="dxa"/>
          </w:tcPr>
          <w:p w14:paraId="0A8F699D" w14:textId="07976639"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3AD354DF" w14:textId="5639448A"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586BC8A0" w14:textId="6E0745EF"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39FC8541" w14:textId="2812DFEE"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2790F45E" w14:textId="77257BE8"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7EFB873F" w14:textId="740F7A4D"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r>
      <w:tr w:rsidR="000A6C59" w:rsidRPr="000F3D59" w14:paraId="0C6BC46E" w14:textId="77777777" w:rsidTr="005B05C7">
        <w:tc>
          <w:tcPr>
            <w:tcW w:w="1551" w:type="dxa"/>
          </w:tcPr>
          <w:p w14:paraId="22383166" w14:textId="23665EDF"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HGB</w:t>
            </w:r>
          </w:p>
        </w:tc>
        <w:tc>
          <w:tcPr>
            <w:tcW w:w="1167" w:type="dxa"/>
          </w:tcPr>
          <w:p w14:paraId="60CBD046" w14:textId="6FA8B63A"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0601EC71" w14:textId="3663BA98"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12D86AD1" w14:textId="2AFA25DF"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13869D82" w14:textId="598BAEE2"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2E5545F1" w14:textId="5EC0E9E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1868ED7E" w14:textId="29D9CF35"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r>
      <w:tr w:rsidR="000A6C59" w:rsidRPr="000F3D59" w14:paraId="6599C5E3" w14:textId="77777777" w:rsidTr="005B05C7">
        <w:tc>
          <w:tcPr>
            <w:tcW w:w="1551" w:type="dxa"/>
          </w:tcPr>
          <w:p w14:paraId="16C5C884" w14:textId="46AC981A"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Adverse Event Assessment *</w:t>
            </w:r>
          </w:p>
        </w:tc>
        <w:tc>
          <w:tcPr>
            <w:tcW w:w="1167" w:type="dxa"/>
          </w:tcPr>
          <w:p w14:paraId="3CAA2753" w14:textId="1D9A9E4A" w:rsidR="005B05C7" w:rsidRPr="000F3D59" w:rsidRDefault="005B05C7" w:rsidP="007D6FE8">
            <w:pPr>
              <w:pStyle w:val="ListParagraph"/>
              <w:ind w:left="0"/>
              <w:jc w:val="both"/>
              <w:rPr>
                <w:rFonts w:ascii="Arial" w:eastAsia="Calibri" w:hAnsi="Arial" w:cs="Arial"/>
                <w:color w:val="000000" w:themeColor="text1"/>
                <w:sz w:val="18"/>
                <w:szCs w:val="18"/>
              </w:rPr>
            </w:pPr>
          </w:p>
        </w:tc>
        <w:tc>
          <w:tcPr>
            <w:tcW w:w="1168" w:type="dxa"/>
          </w:tcPr>
          <w:p w14:paraId="66B37DE8" w14:textId="65629753"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0EF2168F" w14:textId="125447E9"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7858274A" w14:textId="465779AE"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68E83CB0" w14:textId="24E3DF5B"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c>
          <w:tcPr>
            <w:tcW w:w="1168" w:type="dxa"/>
          </w:tcPr>
          <w:p w14:paraId="306D210D" w14:textId="54FC630D" w:rsidR="005B05C7" w:rsidRPr="000F3D59" w:rsidRDefault="005B05C7"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X</w:t>
            </w:r>
          </w:p>
        </w:tc>
      </w:tr>
    </w:tbl>
    <w:p w14:paraId="2FB450EC" w14:textId="42CD8D01" w:rsidR="005B05C7" w:rsidRPr="000F3D59" w:rsidRDefault="005B05C7" w:rsidP="007D6FE8">
      <w:pPr>
        <w:pStyle w:val="ListParagraph"/>
        <w:spacing w:before="0" w:after="0" w:line="240" w:lineRule="auto"/>
        <w:ind w:left="360"/>
        <w:jc w:val="both"/>
        <w:rPr>
          <w:rFonts w:ascii="Arial" w:eastAsia="Calibri" w:hAnsi="Arial" w:cs="Arial"/>
          <w:color w:val="000000" w:themeColor="text1"/>
          <w:sz w:val="16"/>
          <w:szCs w:val="16"/>
        </w:rPr>
      </w:pPr>
      <w:r w:rsidRPr="000F3D59">
        <w:rPr>
          <w:rFonts w:ascii="Arial" w:eastAsia="Calibri" w:hAnsi="Arial" w:cs="Arial"/>
          <w:color w:val="000000" w:themeColor="text1"/>
          <w:sz w:val="16"/>
          <w:szCs w:val="16"/>
        </w:rPr>
        <w:t xml:space="preserve">* </w:t>
      </w:r>
      <w:r w:rsidR="00EF72E0" w:rsidRPr="000F3D59">
        <w:rPr>
          <w:rFonts w:ascii="Arial" w:eastAsia="Calibri" w:hAnsi="Arial" w:cs="Arial"/>
          <w:color w:val="000000" w:themeColor="text1"/>
          <w:sz w:val="16"/>
          <w:szCs w:val="16"/>
        </w:rPr>
        <w:t>Adverse event reports</w:t>
      </w:r>
      <w:r w:rsidRPr="000F3D59">
        <w:rPr>
          <w:rFonts w:ascii="Arial" w:eastAsia="Calibri" w:hAnsi="Arial" w:cs="Arial"/>
          <w:color w:val="000000" w:themeColor="text1"/>
          <w:sz w:val="16"/>
          <w:szCs w:val="16"/>
        </w:rPr>
        <w:t xml:space="preserve"> will be collected</w:t>
      </w:r>
      <w:r w:rsidR="00B762A9" w:rsidRPr="000F3D59">
        <w:rPr>
          <w:rFonts w:ascii="Arial" w:eastAsia="Calibri" w:hAnsi="Arial" w:cs="Arial"/>
          <w:color w:val="000000" w:themeColor="text1"/>
          <w:sz w:val="16"/>
          <w:szCs w:val="16"/>
        </w:rPr>
        <w:t xml:space="preserve"> </w:t>
      </w:r>
      <w:r w:rsidRPr="000F3D59">
        <w:rPr>
          <w:rFonts w:ascii="Arial" w:eastAsia="Calibri" w:hAnsi="Arial" w:cs="Arial"/>
          <w:color w:val="000000" w:themeColor="text1"/>
          <w:sz w:val="16"/>
          <w:szCs w:val="16"/>
        </w:rPr>
        <w:t>continuously from the time of the first dose (day 1) through the follow-up visit (day 113)</w:t>
      </w:r>
    </w:p>
    <w:p w14:paraId="61D8581F" w14:textId="77777777" w:rsidR="005B05C7" w:rsidRPr="000F3D59" w:rsidRDefault="005B05C7" w:rsidP="007D6FE8">
      <w:pPr>
        <w:spacing w:before="0" w:after="0" w:line="240" w:lineRule="auto"/>
        <w:jc w:val="both"/>
        <w:rPr>
          <w:rFonts w:ascii="Arial" w:eastAsia="Calibri" w:hAnsi="Arial" w:cs="Arial"/>
          <w:color w:val="000000" w:themeColor="text1"/>
        </w:rPr>
      </w:pPr>
    </w:p>
    <w:p w14:paraId="03DC4057" w14:textId="3C8AB0FB" w:rsidR="008543CE" w:rsidRPr="000F3D59" w:rsidRDefault="008543CE" w:rsidP="007D6FE8">
      <w:pPr>
        <w:pStyle w:val="ListParagraph"/>
        <w:numPr>
          <w:ilvl w:val="0"/>
          <w:numId w:val="2"/>
        </w:numPr>
        <w:spacing w:before="0" w:after="0" w:line="240" w:lineRule="auto"/>
        <w:jc w:val="both"/>
        <w:rPr>
          <w:rFonts w:ascii="Arial" w:eastAsia="Calibri" w:hAnsi="Arial" w:cs="Arial"/>
          <w:b/>
          <w:bCs/>
          <w:color w:val="000000" w:themeColor="text1"/>
          <w:sz w:val="22"/>
          <w:szCs w:val="22"/>
        </w:rPr>
      </w:pPr>
      <w:r w:rsidRPr="000F3D59">
        <w:rPr>
          <w:rFonts w:ascii="Arial" w:eastAsia="Calibri" w:hAnsi="Arial" w:cs="Arial"/>
          <w:b/>
          <w:bCs/>
          <w:color w:val="000000" w:themeColor="text1"/>
          <w:sz w:val="22"/>
          <w:szCs w:val="22"/>
        </w:rPr>
        <w:t>Introduction</w:t>
      </w:r>
    </w:p>
    <w:p w14:paraId="59503048" w14:textId="77777777" w:rsidR="007D6FE8"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Study Rationale</w:t>
      </w:r>
    </w:p>
    <w:p w14:paraId="7435F2D4" w14:textId="27B66F12" w:rsidR="007D6FE8" w:rsidRPr="000F3D59" w:rsidRDefault="00D25324" w:rsidP="007D6FE8">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Chronic liver disease (CLD) is a progressive condition associated with substantial morbidity, impaired liver function, and an increased risk of cirrhosis, hepatic decompensation, hepatocellular carcinoma, and mortality. Persistent systemic inflammation is recognized as an important contributor to disease progression and adverse clinical outcomes. Although current standard therapies may slow disease progression or manage underlying causes, there remains a need for additional treatment options that reduce inflammation while maintaining an acceptable safety profile.</w:t>
      </w:r>
    </w:p>
    <w:p w14:paraId="3780D09C" w14:textId="77777777" w:rsidR="007D6FE8" w:rsidRPr="000F3D59" w:rsidRDefault="007D6FE8" w:rsidP="007D6FE8">
      <w:pPr>
        <w:pStyle w:val="ListParagraph"/>
        <w:spacing w:before="0" w:after="0" w:line="240" w:lineRule="auto"/>
        <w:ind w:left="792"/>
        <w:jc w:val="both"/>
        <w:rPr>
          <w:rFonts w:ascii="Arial" w:hAnsi="Arial" w:cs="Arial"/>
          <w:color w:val="000000" w:themeColor="text1"/>
        </w:rPr>
      </w:pPr>
    </w:p>
    <w:p w14:paraId="679D3F40" w14:textId="061BFD83" w:rsidR="00B762A9" w:rsidRPr="000F3D59" w:rsidRDefault="00D25324" w:rsidP="007D6FE8">
      <w:pPr>
        <w:pStyle w:val="ListParagraph"/>
        <w:spacing w:before="0" w:after="0" w:line="240" w:lineRule="auto"/>
        <w:ind w:left="792"/>
        <w:jc w:val="both"/>
        <w:rPr>
          <w:rFonts w:ascii="Arial" w:eastAsia="Calibri" w:hAnsi="Arial" w:cs="Arial"/>
          <w:b/>
          <w:bCs/>
          <w:color w:val="000000" w:themeColor="text1"/>
        </w:rPr>
      </w:pPr>
      <w:r w:rsidRPr="000F3D59">
        <w:rPr>
          <w:rFonts w:ascii="Arial" w:hAnsi="Arial" w:cs="Arial"/>
          <w:color w:val="000000" w:themeColor="text1"/>
        </w:rPr>
        <w:t xml:space="preserve">Drug A and Drug B are investigational therapies intended to reduce systemic inflammation in adults with CLD. This study is designed to compare the efficacy and safety of Drug A and Drug B </w:t>
      </w:r>
      <w:r w:rsidRPr="000F3D59">
        <w:rPr>
          <w:rFonts w:ascii="Arial" w:hAnsi="Arial" w:cs="Arial"/>
          <w:color w:val="000000" w:themeColor="text1"/>
        </w:rPr>
        <w:lastRenderedPageBreak/>
        <w:t>with placebo by evaluating changes in biomarkers of inflammation and laboratory parameters over a 12-week treatment period. The results of this study will provide information regarding the relative effects of each investigational treatment and support the assessment of their potential role in the management of CLD.</w:t>
      </w:r>
    </w:p>
    <w:p w14:paraId="3E019978" w14:textId="77777777" w:rsidR="00B762A9" w:rsidRPr="000F3D59" w:rsidRDefault="00B762A9" w:rsidP="007D6FE8">
      <w:pPr>
        <w:pStyle w:val="ListParagraph"/>
        <w:spacing w:before="0" w:after="0" w:line="240" w:lineRule="auto"/>
        <w:ind w:left="792"/>
        <w:jc w:val="both"/>
        <w:rPr>
          <w:rFonts w:ascii="Arial" w:eastAsia="Calibri" w:hAnsi="Arial" w:cs="Arial"/>
          <w:b/>
          <w:bCs/>
          <w:color w:val="000000" w:themeColor="text1"/>
        </w:rPr>
      </w:pPr>
    </w:p>
    <w:p w14:paraId="35624590" w14:textId="77777777" w:rsidR="007D6FE8"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Background</w:t>
      </w:r>
    </w:p>
    <w:p w14:paraId="1C231598" w14:textId="675D99BC" w:rsidR="007D6FE8" w:rsidRPr="000F3D59" w:rsidRDefault="00D74C28" w:rsidP="007D6FE8">
      <w:pPr>
        <w:pStyle w:val="ListParagraph"/>
        <w:spacing w:before="0" w:after="0" w:line="240" w:lineRule="auto"/>
        <w:ind w:left="792"/>
        <w:jc w:val="both"/>
        <w:rPr>
          <w:rFonts w:ascii="Arial" w:hAnsi="Arial" w:cs="Arial"/>
          <w:color w:val="000000" w:themeColor="text1"/>
        </w:rPr>
      </w:pPr>
      <w:r>
        <w:rPr>
          <w:rFonts w:ascii="Arial" w:hAnsi="Arial" w:cs="Arial"/>
          <w:color w:val="000000" w:themeColor="text1"/>
        </w:rPr>
        <w:t>CLD</w:t>
      </w:r>
      <w:r w:rsidR="00D25324" w:rsidRPr="000F3D59">
        <w:rPr>
          <w:rFonts w:ascii="Arial" w:hAnsi="Arial" w:cs="Arial"/>
          <w:color w:val="000000" w:themeColor="text1"/>
        </w:rPr>
        <w:t xml:space="preserve"> affects millions of adults worldwide and encompasses a range of progressive disorders resulting from conditions such as metabolic dysfunction-associated steatotic liver disease (MASLD), chronic viral hepatitis, alcohol-associated liver disease, and autoimmune liver diseases. Persistent inflammatory processes contribute to hepatic injury, fibrosis, and disease progression, and are associated with poorer clinical outcomes. Biomarkers such as CRP are commonly used to assess systemic inflammation, while ALT and AST are routinely monitored as indicators of hepatocellular injury and liver function during treatment. HGB is also monitored as part of routine safety assessments, as anemia may occur in patients with advanced liver disease or as a consequence of treatment.</w:t>
      </w:r>
    </w:p>
    <w:p w14:paraId="662D3693" w14:textId="77777777" w:rsidR="007D6FE8" w:rsidRPr="000F3D59" w:rsidRDefault="007D6FE8" w:rsidP="007D6FE8">
      <w:pPr>
        <w:pStyle w:val="ListParagraph"/>
        <w:spacing w:before="0" w:after="0" w:line="240" w:lineRule="auto"/>
        <w:ind w:left="792"/>
        <w:jc w:val="both"/>
        <w:rPr>
          <w:rFonts w:ascii="Arial" w:hAnsi="Arial" w:cs="Arial"/>
          <w:color w:val="000000" w:themeColor="text1"/>
        </w:rPr>
      </w:pPr>
    </w:p>
    <w:p w14:paraId="0EF6A10C" w14:textId="0A6AF522" w:rsidR="00B762A9" w:rsidRPr="000F3D59" w:rsidRDefault="00D25324" w:rsidP="007D6FE8">
      <w:pPr>
        <w:pStyle w:val="ListParagraph"/>
        <w:spacing w:before="0" w:after="0" w:line="240" w:lineRule="auto"/>
        <w:ind w:left="792"/>
        <w:jc w:val="both"/>
        <w:rPr>
          <w:rFonts w:ascii="Arial" w:eastAsia="Calibri" w:hAnsi="Arial" w:cs="Arial"/>
          <w:b/>
          <w:bCs/>
          <w:color w:val="000000" w:themeColor="text1"/>
        </w:rPr>
      </w:pPr>
      <w:r w:rsidRPr="000F3D59">
        <w:rPr>
          <w:rFonts w:ascii="Arial" w:hAnsi="Arial" w:cs="Arial"/>
          <w:color w:val="000000" w:themeColor="text1"/>
        </w:rPr>
        <w:t>Drug A and Drug B have demonstrated potential anti-inflammatory activity in preclinical studies and early clinical investigations. This randomized, double-blind, placebo-controlled trial has been designed to evaluate the effects of these investigational treatments on inflammatory biomarkers and laboratory safety parameters while characterizing their overall safety and tolerability in adults with CLD.</w:t>
      </w:r>
    </w:p>
    <w:p w14:paraId="0D2AC89F" w14:textId="77777777" w:rsidR="00B762A9" w:rsidRPr="000F3D59" w:rsidRDefault="00B762A9" w:rsidP="007D6FE8">
      <w:pPr>
        <w:pStyle w:val="ListParagraph"/>
        <w:spacing w:before="0" w:after="0" w:line="240" w:lineRule="auto"/>
        <w:ind w:left="792"/>
        <w:jc w:val="both"/>
        <w:rPr>
          <w:rFonts w:ascii="Arial" w:eastAsia="Calibri" w:hAnsi="Arial" w:cs="Arial"/>
          <w:b/>
          <w:bCs/>
          <w:color w:val="000000" w:themeColor="text1"/>
        </w:rPr>
      </w:pPr>
    </w:p>
    <w:p w14:paraId="18604630" w14:textId="77777777" w:rsidR="007D6FE8"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Risk/Benefit Assessment</w:t>
      </w:r>
    </w:p>
    <w:p w14:paraId="5B93C345" w14:textId="710E55BD" w:rsidR="007D6FE8" w:rsidRPr="000F3D59" w:rsidRDefault="00D25324" w:rsidP="007D6FE8">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 xml:space="preserve">Participation in this study may not provide a direct clinical benefit to individual participants. However, participants receiving Drug A or Drug B may experience improvements in laboratory markers of systemic inflammation and liver health compared with placebo. Information obtained from this study may contribute to the development of new therapeutic options for individuals with </w:t>
      </w:r>
      <w:r w:rsidRPr="000F3D59">
        <w:rPr>
          <w:rFonts w:ascii="Arial" w:hAnsi="Arial" w:cs="Arial"/>
          <w:color w:val="000000" w:themeColor="text1"/>
        </w:rPr>
        <w:t>CLD</w:t>
      </w:r>
      <w:r w:rsidRPr="000F3D59">
        <w:rPr>
          <w:rFonts w:ascii="Arial" w:hAnsi="Arial" w:cs="Arial"/>
          <w:color w:val="000000" w:themeColor="text1"/>
        </w:rPr>
        <w:t>.</w:t>
      </w:r>
    </w:p>
    <w:p w14:paraId="60F32737" w14:textId="77777777" w:rsidR="007D6FE8" w:rsidRPr="000F3D59" w:rsidRDefault="007D6FE8" w:rsidP="007D6FE8">
      <w:pPr>
        <w:pStyle w:val="ListParagraph"/>
        <w:spacing w:before="0" w:after="0" w:line="240" w:lineRule="auto"/>
        <w:ind w:left="792"/>
        <w:jc w:val="both"/>
        <w:rPr>
          <w:rFonts w:ascii="Arial" w:hAnsi="Arial" w:cs="Arial"/>
          <w:color w:val="000000" w:themeColor="text1"/>
        </w:rPr>
      </w:pPr>
    </w:p>
    <w:p w14:paraId="290F1688" w14:textId="36B6CFD5" w:rsidR="007D6FE8" w:rsidRPr="000F3D59" w:rsidRDefault="00D25324" w:rsidP="007D6FE8">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The investigational treatments are generally expected to be well tolerated. The most commonly anticipated adverse reactions for both Drug A and Drug B include headache, nausea, and fatigue. Drug A is additionally associated with dizziness and a low incidence of allergic reactions, which may range from mild hypersensitivity symptoms to more significant allergic responses requiring medical evaluation. Participants will be monitored throughout the study through scheduled clinical assessments, laboratory testing, vital sign measurements, and continuous adverse event reporting. Appropriate medical management will be provided for any adverse events that occur during study participation.</w:t>
      </w:r>
    </w:p>
    <w:p w14:paraId="2C51F678" w14:textId="77777777" w:rsidR="007D6FE8" w:rsidRPr="000F3D59" w:rsidRDefault="007D6FE8" w:rsidP="007D6FE8">
      <w:pPr>
        <w:pStyle w:val="ListParagraph"/>
        <w:spacing w:before="0" w:after="0" w:line="240" w:lineRule="auto"/>
        <w:ind w:left="792"/>
        <w:jc w:val="both"/>
        <w:rPr>
          <w:rFonts w:ascii="Arial" w:hAnsi="Arial" w:cs="Arial"/>
          <w:color w:val="000000" w:themeColor="text1"/>
        </w:rPr>
      </w:pPr>
    </w:p>
    <w:p w14:paraId="5BB40146" w14:textId="7260BF7D" w:rsidR="007D6FE8" w:rsidRPr="000F3D59" w:rsidRDefault="00D25324" w:rsidP="007D6FE8">
      <w:pPr>
        <w:pStyle w:val="ListParagraph"/>
        <w:spacing w:before="0" w:after="0" w:line="240" w:lineRule="auto"/>
        <w:ind w:left="792"/>
        <w:jc w:val="both"/>
        <w:rPr>
          <w:rFonts w:ascii="Arial" w:eastAsia="Calibri" w:hAnsi="Arial" w:cs="Arial"/>
          <w:b/>
          <w:bCs/>
          <w:color w:val="000000" w:themeColor="text1"/>
        </w:rPr>
      </w:pPr>
      <w:r w:rsidRPr="000F3D59">
        <w:rPr>
          <w:rFonts w:ascii="Arial" w:hAnsi="Arial" w:cs="Arial"/>
          <w:color w:val="000000" w:themeColor="text1"/>
        </w:rPr>
        <w:t xml:space="preserve">The risks associated with study participation are considered reasonable in relation to the anticipated benefits and the importance of the knowledge expected to be gained regarding the safety and efficacy of Drug A and Drug B in adults with </w:t>
      </w:r>
      <w:r w:rsidRPr="000F3D59">
        <w:rPr>
          <w:rFonts w:ascii="Arial" w:hAnsi="Arial" w:cs="Arial"/>
          <w:color w:val="000000" w:themeColor="text1"/>
        </w:rPr>
        <w:t>CLD</w:t>
      </w:r>
      <w:r w:rsidRPr="000F3D59">
        <w:rPr>
          <w:rFonts w:ascii="Arial" w:hAnsi="Arial" w:cs="Arial"/>
          <w:color w:val="000000" w:themeColor="text1"/>
        </w:rPr>
        <w:t>.</w:t>
      </w:r>
    </w:p>
    <w:p w14:paraId="336AB16C" w14:textId="77777777" w:rsidR="007D6FE8" w:rsidRPr="000F3D59" w:rsidRDefault="007D6FE8" w:rsidP="007D6FE8">
      <w:pPr>
        <w:pStyle w:val="ListParagraph"/>
        <w:spacing w:before="0" w:after="0" w:line="240" w:lineRule="auto"/>
        <w:ind w:left="792"/>
        <w:jc w:val="both"/>
        <w:rPr>
          <w:rFonts w:ascii="Arial" w:eastAsia="Calibri" w:hAnsi="Arial" w:cs="Arial"/>
          <w:b/>
          <w:bCs/>
          <w:color w:val="000000" w:themeColor="text1"/>
        </w:rPr>
      </w:pPr>
    </w:p>
    <w:p w14:paraId="50597E60" w14:textId="64CECD67" w:rsidR="008543CE" w:rsidRPr="000F3D59" w:rsidRDefault="008543CE" w:rsidP="007D6FE8">
      <w:pPr>
        <w:pStyle w:val="ListParagraph"/>
        <w:numPr>
          <w:ilvl w:val="0"/>
          <w:numId w:val="2"/>
        </w:numPr>
        <w:spacing w:before="0" w:after="0" w:line="240" w:lineRule="auto"/>
        <w:jc w:val="both"/>
        <w:rPr>
          <w:rFonts w:ascii="Arial" w:eastAsia="Calibri" w:hAnsi="Arial" w:cs="Arial"/>
          <w:b/>
          <w:bCs/>
          <w:color w:val="000000" w:themeColor="text1"/>
          <w:sz w:val="22"/>
          <w:szCs w:val="22"/>
        </w:rPr>
      </w:pPr>
      <w:r w:rsidRPr="000F3D59">
        <w:rPr>
          <w:rFonts w:ascii="Arial" w:eastAsia="Calibri" w:hAnsi="Arial" w:cs="Arial"/>
          <w:b/>
          <w:bCs/>
          <w:color w:val="000000" w:themeColor="text1"/>
          <w:sz w:val="22"/>
          <w:szCs w:val="22"/>
        </w:rPr>
        <w:t>Objectives and Endpoints</w:t>
      </w:r>
    </w:p>
    <w:tbl>
      <w:tblPr>
        <w:tblStyle w:val="TableGrid"/>
        <w:tblW w:w="0" w:type="auto"/>
        <w:tblInd w:w="360" w:type="dxa"/>
        <w:tblLook w:val="04A0" w:firstRow="1" w:lastRow="0" w:firstColumn="1" w:lastColumn="0" w:noHBand="0" w:noVBand="1"/>
      </w:tblPr>
      <w:tblGrid>
        <w:gridCol w:w="2992"/>
        <w:gridCol w:w="3006"/>
        <w:gridCol w:w="2992"/>
      </w:tblGrid>
      <w:tr w:rsidR="000A6C59" w:rsidRPr="000F3D59" w14:paraId="361D54F8" w14:textId="77777777" w:rsidTr="002A119C">
        <w:tc>
          <w:tcPr>
            <w:tcW w:w="2992" w:type="dxa"/>
          </w:tcPr>
          <w:p w14:paraId="0E206461" w14:textId="02368120" w:rsidR="007D6FE8" w:rsidRPr="000F3D59" w:rsidRDefault="007D6FE8"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Objective</w:t>
            </w:r>
          </w:p>
        </w:tc>
        <w:tc>
          <w:tcPr>
            <w:tcW w:w="3006" w:type="dxa"/>
            <w:tcBorders>
              <w:bottom w:val="single" w:sz="4" w:space="0" w:color="auto"/>
            </w:tcBorders>
          </w:tcPr>
          <w:p w14:paraId="0BB78837" w14:textId="1B8333D1" w:rsidR="007D6FE8" w:rsidRPr="000F3D59" w:rsidRDefault="007D6FE8"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Endpoint</w:t>
            </w:r>
          </w:p>
        </w:tc>
        <w:tc>
          <w:tcPr>
            <w:tcW w:w="2992" w:type="dxa"/>
          </w:tcPr>
          <w:p w14:paraId="1AF14CD5" w14:textId="2197CA41" w:rsidR="007D6FE8" w:rsidRPr="000F3D59" w:rsidRDefault="007D6FE8" w:rsidP="007D6FE8">
            <w:pPr>
              <w:pStyle w:val="ListParagraph"/>
              <w:ind w:left="0"/>
              <w:jc w:val="both"/>
              <w:rPr>
                <w:rFonts w:ascii="Arial" w:eastAsia="Calibri" w:hAnsi="Arial" w:cs="Arial"/>
                <w:color w:val="000000" w:themeColor="text1"/>
                <w:sz w:val="18"/>
                <w:szCs w:val="18"/>
              </w:rPr>
            </w:pPr>
            <w:r w:rsidRPr="000F3D59">
              <w:rPr>
                <w:rFonts w:ascii="Arial" w:eastAsia="Calibri" w:hAnsi="Arial" w:cs="Arial"/>
                <w:b/>
                <w:bCs/>
                <w:color w:val="000000" w:themeColor="text1"/>
                <w:sz w:val="18"/>
                <w:szCs w:val="18"/>
              </w:rPr>
              <w:t>Justification for Endpoint</w:t>
            </w:r>
          </w:p>
        </w:tc>
      </w:tr>
      <w:tr w:rsidR="000A6C59" w:rsidRPr="000F3D59" w14:paraId="1910B6B4" w14:textId="77777777" w:rsidTr="002A119C">
        <w:tc>
          <w:tcPr>
            <w:tcW w:w="2992" w:type="dxa"/>
            <w:tcBorders>
              <w:right w:val="nil"/>
            </w:tcBorders>
          </w:tcPr>
          <w:p w14:paraId="3435AEA5" w14:textId="60C841E1" w:rsidR="007D6FE8" w:rsidRPr="000F3D59" w:rsidRDefault="007D6FE8"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Primary</w:t>
            </w:r>
          </w:p>
        </w:tc>
        <w:tc>
          <w:tcPr>
            <w:tcW w:w="3006" w:type="dxa"/>
            <w:tcBorders>
              <w:left w:val="nil"/>
              <w:right w:val="nil"/>
            </w:tcBorders>
          </w:tcPr>
          <w:p w14:paraId="0A79C5D0" w14:textId="77777777" w:rsidR="007D6FE8" w:rsidRPr="000F3D59" w:rsidRDefault="007D6FE8" w:rsidP="007D6FE8">
            <w:pPr>
              <w:pStyle w:val="ListParagraph"/>
              <w:ind w:left="0"/>
              <w:jc w:val="both"/>
              <w:rPr>
                <w:rFonts w:ascii="Arial" w:eastAsia="Calibri" w:hAnsi="Arial" w:cs="Arial"/>
                <w:color w:val="000000" w:themeColor="text1"/>
                <w:sz w:val="18"/>
                <w:szCs w:val="18"/>
              </w:rPr>
            </w:pPr>
          </w:p>
        </w:tc>
        <w:tc>
          <w:tcPr>
            <w:tcW w:w="2992" w:type="dxa"/>
            <w:tcBorders>
              <w:left w:val="nil"/>
            </w:tcBorders>
          </w:tcPr>
          <w:p w14:paraId="7CA6762E" w14:textId="77777777" w:rsidR="007D6FE8" w:rsidRPr="000F3D59" w:rsidRDefault="007D6FE8" w:rsidP="007D6FE8">
            <w:pPr>
              <w:pStyle w:val="ListParagraph"/>
              <w:ind w:left="0"/>
              <w:jc w:val="both"/>
              <w:rPr>
                <w:rFonts w:ascii="Arial" w:eastAsia="Calibri" w:hAnsi="Arial" w:cs="Arial"/>
                <w:color w:val="000000" w:themeColor="text1"/>
                <w:sz w:val="18"/>
                <w:szCs w:val="18"/>
              </w:rPr>
            </w:pPr>
          </w:p>
        </w:tc>
      </w:tr>
      <w:tr w:rsidR="000A6C59" w:rsidRPr="000F3D59" w14:paraId="387B4623" w14:textId="77777777" w:rsidTr="002A119C">
        <w:tc>
          <w:tcPr>
            <w:tcW w:w="2992" w:type="dxa"/>
          </w:tcPr>
          <w:p w14:paraId="5F467497" w14:textId="1638EE45" w:rsidR="007D6FE8" w:rsidRPr="000F3D59" w:rsidRDefault="00D25324"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To evaluate the efficacy of Drug A and Drug B compared with placebo in improving liver-associated laboratory parameters in adults with </w:t>
            </w:r>
            <w:r w:rsidR="00CC1EF2" w:rsidRPr="000F3D59">
              <w:rPr>
                <w:rFonts w:ascii="Arial" w:hAnsi="Arial" w:cs="Arial"/>
                <w:color w:val="000000" w:themeColor="text1"/>
                <w:sz w:val="18"/>
                <w:szCs w:val="18"/>
              </w:rPr>
              <w:t>CLD</w:t>
            </w:r>
            <w:r w:rsidRPr="000F3D59">
              <w:rPr>
                <w:rFonts w:ascii="Arial" w:hAnsi="Arial" w:cs="Arial"/>
                <w:color w:val="000000" w:themeColor="text1"/>
                <w:sz w:val="18"/>
                <w:szCs w:val="18"/>
              </w:rPr>
              <w:t>.</w:t>
            </w:r>
          </w:p>
        </w:tc>
        <w:tc>
          <w:tcPr>
            <w:tcW w:w="3006" w:type="dxa"/>
          </w:tcPr>
          <w:p w14:paraId="2CF3A5E4" w14:textId="2E597DA3" w:rsidR="007D6FE8" w:rsidRPr="000F3D59" w:rsidRDefault="00CC1EF2"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Change from baseline in ALT and AST levels at Week 12 (end of treatment).</w:t>
            </w:r>
          </w:p>
        </w:tc>
        <w:tc>
          <w:tcPr>
            <w:tcW w:w="2992" w:type="dxa"/>
          </w:tcPr>
          <w:p w14:paraId="1A2FD7EC" w14:textId="09D37681" w:rsidR="007D6FE8" w:rsidRPr="000F3D59" w:rsidRDefault="00CC1EF2"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ALT and AST are widely used biomarkers of hepatocellular injury and are routinely monitored to assess disease activity and treatment response in </w:t>
            </w:r>
            <w:r w:rsidRPr="000F3D59">
              <w:rPr>
                <w:rFonts w:ascii="Arial" w:hAnsi="Arial" w:cs="Arial"/>
                <w:color w:val="000000" w:themeColor="text1"/>
                <w:sz w:val="18"/>
                <w:szCs w:val="18"/>
              </w:rPr>
              <w:t>CLD</w:t>
            </w:r>
            <w:r w:rsidRPr="000F3D59">
              <w:rPr>
                <w:rFonts w:ascii="Arial" w:hAnsi="Arial" w:cs="Arial"/>
                <w:color w:val="000000" w:themeColor="text1"/>
                <w:sz w:val="18"/>
                <w:szCs w:val="18"/>
              </w:rPr>
              <w:t>. Reductions in ALT and AST may indicate improvement in liver inflammation and injury.</w:t>
            </w:r>
          </w:p>
        </w:tc>
      </w:tr>
      <w:tr w:rsidR="000A6C59" w:rsidRPr="000F3D59" w14:paraId="3982E678" w14:textId="77777777" w:rsidTr="002A119C">
        <w:tc>
          <w:tcPr>
            <w:tcW w:w="2992" w:type="dxa"/>
          </w:tcPr>
          <w:p w14:paraId="72D31653" w14:textId="269902DF" w:rsidR="007D6FE8" w:rsidRPr="000F3D59" w:rsidRDefault="00CC1EF2"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To evaluate the efficacy of Drug A and Drug B compared with placebo in reducing systemic inflammation in adults with </w:t>
            </w:r>
            <w:r w:rsidRPr="000F3D59">
              <w:rPr>
                <w:rFonts w:ascii="Arial" w:hAnsi="Arial" w:cs="Arial"/>
                <w:color w:val="000000" w:themeColor="text1"/>
                <w:sz w:val="18"/>
                <w:szCs w:val="18"/>
              </w:rPr>
              <w:t>CLD</w:t>
            </w:r>
            <w:r w:rsidRPr="000F3D59">
              <w:rPr>
                <w:rFonts w:ascii="Arial" w:hAnsi="Arial" w:cs="Arial"/>
                <w:color w:val="000000" w:themeColor="text1"/>
                <w:sz w:val="18"/>
                <w:szCs w:val="18"/>
              </w:rPr>
              <w:t>.</w:t>
            </w:r>
          </w:p>
        </w:tc>
        <w:tc>
          <w:tcPr>
            <w:tcW w:w="3006" w:type="dxa"/>
          </w:tcPr>
          <w:p w14:paraId="270C6285" w14:textId="47C095B5" w:rsidR="007D6FE8" w:rsidRPr="000F3D59" w:rsidRDefault="00CC1EF2"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Change from baseline in CRP concentration at Week 12.</w:t>
            </w:r>
          </w:p>
        </w:tc>
        <w:tc>
          <w:tcPr>
            <w:tcW w:w="2992" w:type="dxa"/>
          </w:tcPr>
          <w:p w14:paraId="212C3F3E" w14:textId="5DC613BD" w:rsidR="007D6FE8" w:rsidRPr="000F3D59" w:rsidRDefault="00CC1EF2"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CRP is a widely used biomarker of systemic inflammation and provides a quantitative measure of inflammatory response. A </w:t>
            </w:r>
            <w:r w:rsidRPr="000F3D59">
              <w:rPr>
                <w:rFonts w:ascii="Arial" w:hAnsi="Arial" w:cs="Arial"/>
                <w:color w:val="000000" w:themeColor="text1"/>
                <w:sz w:val="18"/>
                <w:szCs w:val="18"/>
              </w:rPr>
              <w:lastRenderedPageBreak/>
              <w:t>reduction in CRP may indicate an anti-inflammatory effect of the investigational treatments.</w:t>
            </w:r>
          </w:p>
        </w:tc>
      </w:tr>
      <w:tr w:rsidR="000A6C59" w:rsidRPr="000F3D59" w14:paraId="6D21F0BB" w14:textId="77777777" w:rsidTr="002A119C">
        <w:tc>
          <w:tcPr>
            <w:tcW w:w="2992" w:type="dxa"/>
          </w:tcPr>
          <w:p w14:paraId="40982973" w14:textId="65D5F459" w:rsidR="007D6FE8" w:rsidRPr="000F3D59" w:rsidRDefault="007D6FE8"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lastRenderedPageBreak/>
              <w:t>To evaluate the overall safety and tolerability of Drug A and Drug B compared with placebo.</w:t>
            </w:r>
          </w:p>
        </w:tc>
        <w:tc>
          <w:tcPr>
            <w:tcW w:w="3006" w:type="dxa"/>
            <w:tcBorders>
              <w:bottom w:val="single" w:sz="4" w:space="0" w:color="auto"/>
            </w:tcBorders>
          </w:tcPr>
          <w:p w14:paraId="287B09D4" w14:textId="39E8B402" w:rsidR="007D6FE8" w:rsidRPr="000F3D59" w:rsidRDefault="007D6FE8"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Incidence, severity, and relationship of treatment-emergent adverse events (TEAEs) from first dose through follow-up.</w:t>
            </w:r>
          </w:p>
        </w:tc>
        <w:tc>
          <w:tcPr>
            <w:tcW w:w="2992" w:type="dxa"/>
          </w:tcPr>
          <w:p w14:paraId="1334D6D2" w14:textId="0CD55C5C" w:rsidR="007D6FE8" w:rsidRPr="000F3D59" w:rsidRDefault="007D6FE8"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Monitoring adverse events provides an assessment of the safety profile and tolerability of each investigational treatment throughout the study period.</w:t>
            </w:r>
          </w:p>
        </w:tc>
      </w:tr>
      <w:tr w:rsidR="000A6C59" w:rsidRPr="000F3D59" w14:paraId="17F3EB3E" w14:textId="77777777" w:rsidTr="002A119C">
        <w:tc>
          <w:tcPr>
            <w:tcW w:w="2992" w:type="dxa"/>
            <w:tcBorders>
              <w:right w:val="nil"/>
            </w:tcBorders>
          </w:tcPr>
          <w:p w14:paraId="2F46AAEC" w14:textId="3EADDD39" w:rsidR="007D6FE8" w:rsidRPr="000F3D59" w:rsidRDefault="007D6FE8" w:rsidP="007D6FE8">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Secondary</w:t>
            </w:r>
          </w:p>
        </w:tc>
        <w:tc>
          <w:tcPr>
            <w:tcW w:w="3006" w:type="dxa"/>
            <w:tcBorders>
              <w:left w:val="nil"/>
              <w:right w:val="nil"/>
            </w:tcBorders>
          </w:tcPr>
          <w:p w14:paraId="4517EDF6" w14:textId="77777777" w:rsidR="007D6FE8" w:rsidRPr="000F3D59" w:rsidRDefault="007D6FE8" w:rsidP="007D6FE8">
            <w:pPr>
              <w:pStyle w:val="ListParagraph"/>
              <w:ind w:left="0"/>
              <w:jc w:val="both"/>
              <w:rPr>
                <w:rFonts w:ascii="Arial" w:eastAsia="Calibri" w:hAnsi="Arial" w:cs="Arial"/>
                <w:color w:val="000000" w:themeColor="text1"/>
                <w:sz w:val="18"/>
                <w:szCs w:val="18"/>
              </w:rPr>
            </w:pPr>
          </w:p>
        </w:tc>
        <w:tc>
          <w:tcPr>
            <w:tcW w:w="2992" w:type="dxa"/>
            <w:tcBorders>
              <w:left w:val="nil"/>
            </w:tcBorders>
          </w:tcPr>
          <w:p w14:paraId="4210C21F" w14:textId="77777777" w:rsidR="007D6FE8" w:rsidRPr="000F3D59" w:rsidRDefault="007D6FE8" w:rsidP="007D6FE8">
            <w:pPr>
              <w:pStyle w:val="ListParagraph"/>
              <w:ind w:left="0"/>
              <w:jc w:val="both"/>
              <w:rPr>
                <w:rFonts w:ascii="Arial" w:eastAsia="Calibri" w:hAnsi="Arial" w:cs="Arial"/>
                <w:color w:val="000000" w:themeColor="text1"/>
                <w:sz w:val="18"/>
                <w:szCs w:val="18"/>
              </w:rPr>
            </w:pPr>
          </w:p>
        </w:tc>
      </w:tr>
      <w:tr w:rsidR="000A6C59" w:rsidRPr="000F3D59" w14:paraId="16CAFBF8" w14:textId="77777777" w:rsidTr="002A119C">
        <w:tc>
          <w:tcPr>
            <w:tcW w:w="2992" w:type="dxa"/>
          </w:tcPr>
          <w:p w14:paraId="2DC07FBD" w14:textId="7B6E6883" w:rsidR="007D6FE8" w:rsidRPr="000F3D59" w:rsidRDefault="003E76A5"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To characterize the time course of biomarker changes following administration of Drug A and Drug B.</w:t>
            </w:r>
          </w:p>
        </w:tc>
        <w:tc>
          <w:tcPr>
            <w:tcW w:w="3006" w:type="dxa"/>
          </w:tcPr>
          <w:p w14:paraId="4CF13041" w14:textId="09AA41BA" w:rsidR="007D6FE8" w:rsidRPr="000F3D59" w:rsidRDefault="003E76A5"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Change from baseline in ALT, AST, CRP, and</w:t>
            </w:r>
            <w:r w:rsidR="0009194E" w:rsidRPr="000F3D59">
              <w:rPr>
                <w:rFonts w:ascii="Arial" w:hAnsi="Arial" w:cs="Arial"/>
                <w:color w:val="000000" w:themeColor="text1"/>
                <w:sz w:val="18"/>
                <w:szCs w:val="18"/>
              </w:rPr>
              <w:t xml:space="preserve"> </w:t>
            </w:r>
            <w:r w:rsidRPr="000F3D59">
              <w:rPr>
                <w:rFonts w:ascii="Arial" w:hAnsi="Arial" w:cs="Arial"/>
                <w:color w:val="000000" w:themeColor="text1"/>
                <w:sz w:val="18"/>
                <w:szCs w:val="18"/>
              </w:rPr>
              <w:t>HGB at Weeks 4, 8, and 12.</w:t>
            </w:r>
          </w:p>
        </w:tc>
        <w:tc>
          <w:tcPr>
            <w:tcW w:w="2992" w:type="dxa"/>
          </w:tcPr>
          <w:p w14:paraId="5BD50919" w14:textId="521C745B" w:rsidR="007D6FE8" w:rsidRPr="000F3D59" w:rsidRDefault="0009194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Serial laboratory measurements allow evaluation of treatment effects over time and help characterize the onset, magnitude, and persistence of biomarker changes.</w:t>
            </w:r>
          </w:p>
        </w:tc>
      </w:tr>
      <w:tr w:rsidR="000A6C59" w:rsidRPr="000F3D59" w14:paraId="2BEA6422" w14:textId="77777777" w:rsidTr="002A119C">
        <w:tc>
          <w:tcPr>
            <w:tcW w:w="2992" w:type="dxa"/>
          </w:tcPr>
          <w:p w14:paraId="10AECB6A" w14:textId="4A0C96C6" w:rsidR="007D6FE8" w:rsidRPr="000F3D59" w:rsidRDefault="003E76A5"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To compare the efficacy of Drug A and Drug B against each other.</w:t>
            </w:r>
          </w:p>
        </w:tc>
        <w:tc>
          <w:tcPr>
            <w:tcW w:w="3006" w:type="dxa"/>
          </w:tcPr>
          <w:p w14:paraId="1CBE65D8" w14:textId="7AA83A86" w:rsidR="007D6FE8" w:rsidRPr="000F3D59" w:rsidRDefault="003E76A5"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Difference in mean change from baseline to Week 12 in ALT, AST, CRP, and HGB between the Drug A and Drug B treatment groups.</w:t>
            </w:r>
          </w:p>
        </w:tc>
        <w:tc>
          <w:tcPr>
            <w:tcW w:w="2992" w:type="dxa"/>
          </w:tcPr>
          <w:p w14:paraId="4F55DC1F" w14:textId="6F5113AF" w:rsidR="007D6FE8" w:rsidRPr="000F3D59" w:rsidRDefault="0009194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Direct comparison between active treatment groups provides information regarding relative treatment effects and helps identify differences in biological activity.</w:t>
            </w:r>
          </w:p>
        </w:tc>
      </w:tr>
      <w:tr w:rsidR="000A6C59" w:rsidRPr="000F3D59" w14:paraId="3D862AB1" w14:textId="77777777" w:rsidTr="002A119C">
        <w:tc>
          <w:tcPr>
            <w:tcW w:w="2992" w:type="dxa"/>
          </w:tcPr>
          <w:p w14:paraId="439EF79C" w14:textId="1E82BFE2" w:rsidR="007D6FE8" w:rsidRPr="000F3D59" w:rsidRDefault="003E76A5"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To evaluate hematological effects of treatment.</w:t>
            </w:r>
          </w:p>
        </w:tc>
        <w:tc>
          <w:tcPr>
            <w:tcW w:w="3006" w:type="dxa"/>
          </w:tcPr>
          <w:p w14:paraId="448DE5C7" w14:textId="3370825D" w:rsidR="007D6FE8" w:rsidRPr="000F3D59" w:rsidRDefault="003E76A5"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Change from baseline in HGB concentration at Weeks 4, 8, and 12.</w:t>
            </w:r>
          </w:p>
        </w:tc>
        <w:tc>
          <w:tcPr>
            <w:tcW w:w="2992" w:type="dxa"/>
          </w:tcPr>
          <w:p w14:paraId="12B4CF6C" w14:textId="33012027" w:rsidR="007D6FE8" w:rsidRPr="000F3D59" w:rsidRDefault="0009194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Anemia is common in patients with </w:t>
            </w:r>
            <w:r w:rsidR="00D74C28">
              <w:rPr>
                <w:rFonts w:ascii="Arial" w:hAnsi="Arial" w:cs="Arial"/>
                <w:color w:val="000000" w:themeColor="text1"/>
                <w:sz w:val="18"/>
                <w:szCs w:val="18"/>
              </w:rPr>
              <w:t>CLD</w:t>
            </w:r>
            <w:r w:rsidRPr="000F3D59">
              <w:rPr>
                <w:rFonts w:ascii="Arial" w:hAnsi="Arial" w:cs="Arial"/>
                <w:color w:val="000000" w:themeColor="text1"/>
                <w:sz w:val="18"/>
                <w:szCs w:val="18"/>
              </w:rPr>
              <w:t>. Monitoring HGB provides insight into potential treatment effects on hematological status and supports safety evaluation.</w:t>
            </w:r>
          </w:p>
        </w:tc>
      </w:tr>
      <w:tr w:rsidR="000A6C59" w:rsidRPr="000F3D59" w14:paraId="1A05E688" w14:textId="77777777" w:rsidTr="002A119C">
        <w:tc>
          <w:tcPr>
            <w:tcW w:w="2992" w:type="dxa"/>
          </w:tcPr>
          <w:p w14:paraId="37582D04" w14:textId="196F2466" w:rsidR="003E76A5" w:rsidRPr="000F3D59" w:rsidRDefault="003E76A5" w:rsidP="007D6FE8">
            <w:pPr>
              <w:pStyle w:val="ListParagraph"/>
              <w:ind w:left="0"/>
              <w:jc w:val="both"/>
              <w:rPr>
                <w:rFonts w:ascii="Arial" w:hAnsi="Arial" w:cs="Arial"/>
                <w:color w:val="000000" w:themeColor="text1"/>
                <w:sz w:val="18"/>
                <w:szCs w:val="18"/>
              </w:rPr>
            </w:pPr>
            <w:r w:rsidRPr="000F3D59">
              <w:rPr>
                <w:rFonts w:ascii="Arial" w:hAnsi="Arial" w:cs="Arial"/>
                <w:color w:val="000000" w:themeColor="text1"/>
                <w:sz w:val="18"/>
                <w:szCs w:val="18"/>
              </w:rPr>
              <w:t>To evaluate the proportion of participants achieving biomarker improvement.</w:t>
            </w:r>
          </w:p>
        </w:tc>
        <w:tc>
          <w:tcPr>
            <w:tcW w:w="3006" w:type="dxa"/>
          </w:tcPr>
          <w:p w14:paraId="4CC3D090" w14:textId="633EE1F1" w:rsidR="003E76A5" w:rsidRPr="000F3D59" w:rsidRDefault="003E76A5"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Proportion of participants achieving a predefined reduction in CRP and/or improvement in ALT, AST, and HGB from baseline at Week 12.</w:t>
            </w:r>
          </w:p>
        </w:tc>
        <w:tc>
          <w:tcPr>
            <w:tcW w:w="2992" w:type="dxa"/>
          </w:tcPr>
          <w:p w14:paraId="0F25038D" w14:textId="368B01E0" w:rsidR="003E76A5" w:rsidRPr="000F3D59" w:rsidRDefault="0009194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Responder analyses complement continuous biomarker assessments by identifying the percentage of participants experiencing clinically meaningful laboratory changes.</w:t>
            </w:r>
          </w:p>
        </w:tc>
      </w:tr>
      <w:tr w:rsidR="000A6C59" w:rsidRPr="000F3D59" w14:paraId="4F65EF5F" w14:textId="77777777" w:rsidTr="002A119C">
        <w:tc>
          <w:tcPr>
            <w:tcW w:w="2992" w:type="dxa"/>
          </w:tcPr>
          <w:p w14:paraId="17DF03D9" w14:textId="429D24E8" w:rsidR="003E76A5" w:rsidRPr="000F3D59" w:rsidRDefault="003E76A5" w:rsidP="007D6FE8">
            <w:pPr>
              <w:pStyle w:val="ListParagraph"/>
              <w:ind w:left="0"/>
              <w:jc w:val="both"/>
              <w:rPr>
                <w:rFonts w:ascii="Arial" w:hAnsi="Arial" w:cs="Arial"/>
                <w:color w:val="000000" w:themeColor="text1"/>
                <w:sz w:val="18"/>
                <w:szCs w:val="18"/>
              </w:rPr>
            </w:pPr>
            <w:r w:rsidRPr="000F3D59">
              <w:rPr>
                <w:rFonts w:ascii="Arial" w:hAnsi="Arial" w:cs="Arial"/>
                <w:color w:val="000000" w:themeColor="text1"/>
                <w:sz w:val="18"/>
                <w:szCs w:val="18"/>
              </w:rPr>
              <w:t>To evaluate changes in clinical parameters during treatment.</w:t>
            </w:r>
          </w:p>
        </w:tc>
        <w:tc>
          <w:tcPr>
            <w:tcW w:w="3006" w:type="dxa"/>
          </w:tcPr>
          <w:p w14:paraId="61A3505B" w14:textId="1C6E62A4" w:rsidR="003E76A5" w:rsidRPr="000F3D59" w:rsidRDefault="003E76A5"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Change from baseline in vital signs (including blood pressure, heart rate, respiratory rate, </w:t>
            </w:r>
            <w:r w:rsidR="007F47D8" w:rsidRPr="000F3D59">
              <w:rPr>
                <w:rFonts w:ascii="Arial" w:hAnsi="Arial" w:cs="Arial"/>
                <w:color w:val="000000" w:themeColor="text1"/>
                <w:sz w:val="18"/>
                <w:szCs w:val="18"/>
              </w:rPr>
              <w:t xml:space="preserve">weight, </w:t>
            </w:r>
            <w:r w:rsidRPr="000F3D59">
              <w:rPr>
                <w:rFonts w:ascii="Arial" w:hAnsi="Arial" w:cs="Arial"/>
                <w:color w:val="000000" w:themeColor="text1"/>
                <w:sz w:val="18"/>
                <w:szCs w:val="18"/>
              </w:rPr>
              <w:t>and body temperature) at Weeks 4, 8, 12, and follow-up.</w:t>
            </w:r>
          </w:p>
        </w:tc>
        <w:tc>
          <w:tcPr>
            <w:tcW w:w="2992" w:type="dxa"/>
          </w:tcPr>
          <w:p w14:paraId="514E998F" w14:textId="70879B62" w:rsidR="003E76A5" w:rsidRPr="000F3D59" w:rsidRDefault="0009194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Vital signs provide routine safety monitoring and may identify clinically relevant physiological effects associated with study treatments.</w:t>
            </w:r>
          </w:p>
        </w:tc>
      </w:tr>
      <w:tr w:rsidR="000A6C59" w:rsidRPr="000F3D59" w14:paraId="0DDD9364" w14:textId="77777777" w:rsidTr="002A119C">
        <w:tc>
          <w:tcPr>
            <w:tcW w:w="2992" w:type="dxa"/>
          </w:tcPr>
          <w:p w14:paraId="21E2E13B" w14:textId="7EBD750C" w:rsidR="003E76A5" w:rsidRPr="000F3D59" w:rsidRDefault="003E76A5" w:rsidP="007D6FE8">
            <w:pPr>
              <w:pStyle w:val="ListParagraph"/>
              <w:ind w:left="0"/>
              <w:jc w:val="both"/>
              <w:rPr>
                <w:rFonts w:ascii="Arial" w:hAnsi="Arial" w:cs="Arial"/>
                <w:color w:val="000000" w:themeColor="text1"/>
                <w:sz w:val="18"/>
                <w:szCs w:val="18"/>
              </w:rPr>
            </w:pPr>
            <w:r w:rsidRPr="000F3D59">
              <w:rPr>
                <w:rFonts w:ascii="Arial" w:hAnsi="Arial" w:cs="Arial"/>
                <w:color w:val="000000" w:themeColor="text1"/>
                <w:sz w:val="18"/>
                <w:szCs w:val="18"/>
              </w:rPr>
              <w:t>To evaluate the persistence of treatment effects after discontinuation of study drug.</w:t>
            </w:r>
          </w:p>
        </w:tc>
        <w:tc>
          <w:tcPr>
            <w:tcW w:w="3006" w:type="dxa"/>
          </w:tcPr>
          <w:p w14:paraId="17E75B65" w14:textId="58665912" w:rsidR="003E76A5" w:rsidRPr="000F3D59" w:rsidRDefault="0009194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Change from baseline in ALT, AST, CRP, HGB, and adverse events at the follow-up visit (Week 16).</w:t>
            </w:r>
          </w:p>
        </w:tc>
        <w:tc>
          <w:tcPr>
            <w:tcW w:w="2992" w:type="dxa"/>
          </w:tcPr>
          <w:p w14:paraId="21A9E5B2" w14:textId="5ADCE391" w:rsidR="003E76A5" w:rsidRPr="000F3D59" w:rsidRDefault="0009194E" w:rsidP="007D6FE8">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Follow-up assessments characterize whether biomarker changes persist after the final dose and allow monitoring for delayed adverse events.</w:t>
            </w:r>
          </w:p>
        </w:tc>
      </w:tr>
    </w:tbl>
    <w:p w14:paraId="0A206E54" w14:textId="77777777" w:rsidR="00B762A9" w:rsidRPr="000F3D59" w:rsidRDefault="00B762A9" w:rsidP="007D6FE8">
      <w:pPr>
        <w:spacing w:before="0" w:after="0" w:line="240" w:lineRule="auto"/>
        <w:jc w:val="both"/>
        <w:rPr>
          <w:rFonts w:ascii="Arial" w:eastAsia="Calibri" w:hAnsi="Arial" w:cs="Arial"/>
          <w:b/>
          <w:bCs/>
          <w:color w:val="000000" w:themeColor="text1"/>
          <w:sz w:val="22"/>
          <w:szCs w:val="22"/>
        </w:rPr>
      </w:pPr>
    </w:p>
    <w:p w14:paraId="68A154E8" w14:textId="5384300D" w:rsidR="008543CE" w:rsidRPr="000F3D59" w:rsidRDefault="008543CE" w:rsidP="007D6FE8">
      <w:pPr>
        <w:pStyle w:val="ListParagraph"/>
        <w:numPr>
          <w:ilvl w:val="0"/>
          <w:numId w:val="2"/>
        </w:numPr>
        <w:spacing w:before="0" w:after="0" w:line="240" w:lineRule="auto"/>
        <w:jc w:val="both"/>
        <w:rPr>
          <w:rFonts w:ascii="Arial" w:eastAsia="Calibri" w:hAnsi="Arial" w:cs="Arial"/>
          <w:b/>
          <w:bCs/>
          <w:color w:val="000000" w:themeColor="text1"/>
          <w:sz w:val="22"/>
          <w:szCs w:val="22"/>
        </w:rPr>
      </w:pPr>
      <w:r w:rsidRPr="000F3D59">
        <w:rPr>
          <w:rFonts w:ascii="Arial" w:eastAsia="Calibri" w:hAnsi="Arial" w:cs="Arial"/>
          <w:b/>
          <w:bCs/>
          <w:color w:val="000000" w:themeColor="text1"/>
          <w:sz w:val="22"/>
          <w:szCs w:val="22"/>
        </w:rPr>
        <w:t>Study Design</w:t>
      </w:r>
    </w:p>
    <w:p w14:paraId="11344A5A" w14:textId="1E523743" w:rsidR="008543CE"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Overall Design</w:t>
      </w:r>
    </w:p>
    <w:p w14:paraId="531EC6FA" w14:textId="7FA4551B" w:rsidR="00B762A9" w:rsidRPr="000F3D59" w:rsidRDefault="002A119C" w:rsidP="007D6FE8">
      <w:pPr>
        <w:pStyle w:val="ListParagraph"/>
        <w:spacing w:before="0" w:after="0" w:line="240" w:lineRule="auto"/>
        <w:ind w:left="792"/>
        <w:jc w:val="both"/>
        <w:rPr>
          <w:rFonts w:ascii="Arial" w:eastAsia="Calibri" w:hAnsi="Arial" w:cs="Arial"/>
          <w:color w:val="000000" w:themeColor="text1"/>
        </w:rPr>
      </w:pPr>
      <w:r w:rsidRPr="000F3D59">
        <w:rPr>
          <w:rFonts w:ascii="Arial" w:hAnsi="Arial" w:cs="Arial"/>
          <w:color w:val="000000" w:themeColor="text1"/>
        </w:rPr>
        <w:t xml:space="preserve">This is a multicenter, randomized, double-blind, placebo-controlled, parallel-group phase II study designed to evaluate the efficacy, safety, and tolerability of Drug A and Drug B in adults with </w:t>
      </w:r>
      <w:r w:rsidR="004E6530" w:rsidRPr="000F3D59">
        <w:rPr>
          <w:rFonts w:ascii="Arial" w:hAnsi="Arial" w:cs="Arial"/>
          <w:color w:val="000000" w:themeColor="text1"/>
        </w:rPr>
        <w:t>CLD</w:t>
      </w:r>
      <w:r w:rsidRPr="000F3D59">
        <w:rPr>
          <w:rFonts w:ascii="Arial" w:hAnsi="Arial" w:cs="Arial"/>
          <w:color w:val="000000" w:themeColor="text1"/>
        </w:rPr>
        <w:t xml:space="preserve">. Approximately 300 participants will be randomized in an approximately 1:1:1 ratio to receive Drug A, Drug B, or </w:t>
      </w:r>
      <w:r w:rsidR="00042B96" w:rsidRPr="000F3D59">
        <w:rPr>
          <w:rFonts w:ascii="Arial" w:hAnsi="Arial" w:cs="Arial"/>
          <w:color w:val="000000" w:themeColor="text1"/>
        </w:rPr>
        <w:t xml:space="preserve">a matching </w:t>
      </w:r>
      <w:r w:rsidRPr="000F3D59">
        <w:rPr>
          <w:rFonts w:ascii="Arial" w:hAnsi="Arial" w:cs="Arial"/>
          <w:color w:val="000000" w:themeColor="text1"/>
        </w:rPr>
        <w:t>placebo. Following a screening period, eligible participants will undergo baseline assessments and randomization prior to receiving the first dose of study treatment. Participants will receive study treatment at 4-week intervals for a total treatment duration of 12 weeks. Safety and efficacy assessments, including laboratory evaluations of ALT, AST, CRP, and HGB, as well as vital sign measurements and adverse event monitoring, will be conducted throughout the study. A follow-up visit will occur approximately 4 weeks after the final dose to evaluate safety, tolerability, and persistence of treatment effects.</w:t>
      </w:r>
    </w:p>
    <w:p w14:paraId="2A51234F" w14:textId="77777777" w:rsidR="00B762A9" w:rsidRPr="000F3D59" w:rsidRDefault="00B762A9" w:rsidP="007D6FE8">
      <w:pPr>
        <w:pStyle w:val="ListParagraph"/>
        <w:spacing w:before="0" w:after="0" w:line="240" w:lineRule="auto"/>
        <w:ind w:left="792"/>
        <w:jc w:val="both"/>
        <w:rPr>
          <w:rFonts w:ascii="Arial" w:eastAsia="Calibri" w:hAnsi="Arial" w:cs="Arial"/>
          <w:b/>
          <w:bCs/>
          <w:color w:val="000000" w:themeColor="text1"/>
        </w:rPr>
      </w:pPr>
    </w:p>
    <w:p w14:paraId="58BE2537" w14:textId="05C45602" w:rsidR="008543CE"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Justification for Dose</w:t>
      </w:r>
    </w:p>
    <w:p w14:paraId="58244911" w14:textId="63E2050F" w:rsidR="00B762A9" w:rsidRPr="000F3D59" w:rsidRDefault="002A119C" w:rsidP="007D6FE8">
      <w:pPr>
        <w:pStyle w:val="ListParagraph"/>
        <w:spacing w:before="0" w:after="0" w:line="240" w:lineRule="auto"/>
        <w:ind w:left="792"/>
        <w:jc w:val="both"/>
        <w:rPr>
          <w:rFonts w:ascii="Arial" w:eastAsia="Calibri" w:hAnsi="Arial" w:cs="Arial"/>
          <w:color w:val="000000" w:themeColor="text1"/>
        </w:rPr>
      </w:pPr>
      <w:r w:rsidRPr="000F3D59">
        <w:rPr>
          <w:rFonts w:ascii="Arial" w:hAnsi="Arial" w:cs="Arial"/>
          <w:color w:val="000000" w:themeColor="text1"/>
        </w:rPr>
        <w:t>The selected dosing regimen for Drug A</w:t>
      </w:r>
      <w:r w:rsidR="0057452E" w:rsidRPr="000F3D59">
        <w:rPr>
          <w:rFonts w:ascii="Arial" w:hAnsi="Arial" w:cs="Arial"/>
          <w:color w:val="000000" w:themeColor="text1"/>
        </w:rPr>
        <w:t xml:space="preserve"> (200 mg tablet)</w:t>
      </w:r>
      <w:r w:rsidRPr="000F3D59">
        <w:rPr>
          <w:rFonts w:ascii="Arial" w:hAnsi="Arial" w:cs="Arial"/>
          <w:color w:val="000000" w:themeColor="text1"/>
        </w:rPr>
        <w:t xml:space="preserve"> and Drug B</w:t>
      </w:r>
      <w:r w:rsidR="0057452E" w:rsidRPr="000F3D59">
        <w:rPr>
          <w:rFonts w:ascii="Arial" w:hAnsi="Arial" w:cs="Arial"/>
          <w:color w:val="000000" w:themeColor="text1"/>
        </w:rPr>
        <w:t xml:space="preserve"> (300 mg tablet)</w:t>
      </w:r>
      <w:r w:rsidRPr="000F3D59">
        <w:rPr>
          <w:rFonts w:ascii="Arial" w:hAnsi="Arial" w:cs="Arial"/>
          <w:color w:val="000000" w:themeColor="text1"/>
        </w:rPr>
        <w:t xml:space="preserve"> is based on available preclinical and clinical development data supporting an appropriate balance between potential therapeutic activity and tolerability. The dosing interval of every 4 weeks was selected to </w:t>
      </w:r>
      <w:r w:rsidRPr="000F3D59">
        <w:rPr>
          <w:rFonts w:ascii="Arial" w:hAnsi="Arial" w:cs="Arial"/>
          <w:color w:val="000000" w:themeColor="text1"/>
        </w:rPr>
        <w:lastRenderedPageBreak/>
        <w:t>provide sufficient exposure to evaluate changes in inflammatory and laboratory biomarkers while minimizing participant burden. The placebo-controlled design allows assessment of the treatment-related effects of each investigational therapy while accounting for background changes that may occur during the study period. Dose selection may be further informed by emerging safety, pharmacokinetic, pharmacodynamic, and biomarker response data during clinical development.</w:t>
      </w:r>
    </w:p>
    <w:p w14:paraId="2EE3C1D9" w14:textId="77777777" w:rsidR="00B762A9" w:rsidRPr="000F3D59" w:rsidRDefault="00B762A9" w:rsidP="007D6FE8">
      <w:pPr>
        <w:pStyle w:val="ListParagraph"/>
        <w:spacing w:before="0" w:after="0" w:line="240" w:lineRule="auto"/>
        <w:ind w:left="792"/>
        <w:jc w:val="both"/>
        <w:rPr>
          <w:rFonts w:ascii="Arial" w:eastAsia="Calibri" w:hAnsi="Arial" w:cs="Arial"/>
          <w:b/>
          <w:bCs/>
          <w:color w:val="000000" w:themeColor="text1"/>
        </w:rPr>
      </w:pPr>
    </w:p>
    <w:p w14:paraId="44902249" w14:textId="72908004" w:rsidR="008543CE"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End of Study Definition</w:t>
      </w:r>
    </w:p>
    <w:p w14:paraId="20328260" w14:textId="2D5125D2" w:rsidR="00B762A9" w:rsidRPr="000F3D59" w:rsidRDefault="002A119C" w:rsidP="007D6FE8">
      <w:pPr>
        <w:pStyle w:val="ListParagraph"/>
        <w:spacing w:before="0" w:after="0" w:line="240" w:lineRule="auto"/>
        <w:ind w:left="792"/>
        <w:jc w:val="both"/>
        <w:rPr>
          <w:rFonts w:ascii="Arial" w:eastAsia="Calibri" w:hAnsi="Arial" w:cs="Arial"/>
          <w:b/>
          <w:bCs/>
          <w:color w:val="000000" w:themeColor="text1"/>
        </w:rPr>
      </w:pPr>
      <w:r w:rsidRPr="000F3D59">
        <w:rPr>
          <w:rFonts w:ascii="Arial" w:hAnsi="Arial" w:cs="Arial"/>
          <w:color w:val="000000" w:themeColor="text1"/>
        </w:rPr>
        <w:t>The end of study is defined as the date on which the last enrolled participant completes the final follow-up assessment or withdraws from the study. The study will be considered complete when all participants have completed the treatment period and follow-up evaluation, and all required safety and efficacy assessments have been collected.</w:t>
      </w:r>
    </w:p>
    <w:p w14:paraId="0A10B046" w14:textId="77777777" w:rsidR="00B762A9" w:rsidRPr="000F3D59" w:rsidRDefault="00B762A9" w:rsidP="007D6FE8">
      <w:pPr>
        <w:pStyle w:val="ListParagraph"/>
        <w:spacing w:before="0" w:after="0" w:line="240" w:lineRule="auto"/>
        <w:ind w:left="792"/>
        <w:jc w:val="both"/>
        <w:rPr>
          <w:rFonts w:ascii="Arial" w:eastAsia="Calibri" w:hAnsi="Arial" w:cs="Arial"/>
          <w:b/>
          <w:bCs/>
          <w:color w:val="000000" w:themeColor="text1"/>
          <w:sz w:val="22"/>
          <w:szCs w:val="22"/>
        </w:rPr>
      </w:pPr>
    </w:p>
    <w:p w14:paraId="6C13761E" w14:textId="41A73DC9" w:rsidR="00D31079" w:rsidRPr="000F3D59" w:rsidRDefault="00D31079" w:rsidP="007D6FE8">
      <w:pPr>
        <w:pStyle w:val="ListParagraph"/>
        <w:numPr>
          <w:ilvl w:val="0"/>
          <w:numId w:val="2"/>
        </w:numPr>
        <w:spacing w:before="0" w:after="0" w:line="240" w:lineRule="auto"/>
        <w:jc w:val="both"/>
        <w:rPr>
          <w:rFonts w:ascii="Arial" w:eastAsia="Calibri" w:hAnsi="Arial" w:cs="Arial"/>
          <w:b/>
          <w:bCs/>
          <w:color w:val="000000" w:themeColor="text1"/>
          <w:sz w:val="22"/>
          <w:szCs w:val="22"/>
        </w:rPr>
      </w:pPr>
      <w:r w:rsidRPr="000F3D59">
        <w:rPr>
          <w:rFonts w:ascii="Arial" w:eastAsia="Calibri" w:hAnsi="Arial" w:cs="Arial"/>
          <w:b/>
          <w:bCs/>
          <w:color w:val="000000" w:themeColor="text1"/>
          <w:sz w:val="22"/>
          <w:szCs w:val="22"/>
        </w:rPr>
        <w:t>Study Population</w:t>
      </w:r>
    </w:p>
    <w:p w14:paraId="73DB1030" w14:textId="360906BC" w:rsidR="00492A13" w:rsidRPr="000F3D59" w:rsidRDefault="00492A13" w:rsidP="00492A13">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Screening Participants</w:t>
      </w:r>
    </w:p>
    <w:p w14:paraId="13543989" w14:textId="55C313FF" w:rsidR="00492A13" w:rsidRPr="000F3D59" w:rsidRDefault="00492A13" w:rsidP="00492A13">
      <w:pPr>
        <w:pStyle w:val="ListParagraph"/>
        <w:spacing w:before="0" w:after="0" w:line="240" w:lineRule="auto"/>
        <w:ind w:left="792"/>
        <w:jc w:val="both"/>
        <w:rPr>
          <w:rFonts w:ascii="Arial" w:eastAsia="Calibri" w:hAnsi="Arial" w:cs="Arial"/>
          <w:color w:val="000000" w:themeColor="text1"/>
        </w:rPr>
      </w:pPr>
      <w:r w:rsidRPr="000F3D59">
        <w:rPr>
          <w:rFonts w:ascii="Arial" w:hAnsi="Arial" w:cs="Arial"/>
          <w:color w:val="000000" w:themeColor="text1"/>
        </w:rPr>
        <w:t>Individuals who provide informed consent for screening will undergo eligibility assessments, including review of demographic characteristics, medical history, concomitant medications, vital signs, and laboratory evaluations. Participants who meet all eligibility criteria will be eligible for enrollment and randomization.</w:t>
      </w:r>
    </w:p>
    <w:p w14:paraId="465A1B7B" w14:textId="77777777" w:rsidR="00492A13" w:rsidRPr="000F3D59" w:rsidRDefault="00492A13" w:rsidP="00492A13">
      <w:pPr>
        <w:pStyle w:val="ListParagraph"/>
        <w:spacing w:before="0" w:after="0" w:line="240" w:lineRule="auto"/>
        <w:ind w:left="792"/>
        <w:jc w:val="both"/>
        <w:rPr>
          <w:rFonts w:ascii="Arial" w:eastAsia="Calibri" w:hAnsi="Arial" w:cs="Arial"/>
          <w:b/>
          <w:bCs/>
          <w:color w:val="000000" w:themeColor="text1"/>
        </w:rPr>
      </w:pPr>
    </w:p>
    <w:p w14:paraId="47FA0D2E" w14:textId="204F29E9" w:rsidR="00D31079" w:rsidRPr="000F3D59" w:rsidRDefault="00492A13" w:rsidP="00492A13">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Inclusion criteria</w:t>
      </w:r>
    </w:p>
    <w:tbl>
      <w:tblPr>
        <w:tblStyle w:val="TableGrid"/>
        <w:tblW w:w="0" w:type="auto"/>
        <w:tblInd w:w="792" w:type="dxa"/>
        <w:tblLook w:val="04A0" w:firstRow="1" w:lastRow="0" w:firstColumn="1" w:lastColumn="0" w:noHBand="0" w:noVBand="1"/>
      </w:tblPr>
      <w:tblGrid>
        <w:gridCol w:w="1993"/>
        <w:gridCol w:w="6565"/>
      </w:tblGrid>
      <w:tr w:rsidR="000A6C59" w:rsidRPr="000F3D59" w14:paraId="3603F92D" w14:textId="77777777" w:rsidTr="00492A13">
        <w:tc>
          <w:tcPr>
            <w:tcW w:w="1993" w:type="dxa"/>
          </w:tcPr>
          <w:p w14:paraId="523DD4C7" w14:textId="39C7D7AB" w:rsidR="00492A13" w:rsidRPr="000F3D59" w:rsidRDefault="00492A13" w:rsidP="00492A13">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Criterion</w:t>
            </w:r>
          </w:p>
        </w:tc>
        <w:tc>
          <w:tcPr>
            <w:tcW w:w="6565" w:type="dxa"/>
          </w:tcPr>
          <w:p w14:paraId="2918C32A" w14:textId="27DBB8CE"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b/>
                <w:bCs/>
                <w:color w:val="000000" w:themeColor="text1"/>
                <w:sz w:val="18"/>
                <w:szCs w:val="18"/>
              </w:rPr>
              <w:t>Description</w:t>
            </w:r>
          </w:p>
        </w:tc>
      </w:tr>
      <w:tr w:rsidR="000A6C59" w:rsidRPr="000F3D59" w14:paraId="018E1A25" w14:textId="77777777" w:rsidTr="00492A13">
        <w:tc>
          <w:tcPr>
            <w:tcW w:w="1993" w:type="dxa"/>
          </w:tcPr>
          <w:p w14:paraId="5D8064C2" w14:textId="450EA3E6"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Age</w:t>
            </w:r>
          </w:p>
        </w:tc>
        <w:tc>
          <w:tcPr>
            <w:tcW w:w="6565" w:type="dxa"/>
          </w:tcPr>
          <w:p w14:paraId="21A63D65" w14:textId="214BAC8C"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Adults aged 18 to 85 years at the time of informed consent.</w:t>
            </w:r>
          </w:p>
        </w:tc>
      </w:tr>
      <w:tr w:rsidR="000A6C59" w:rsidRPr="000F3D59" w14:paraId="2A58AA5F" w14:textId="77777777" w:rsidTr="00492A13">
        <w:tc>
          <w:tcPr>
            <w:tcW w:w="1993" w:type="dxa"/>
          </w:tcPr>
          <w:p w14:paraId="15250A13" w14:textId="432874C1"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Sex and Gender</w:t>
            </w:r>
          </w:p>
        </w:tc>
        <w:tc>
          <w:tcPr>
            <w:tcW w:w="6565" w:type="dxa"/>
          </w:tcPr>
          <w:p w14:paraId="490044B5" w14:textId="43D09F14"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Participants of any sex or gender identity, including male, female, or intersex individuals, are eligible.</w:t>
            </w:r>
          </w:p>
        </w:tc>
      </w:tr>
      <w:tr w:rsidR="000A6C59" w:rsidRPr="000F3D59" w14:paraId="60B907F5" w14:textId="77777777" w:rsidTr="00492A13">
        <w:tc>
          <w:tcPr>
            <w:tcW w:w="1993" w:type="dxa"/>
          </w:tcPr>
          <w:p w14:paraId="7A17432C" w14:textId="21DC7555"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Race and Ethnicity</w:t>
            </w:r>
          </w:p>
        </w:tc>
        <w:tc>
          <w:tcPr>
            <w:tcW w:w="6565" w:type="dxa"/>
          </w:tcPr>
          <w:p w14:paraId="6978F76D" w14:textId="7FDD3A3F"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Participants of any race or ethnicity residing in the United States are eligible.</w:t>
            </w:r>
          </w:p>
        </w:tc>
      </w:tr>
      <w:tr w:rsidR="000A6C59" w:rsidRPr="000F3D59" w14:paraId="2CE89E00" w14:textId="77777777" w:rsidTr="00492A13">
        <w:tc>
          <w:tcPr>
            <w:tcW w:w="1993" w:type="dxa"/>
          </w:tcPr>
          <w:p w14:paraId="31B0D710" w14:textId="14120559"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Diagnosis</w:t>
            </w:r>
          </w:p>
        </w:tc>
        <w:tc>
          <w:tcPr>
            <w:tcW w:w="6565" w:type="dxa"/>
          </w:tcPr>
          <w:p w14:paraId="68374F43" w14:textId="67D97A8D"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 xml:space="preserve">Documented diagnosis of </w:t>
            </w:r>
            <w:r w:rsidR="000F3D59" w:rsidRPr="000F3D59">
              <w:rPr>
                <w:rFonts w:ascii="Arial" w:hAnsi="Arial" w:cs="Arial"/>
                <w:color w:val="000000" w:themeColor="text1"/>
                <w:sz w:val="18"/>
                <w:szCs w:val="18"/>
              </w:rPr>
              <w:t>CLD</w:t>
            </w:r>
            <w:r w:rsidRPr="000F3D59">
              <w:rPr>
                <w:rFonts w:ascii="Arial" w:hAnsi="Arial" w:cs="Arial"/>
                <w:color w:val="000000" w:themeColor="text1"/>
                <w:sz w:val="18"/>
                <w:szCs w:val="18"/>
              </w:rPr>
              <w:t xml:space="preserve"> requiring ongoing medical management.</w:t>
            </w:r>
          </w:p>
        </w:tc>
      </w:tr>
      <w:tr w:rsidR="000A6C59" w:rsidRPr="000F3D59" w14:paraId="298AB515" w14:textId="77777777" w:rsidTr="00492A13">
        <w:tc>
          <w:tcPr>
            <w:tcW w:w="1993" w:type="dxa"/>
          </w:tcPr>
          <w:p w14:paraId="460C0CF4" w14:textId="1F831C5E"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Medical History</w:t>
            </w:r>
          </w:p>
        </w:tc>
        <w:tc>
          <w:tcPr>
            <w:tcW w:w="6565" w:type="dxa"/>
          </w:tcPr>
          <w:p w14:paraId="5759C295" w14:textId="7DB06CF2"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Participants may have a history of one or more common C</w:t>
            </w:r>
            <w:r w:rsidR="00D74C28">
              <w:rPr>
                <w:rFonts w:ascii="Arial" w:hAnsi="Arial" w:cs="Arial"/>
                <w:color w:val="000000" w:themeColor="text1"/>
                <w:sz w:val="18"/>
                <w:szCs w:val="18"/>
              </w:rPr>
              <w:t>L</w:t>
            </w:r>
            <w:r w:rsidRPr="000F3D59">
              <w:rPr>
                <w:rFonts w:ascii="Arial" w:hAnsi="Arial" w:cs="Arial"/>
                <w:color w:val="000000" w:themeColor="text1"/>
                <w:sz w:val="18"/>
                <w:szCs w:val="18"/>
              </w:rPr>
              <w:t>D-associated comorbidities, including hypertension, type 2 diabetes mellitus, hyperlipidemia, and/or prior stroke.</w:t>
            </w:r>
          </w:p>
        </w:tc>
      </w:tr>
      <w:tr w:rsidR="000A6C59" w:rsidRPr="000F3D59" w14:paraId="02A25EF5" w14:textId="77777777" w:rsidTr="00492A13">
        <w:tc>
          <w:tcPr>
            <w:tcW w:w="1993" w:type="dxa"/>
          </w:tcPr>
          <w:p w14:paraId="24411D9C" w14:textId="3E012E92"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Stable Background Therapy</w:t>
            </w:r>
          </w:p>
        </w:tc>
        <w:tc>
          <w:tcPr>
            <w:tcW w:w="6565" w:type="dxa"/>
          </w:tcPr>
          <w:p w14:paraId="7119B785" w14:textId="6483FEEE"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Participants receiving stable doses of permitted concomitant medications, including metformin, simvastatin, losartan, and medications for secondary stroke prevention, may be eligible if treatment has remained stable prior to enrollment.</w:t>
            </w:r>
          </w:p>
        </w:tc>
      </w:tr>
      <w:tr w:rsidR="000A6C59" w:rsidRPr="000F3D59" w14:paraId="5A46F173" w14:textId="77777777" w:rsidTr="00492A13">
        <w:tc>
          <w:tcPr>
            <w:tcW w:w="1993" w:type="dxa"/>
          </w:tcPr>
          <w:p w14:paraId="5E190E08" w14:textId="0BE98C40"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Laboratory Requirements</w:t>
            </w:r>
          </w:p>
        </w:tc>
        <w:tc>
          <w:tcPr>
            <w:tcW w:w="6565" w:type="dxa"/>
          </w:tcPr>
          <w:p w14:paraId="023C3196" w14:textId="217A8F85"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Screening laboratory assessments must demonstrate acceptable clinical status for study participation, including laboratory values within protocol-defined safety limits for ALT, AST, CRP, HGB, and other routine clinical chemistry and hematology parameters.</w:t>
            </w:r>
          </w:p>
        </w:tc>
      </w:tr>
      <w:tr w:rsidR="000A6C59" w:rsidRPr="000F3D59" w14:paraId="0F4128BF" w14:textId="77777777" w:rsidTr="00492A13">
        <w:tc>
          <w:tcPr>
            <w:tcW w:w="1993" w:type="dxa"/>
          </w:tcPr>
          <w:p w14:paraId="4BD863F7" w14:textId="055BFDE7"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Vital Signs</w:t>
            </w:r>
          </w:p>
        </w:tc>
        <w:tc>
          <w:tcPr>
            <w:tcW w:w="6565" w:type="dxa"/>
          </w:tcPr>
          <w:p w14:paraId="477FDCA9" w14:textId="6C562218"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Baseline vital signs must be within clinically acceptable ranges as determined by the investigator.</w:t>
            </w:r>
          </w:p>
        </w:tc>
      </w:tr>
      <w:tr w:rsidR="000A6C59" w:rsidRPr="000F3D59" w14:paraId="0AE8C788" w14:textId="77777777" w:rsidTr="00492A13">
        <w:tc>
          <w:tcPr>
            <w:tcW w:w="1993" w:type="dxa"/>
          </w:tcPr>
          <w:p w14:paraId="4B97BA9E" w14:textId="6E7BC4DD"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Ability to Participate</w:t>
            </w:r>
          </w:p>
        </w:tc>
        <w:tc>
          <w:tcPr>
            <w:tcW w:w="6565" w:type="dxa"/>
          </w:tcPr>
          <w:p w14:paraId="16DF2DB2" w14:textId="3E502BC4"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Participants must be willing and able to comply with study procedures, including scheduled visits, laboratory assessments, study drug administration, and follow-up evaluations.</w:t>
            </w:r>
          </w:p>
        </w:tc>
      </w:tr>
      <w:tr w:rsidR="000A6C59" w:rsidRPr="000F3D59" w14:paraId="7BCE8B3B" w14:textId="77777777" w:rsidTr="00492A13">
        <w:tc>
          <w:tcPr>
            <w:tcW w:w="1993" w:type="dxa"/>
          </w:tcPr>
          <w:p w14:paraId="51445DF4" w14:textId="291ED21F"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Informed Consent</w:t>
            </w:r>
          </w:p>
        </w:tc>
        <w:tc>
          <w:tcPr>
            <w:tcW w:w="6565" w:type="dxa"/>
          </w:tcPr>
          <w:p w14:paraId="46D5313B" w14:textId="6F6BF146" w:rsidR="00492A13" w:rsidRPr="000F3D59" w:rsidRDefault="00492A13" w:rsidP="00492A13">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Participants must provide written informed consent prior to initiation of study-specific procedures.</w:t>
            </w:r>
          </w:p>
        </w:tc>
      </w:tr>
    </w:tbl>
    <w:p w14:paraId="1C9275C9" w14:textId="77777777" w:rsidR="00492A13" w:rsidRPr="000F3D59" w:rsidRDefault="00492A13" w:rsidP="00492A13">
      <w:pPr>
        <w:pStyle w:val="ListParagraph"/>
        <w:spacing w:before="0" w:after="0" w:line="240" w:lineRule="auto"/>
        <w:ind w:left="792"/>
        <w:jc w:val="both"/>
        <w:rPr>
          <w:rFonts w:ascii="Arial" w:eastAsia="Calibri" w:hAnsi="Arial" w:cs="Arial"/>
          <w:b/>
          <w:bCs/>
          <w:color w:val="000000" w:themeColor="text1"/>
        </w:rPr>
      </w:pPr>
    </w:p>
    <w:p w14:paraId="1B526A8C" w14:textId="39BD6B06" w:rsidR="00492A13" w:rsidRPr="000F3D59" w:rsidRDefault="00492A13" w:rsidP="00492A13">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Exclusion criteria</w:t>
      </w:r>
    </w:p>
    <w:tbl>
      <w:tblPr>
        <w:tblStyle w:val="TableGrid"/>
        <w:tblW w:w="0" w:type="auto"/>
        <w:tblInd w:w="792" w:type="dxa"/>
        <w:tblLook w:val="04A0" w:firstRow="1" w:lastRow="0" w:firstColumn="1" w:lastColumn="0" w:noHBand="0" w:noVBand="1"/>
      </w:tblPr>
      <w:tblGrid>
        <w:gridCol w:w="1993"/>
        <w:gridCol w:w="6565"/>
      </w:tblGrid>
      <w:tr w:rsidR="000A6C59" w:rsidRPr="000F3D59" w14:paraId="74F7FFA0" w14:textId="77777777" w:rsidTr="00100B8B">
        <w:tc>
          <w:tcPr>
            <w:tcW w:w="1993" w:type="dxa"/>
          </w:tcPr>
          <w:p w14:paraId="1A889B50" w14:textId="77777777" w:rsidR="00492A13" w:rsidRPr="000F3D59" w:rsidRDefault="00492A13" w:rsidP="00100B8B">
            <w:pPr>
              <w:pStyle w:val="ListParagraph"/>
              <w:ind w:left="0"/>
              <w:jc w:val="both"/>
              <w:rPr>
                <w:rFonts w:ascii="Arial" w:eastAsia="Calibri" w:hAnsi="Arial" w:cs="Arial"/>
                <w:b/>
                <w:bCs/>
                <w:color w:val="000000" w:themeColor="text1"/>
                <w:sz w:val="18"/>
                <w:szCs w:val="18"/>
              </w:rPr>
            </w:pPr>
            <w:r w:rsidRPr="000F3D59">
              <w:rPr>
                <w:rFonts w:ascii="Arial" w:eastAsia="Calibri" w:hAnsi="Arial" w:cs="Arial"/>
                <w:b/>
                <w:bCs/>
                <w:color w:val="000000" w:themeColor="text1"/>
                <w:sz w:val="18"/>
                <w:szCs w:val="18"/>
              </w:rPr>
              <w:t>Criterion</w:t>
            </w:r>
          </w:p>
        </w:tc>
        <w:tc>
          <w:tcPr>
            <w:tcW w:w="6565" w:type="dxa"/>
          </w:tcPr>
          <w:p w14:paraId="05BB13EC" w14:textId="77777777"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b/>
                <w:bCs/>
                <w:color w:val="000000" w:themeColor="text1"/>
                <w:sz w:val="18"/>
                <w:szCs w:val="18"/>
              </w:rPr>
              <w:t>Description</w:t>
            </w:r>
          </w:p>
        </w:tc>
      </w:tr>
      <w:tr w:rsidR="000A6C59" w:rsidRPr="000F3D59" w14:paraId="3BF7289A" w14:textId="77777777" w:rsidTr="00100B8B">
        <w:tc>
          <w:tcPr>
            <w:tcW w:w="1993" w:type="dxa"/>
          </w:tcPr>
          <w:p w14:paraId="6916947C" w14:textId="375285A4"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Medical Conditions</w:t>
            </w:r>
          </w:p>
        </w:tc>
        <w:tc>
          <w:tcPr>
            <w:tcW w:w="6565" w:type="dxa"/>
          </w:tcPr>
          <w:p w14:paraId="224B4086" w14:textId="2E3EA550"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Presence of a significant uncontrolled medical condition that, in the investigator’s judgment, may interfere with study participation, interpretation of results, or participant safety.</w:t>
            </w:r>
          </w:p>
        </w:tc>
      </w:tr>
      <w:tr w:rsidR="000A6C59" w:rsidRPr="000F3D59" w14:paraId="2D6B4C2E" w14:textId="77777777" w:rsidTr="00100B8B">
        <w:tc>
          <w:tcPr>
            <w:tcW w:w="1993" w:type="dxa"/>
          </w:tcPr>
          <w:p w14:paraId="13DD6035" w14:textId="43C8B46B" w:rsidR="00492A13" w:rsidRPr="000F3D59" w:rsidRDefault="000F3D59"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Liver</w:t>
            </w:r>
            <w:r w:rsidR="00492A13" w:rsidRPr="000F3D59">
              <w:rPr>
                <w:rFonts w:ascii="Arial" w:eastAsia="Calibri" w:hAnsi="Arial" w:cs="Arial"/>
                <w:color w:val="000000" w:themeColor="text1"/>
                <w:sz w:val="18"/>
                <w:szCs w:val="18"/>
              </w:rPr>
              <w:t xml:space="preserve"> Disease Status</w:t>
            </w:r>
          </w:p>
        </w:tc>
        <w:tc>
          <w:tcPr>
            <w:tcW w:w="6565" w:type="dxa"/>
          </w:tcPr>
          <w:p w14:paraId="2EC096F0" w14:textId="1D23963B" w:rsidR="00492A13" w:rsidRPr="000F3D59" w:rsidRDefault="000F3D59"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Participants with acute liver failure, decompensated cirrhosis, planned liver transplantation during the study period, or other rapidly progressive liver disease that, in the investigator's judgment, would make study participation inappropriate.</w:t>
            </w:r>
          </w:p>
        </w:tc>
      </w:tr>
      <w:tr w:rsidR="000A6C59" w:rsidRPr="000F3D59" w14:paraId="08745709" w14:textId="77777777" w:rsidTr="00100B8B">
        <w:tc>
          <w:tcPr>
            <w:tcW w:w="1993" w:type="dxa"/>
          </w:tcPr>
          <w:p w14:paraId="08565622" w14:textId="215FD1A5"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Hepatic Safety Concerns</w:t>
            </w:r>
          </w:p>
        </w:tc>
        <w:tc>
          <w:tcPr>
            <w:tcW w:w="6565" w:type="dxa"/>
          </w:tcPr>
          <w:p w14:paraId="73330C86" w14:textId="35BE2295" w:rsidR="00492A13" w:rsidRPr="000F3D59" w:rsidRDefault="000F3D59"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Clinically significant hepatic impairment or screening laboratory abnormalities indicating unacceptable safety risk, including ALT or AST values exceeding protocol-defined thresholds or other clinically significant liver function abnormalities as defined in the protocol.</w:t>
            </w:r>
          </w:p>
        </w:tc>
      </w:tr>
      <w:tr w:rsidR="000A6C59" w:rsidRPr="000F3D59" w14:paraId="059EBDFF" w14:textId="77777777" w:rsidTr="00100B8B">
        <w:tc>
          <w:tcPr>
            <w:tcW w:w="1993" w:type="dxa"/>
          </w:tcPr>
          <w:p w14:paraId="723BAC8A" w14:textId="3F9ABF2F"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Hematologic Abnormalities</w:t>
            </w:r>
          </w:p>
        </w:tc>
        <w:tc>
          <w:tcPr>
            <w:tcW w:w="6565" w:type="dxa"/>
          </w:tcPr>
          <w:p w14:paraId="765713C7" w14:textId="3723B20C" w:rsidR="00492A13" w:rsidRPr="000F3D59" w:rsidRDefault="000F3D59"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Clinically significant hematologic abnormalities, including HGB levels below protocol-defined safety limits</w:t>
            </w:r>
            <w:r w:rsidR="00492A13" w:rsidRPr="000F3D59">
              <w:rPr>
                <w:rFonts w:ascii="Arial" w:hAnsi="Arial" w:cs="Arial"/>
                <w:color w:val="000000" w:themeColor="text1"/>
                <w:sz w:val="18"/>
                <w:szCs w:val="18"/>
              </w:rPr>
              <w:t>.</w:t>
            </w:r>
          </w:p>
        </w:tc>
      </w:tr>
      <w:tr w:rsidR="000A6C59" w:rsidRPr="000F3D59" w14:paraId="7F084922" w14:textId="77777777" w:rsidTr="00100B8B">
        <w:tc>
          <w:tcPr>
            <w:tcW w:w="1993" w:type="dxa"/>
          </w:tcPr>
          <w:p w14:paraId="35EB8720" w14:textId="0A04C4DC"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lastRenderedPageBreak/>
              <w:t>Active Infection or Inflammatory Disease</w:t>
            </w:r>
          </w:p>
        </w:tc>
        <w:tc>
          <w:tcPr>
            <w:tcW w:w="6565" w:type="dxa"/>
          </w:tcPr>
          <w:p w14:paraId="27ABA5E7" w14:textId="10539DB8"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Active systemic infection, uncontrolled inflammatory disorder, or other condition likely to significantly influence CRP levels or study outcomes.</w:t>
            </w:r>
          </w:p>
        </w:tc>
      </w:tr>
      <w:tr w:rsidR="000A6C59" w:rsidRPr="000F3D59" w14:paraId="6348A1E5" w14:textId="77777777" w:rsidTr="00100B8B">
        <w:tc>
          <w:tcPr>
            <w:tcW w:w="1993" w:type="dxa"/>
          </w:tcPr>
          <w:p w14:paraId="7BEAA2B8" w14:textId="4C71789B"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Cardiovascular Instability</w:t>
            </w:r>
          </w:p>
        </w:tc>
        <w:tc>
          <w:tcPr>
            <w:tcW w:w="6565" w:type="dxa"/>
          </w:tcPr>
          <w:p w14:paraId="73717955" w14:textId="2E1CBE2B"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Recent major cardiovascular event, including unstable cardiovascular disease or recent hospitalization for acute cardiovascular complications, as determined by the investigator.</w:t>
            </w:r>
          </w:p>
        </w:tc>
      </w:tr>
      <w:tr w:rsidR="000A6C59" w:rsidRPr="000F3D59" w14:paraId="7AEADC40" w14:textId="77777777" w:rsidTr="00100B8B">
        <w:tc>
          <w:tcPr>
            <w:tcW w:w="1993" w:type="dxa"/>
          </w:tcPr>
          <w:p w14:paraId="7477BD4F" w14:textId="427875EA"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Recent Stroke Event</w:t>
            </w:r>
          </w:p>
        </w:tc>
        <w:tc>
          <w:tcPr>
            <w:tcW w:w="6565" w:type="dxa"/>
          </w:tcPr>
          <w:p w14:paraId="30A667DA" w14:textId="0AAD0703"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Stroke occurring within a protocol-defined recent period prior to screening or stroke-related instability requiring acute medical management.</w:t>
            </w:r>
          </w:p>
        </w:tc>
      </w:tr>
      <w:tr w:rsidR="000A6C59" w:rsidRPr="000F3D59" w14:paraId="2508FDFD" w14:textId="77777777" w:rsidTr="00100B8B">
        <w:tc>
          <w:tcPr>
            <w:tcW w:w="1993" w:type="dxa"/>
          </w:tcPr>
          <w:p w14:paraId="1F107D16" w14:textId="5AC9846B"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Medication Restrictions</w:t>
            </w:r>
          </w:p>
        </w:tc>
        <w:tc>
          <w:tcPr>
            <w:tcW w:w="6565" w:type="dxa"/>
          </w:tcPr>
          <w:p w14:paraId="569B75F4" w14:textId="113491DA"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Use of prohibited investigational drugs, therapies known to significantly affect inflammatory biomarkers, or participation in another interventional clinical trial within a protocol-defined period before screening.</w:t>
            </w:r>
          </w:p>
        </w:tc>
      </w:tr>
      <w:tr w:rsidR="000A6C59" w:rsidRPr="000F3D59" w14:paraId="10544F17" w14:textId="77777777" w:rsidTr="00100B8B">
        <w:tc>
          <w:tcPr>
            <w:tcW w:w="1993" w:type="dxa"/>
          </w:tcPr>
          <w:p w14:paraId="65049F69" w14:textId="3A53A4DC"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Treatment Changes</w:t>
            </w:r>
          </w:p>
        </w:tc>
        <w:tc>
          <w:tcPr>
            <w:tcW w:w="6565" w:type="dxa"/>
          </w:tcPr>
          <w:p w14:paraId="7D646A70" w14:textId="12AB1434"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Major changes in background medications for hypertension, diabetes, hyperlipidemia, or stroke prevention therapy during the screening period that may affect study outcomes.</w:t>
            </w:r>
          </w:p>
        </w:tc>
      </w:tr>
      <w:tr w:rsidR="000A6C59" w:rsidRPr="000F3D59" w14:paraId="3B382A7E" w14:textId="77777777" w:rsidTr="00100B8B">
        <w:tc>
          <w:tcPr>
            <w:tcW w:w="1993" w:type="dxa"/>
          </w:tcPr>
          <w:p w14:paraId="3460C1EE" w14:textId="731004AD"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Pregnancy and Lactation</w:t>
            </w:r>
          </w:p>
        </w:tc>
        <w:tc>
          <w:tcPr>
            <w:tcW w:w="6565" w:type="dxa"/>
          </w:tcPr>
          <w:p w14:paraId="7EFC96F5" w14:textId="4AA7A4BD"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Pregnant or breastfeeding individuals will be excluded due to unknown risks associated with investigational treatment exposure.</w:t>
            </w:r>
          </w:p>
        </w:tc>
      </w:tr>
      <w:tr w:rsidR="000A6C59" w:rsidRPr="000F3D59" w14:paraId="5339AB68" w14:textId="77777777" w:rsidTr="00100B8B">
        <w:tc>
          <w:tcPr>
            <w:tcW w:w="1993" w:type="dxa"/>
          </w:tcPr>
          <w:p w14:paraId="7B24F7D1" w14:textId="26C80768"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Reproductive Potential</w:t>
            </w:r>
          </w:p>
        </w:tc>
        <w:tc>
          <w:tcPr>
            <w:tcW w:w="6565" w:type="dxa"/>
          </w:tcPr>
          <w:p w14:paraId="5444172B" w14:textId="5E7BD7D5"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Participants of reproductive potential must agree to use an effective contraceptive method during treatment and for the protocol-defined period after the final dose. Acceptable methods include licensed hormonal contraception, intrauterine devices, barrier methods with spermicide, or documented surgical sterilization where applicable.</w:t>
            </w:r>
          </w:p>
        </w:tc>
      </w:tr>
      <w:tr w:rsidR="000A6C59" w:rsidRPr="000F3D59" w14:paraId="371AA832" w14:textId="77777777" w:rsidTr="00100B8B">
        <w:tc>
          <w:tcPr>
            <w:tcW w:w="1993" w:type="dxa"/>
          </w:tcPr>
          <w:p w14:paraId="47789C0E" w14:textId="471AF749"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Substance Use</w:t>
            </w:r>
          </w:p>
        </w:tc>
        <w:tc>
          <w:tcPr>
            <w:tcW w:w="6565" w:type="dxa"/>
          </w:tcPr>
          <w:p w14:paraId="7907B0E8" w14:textId="0C5363B3"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History of substance abuse or any condition that may impair adherence to study procedures, as determined by the investigator.</w:t>
            </w:r>
          </w:p>
        </w:tc>
      </w:tr>
      <w:tr w:rsidR="000A6C59" w:rsidRPr="000F3D59" w14:paraId="1B358011" w14:textId="77777777" w:rsidTr="00100B8B">
        <w:tc>
          <w:tcPr>
            <w:tcW w:w="1993" w:type="dxa"/>
          </w:tcPr>
          <w:p w14:paraId="0629340A" w14:textId="0A268245"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eastAsia="Calibri" w:hAnsi="Arial" w:cs="Arial"/>
                <w:color w:val="000000" w:themeColor="text1"/>
                <w:sz w:val="18"/>
                <w:szCs w:val="18"/>
              </w:rPr>
              <w:t>Study Compliance</w:t>
            </w:r>
          </w:p>
        </w:tc>
        <w:tc>
          <w:tcPr>
            <w:tcW w:w="6565" w:type="dxa"/>
          </w:tcPr>
          <w:p w14:paraId="75BE28F0" w14:textId="4C637624" w:rsidR="00492A13" w:rsidRPr="000F3D59" w:rsidRDefault="00492A13" w:rsidP="00100B8B">
            <w:pPr>
              <w:pStyle w:val="ListParagraph"/>
              <w:ind w:left="0"/>
              <w:jc w:val="both"/>
              <w:rPr>
                <w:rFonts w:ascii="Arial" w:eastAsia="Calibri" w:hAnsi="Arial" w:cs="Arial"/>
                <w:color w:val="000000" w:themeColor="text1"/>
                <w:sz w:val="18"/>
                <w:szCs w:val="18"/>
              </w:rPr>
            </w:pPr>
            <w:r w:rsidRPr="000F3D59">
              <w:rPr>
                <w:rFonts w:ascii="Arial" w:hAnsi="Arial" w:cs="Arial"/>
                <w:color w:val="000000" w:themeColor="text1"/>
                <w:sz w:val="18"/>
                <w:szCs w:val="18"/>
              </w:rPr>
              <w:t>Any condition that may prevent reliable completion of study visits, treatment administration, or required assessments.</w:t>
            </w:r>
          </w:p>
        </w:tc>
      </w:tr>
    </w:tbl>
    <w:p w14:paraId="2F7264C9" w14:textId="77777777" w:rsidR="00D31079" w:rsidRPr="000F3D59" w:rsidRDefault="00D31079" w:rsidP="00D31079">
      <w:pPr>
        <w:pStyle w:val="ListParagraph"/>
        <w:spacing w:before="0" w:after="0" w:line="240" w:lineRule="auto"/>
        <w:ind w:left="360"/>
        <w:jc w:val="both"/>
        <w:rPr>
          <w:rFonts w:ascii="Arial" w:eastAsia="Calibri" w:hAnsi="Arial" w:cs="Arial"/>
          <w:b/>
          <w:bCs/>
          <w:color w:val="000000" w:themeColor="text1"/>
          <w:sz w:val="22"/>
          <w:szCs w:val="22"/>
        </w:rPr>
      </w:pPr>
    </w:p>
    <w:p w14:paraId="637045F9" w14:textId="01E5E875" w:rsidR="008543CE" w:rsidRPr="000F3D59" w:rsidRDefault="008543CE" w:rsidP="007D6FE8">
      <w:pPr>
        <w:pStyle w:val="ListParagraph"/>
        <w:numPr>
          <w:ilvl w:val="0"/>
          <w:numId w:val="2"/>
        </w:numPr>
        <w:spacing w:before="0" w:after="0" w:line="240" w:lineRule="auto"/>
        <w:jc w:val="both"/>
        <w:rPr>
          <w:rFonts w:ascii="Arial" w:eastAsia="Calibri" w:hAnsi="Arial" w:cs="Arial"/>
          <w:b/>
          <w:bCs/>
          <w:color w:val="000000" w:themeColor="text1"/>
          <w:sz w:val="22"/>
          <w:szCs w:val="22"/>
        </w:rPr>
      </w:pPr>
      <w:r w:rsidRPr="000F3D59">
        <w:rPr>
          <w:rFonts w:ascii="Arial" w:eastAsia="Calibri" w:hAnsi="Arial" w:cs="Arial"/>
          <w:b/>
          <w:bCs/>
          <w:color w:val="000000" w:themeColor="text1"/>
          <w:sz w:val="22"/>
          <w:szCs w:val="22"/>
        </w:rPr>
        <w:t>Study Intervention</w:t>
      </w:r>
    </w:p>
    <w:p w14:paraId="7497B738" w14:textId="528CB92F" w:rsidR="008543CE" w:rsidRPr="000F3D59" w:rsidRDefault="008543CE"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Study Intervention Administration</w:t>
      </w:r>
    </w:p>
    <w:p w14:paraId="517458DE" w14:textId="77777777" w:rsidR="00EC2D64" w:rsidRPr="000F3D59" w:rsidRDefault="007B561A" w:rsidP="00EC2D64">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Study Intervention Description</w:t>
      </w:r>
    </w:p>
    <w:p w14:paraId="2C65978F" w14:textId="18A67244" w:rsidR="00EC2D64" w:rsidRPr="000F3D59" w:rsidRDefault="00EC2D64" w:rsidP="00EC2D64">
      <w:pPr>
        <w:pStyle w:val="ListParagraph"/>
        <w:spacing w:before="0" w:after="0" w:line="240" w:lineRule="auto"/>
        <w:ind w:left="1224"/>
        <w:jc w:val="both"/>
        <w:rPr>
          <w:rFonts w:ascii="Arial" w:hAnsi="Arial" w:cs="Arial"/>
          <w:color w:val="000000" w:themeColor="text1"/>
        </w:rPr>
      </w:pPr>
      <w:r w:rsidRPr="000F3D59">
        <w:rPr>
          <w:rFonts w:ascii="Arial" w:hAnsi="Arial" w:cs="Arial"/>
          <w:color w:val="000000" w:themeColor="text1"/>
        </w:rPr>
        <w:t xml:space="preserve">This study will evaluate the safety, tolerability, and efficacy of two investigational interventions, Drug A and Drug B, compared with placebo in adults with </w:t>
      </w:r>
      <w:r w:rsidR="000F3D59" w:rsidRPr="000F3D59">
        <w:rPr>
          <w:rFonts w:ascii="Arial" w:hAnsi="Arial" w:cs="Arial"/>
          <w:color w:val="000000" w:themeColor="text1"/>
        </w:rPr>
        <w:t>CLD</w:t>
      </w:r>
      <w:r w:rsidRPr="000F3D59">
        <w:rPr>
          <w:rFonts w:ascii="Arial" w:hAnsi="Arial" w:cs="Arial"/>
          <w:color w:val="000000" w:themeColor="text1"/>
        </w:rPr>
        <w:t xml:space="preserve">. Participants will be randomized in an approximately 1:1:1 ratio to receive Drug A, Drug B, or </w:t>
      </w:r>
      <w:r w:rsidR="0044358D" w:rsidRPr="000F3D59">
        <w:rPr>
          <w:rFonts w:ascii="Arial" w:hAnsi="Arial" w:cs="Arial"/>
          <w:color w:val="000000" w:themeColor="text1"/>
        </w:rPr>
        <w:t xml:space="preserve">a </w:t>
      </w:r>
      <w:r w:rsidRPr="000F3D59">
        <w:rPr>
          <w:rFonts w:ascii="Arial" w:hAnsi="Arial" w:cs="Arial"/>
          <w:color w:val="000000" w:themeColor="text1"/>
        </w:rPr>
        <w:t>matching placebo.</w:t>
      </w:r>
    </w:p>
    <w:p w14:paraId="12C08D0C" w14:textId="77777777" w:rsidR="00EC2D64" w:rsidRPr="000F3D59" w:rsidRDefault="00EC2D64" w:rsidP="00EC2D64">
      <w:pPr>
        <w:pStyle w:val="ListParagraph"/>
        <w:spacing w:before="0" w:after="0" w:line="240" w:lineRule="auto"/>
        <w:ind w:left="1224"/>
        <w:jc w:val="both"/>
        <w:rPr>
          <w:rFonts w:ascii="Arial" w:hAnsi="Arial" w:cs="Arial"/>
          <w:color w:val="000000" w:themeColor="text1"/>
        </w:rPr>
      </w:pPr>
    </w:p>
    <w:p w14:paraId="442A3CA7" w14:textId="0F860E16" w:rsidR="00EC2D64" w:rsidRPr="000F3D59" w:rsidRDefault="00EC2D64" w:rsidP="00EC2D64">
      <w:pPr>
        <w:pStyle w:val="ListParagraph"/>
        <w:spacing w:before="0" w:after="0" w:line="240" w:lineRule="auto"/>
        <w:ind w:left="1224"/>
        <w:jc w:val="both"/>
        <w:rPr>
          <w:rFonts w:ascii="Arial" w:hAnsi="Arial" w:cs="Arial"/>
          <w:color w:val="000000" w:themeColor="text1"/>
        </w:rPr>
      </w:pPr>
      <w:r w:rsidRPr="000F3D59">
        <w:rPr>
          <w:rFonts w:ascii="Arial" w:hAnsi="Arial" w:cs="Arial"/>
          <w:color w:val="000000" w:themeColor="text1"/>
        </w:rPr>
        <w:t xml:space="preserve">Drug A and Drug B are investigational therapies intended to modulate inflammatory pathways associated with </w:t>
      </w:r>
      <w:r w:rsidR="000F3D59" w:rsidRPr="000F3D59">
        <w:rPr>
          <w:rFonts w:ascii="Arial" w:hAnsi="Arial" w:cs="Arial"/>
          <w:color w:val="000000" w:themeColor="text1"/>
        </w:rPr>
        <w:t>CLD</w:t>
      </w:r>
      <w:r w:rsidRPr="000F3D59">
        <w:rPr>
          <w:rFonts w:ascii="Arial" w:hAnsi="Arial" w:cs="Arial"/>
          <w:color w:val="000000" w:themeColor="text1"/>
        </w:rPr>
        <w:t xml:space="preserve"> progression. Treatment effects will be evaluated through serial assessment of laboratory biomarkers, </w:t>
      </w:r>
      <w:r w:rsidR="002B3729" w:rsidRPr="000F3D59">
        <w:rPr>
          <w:rFonts w:ascii="Arial" w:hAnsi="Arial" w:cs="Arial"/>
          <w:color w:val="000000" w:themeColor="text1"/>
        </w:rPr>
        <w:t>viz.,</w:t>
      </w:r>
      <w:r w:rsidRPr="000F3D59">
        <w:rPr>
          <w:rFonts w:ascii="Arial" w:hAnsi="Arial" w:cs="Arial"/>
          <w:color w:val="000000" w:themeColor="text1"/>
        </w:rPr>
        <w:t xml:space="preserve"> ALT, AST, CRP, and HGB, as well as clinical safety assessments.</w:t>
      </w:r>
    </w:p>
    <w:p w14:paraId="0C89C092" w14:textId="77777777" w:rsidR="00EC2D64" w:rsidRPr="000F3D59" w:rsidRDefault="00EC2D64" w:rsidP="00EC2D64">
      <w:pPr>
        <w:pStyle w:val="ListParagraph"/>
        <w:spacing w:before="0" w:after="0" w:line="240" w:lineRule="auto"/>
        <w:ind w:left="1224"/>
        <w:jc w:val="both"/>
        <w:rPr>
          <w:rFonts w:ascii="Arial" w:hAnsi="Arial" w:cs="Arial"/>
          <w:color w:val="000000" w:themeColor="text1"/>
        </w:rPr>
      </w:pPr>
    </w:p>
    <w:p w14:paraId="037E2112" w14:textId="7389CBB2" w:rsidR="00EC2D64" w:rsidRPr="000F3D59" w:rsidRDefault="00EC2D64" w:rsidP="00EC2D64">
      <w:pPr>
        <w:pStyle w:val="ListParagraph"/>
        <w:spacing w:before="0" w:after="0" w:line="240" w:lineRule="auto"/>
        <w:ind w:left="1224"/>
        <w:jc w:val="both"/>
        <w:rPr>
          <w:rFonts w:ascii="Arial" w:eastAsia="Calibri" w:hAnsi="Arial" w:cs="Arial"/>
          <w:b/>
          <w:bCs/>
          <w:color w:val="000000" w:themeColor="text1"/>
        </w:rPr>
      </w:pPr>
      <w:r w:rsidRPr="000F3D59">
        <w:rPr>
          <w:rFonts w:ascii="Arial" w:hAnsi="Arial" w:cs="Arial"/>
          <w:color w:val="000000" w:themeColor="text1"/>
        </w:rPr>
        <w:t>The study intervention period will consist of four administrations occurring at baseline (Day 1), Week 4 (Day 29), Week 8 (Day 57), and Week 12 (Day 85). Participants will be monitored throughout the treatment period and during a post-treatment follow-up visit approximately 4 weeks after the final dose (Day 113).</w:t>
      </w:r>
    </w:p>
    <w:p w14:paraId="35DA70E1" w14:textId="77777777" w:rsidR="00DB4B05" w:rsidRPr="000F3D59" w:rsidRDefault="00DB4B05" w:rsidP="00DB4B05">
      <w:pPr>
        <w:pStyle w:val="ListParagraph"/>
        <w:spacing w:before="0" w:after="0" w:line="240" w:lineRule="auto"/>
        <w:ind w:left="1224"/>
        <w:jc w:val="both"/>
        <w:rPr>
          <w:rFonts w:ascii="Arial" w:eastAsia="Calibri" w:hAnsi="Arial" w:cs="Arial"/>
          <w:color w:val="000000" w:themeColor="text1"/>
        </w:rPr>
      </w:pPr>
    </w:p>
    <w:p w14:paraId="5AB5ED96" w14:textId="77777777" w:rsidR="0044358D" w:rsidRPr="000F3D59" w:rsidRDefault="007B561A" w:rsidP="0044358D">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Dosing and Administration</w:t>
      </w:r>
    </w:p>
    <w:p w14:paraId="468B6784" w14:textId="2F147FE2" w:rsidR="0044358D" w:rsidRPr="000F3D59" w:rsidRDefault="0044358D" w:rsidP="0044358D">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Participants will receive study intervention according to their assigned treatment group following completion of screening procedures and baseline assessments. Participants will be assigned to one of the following treatment arms –</w:t>
      </w:r>
    </w:p>
    <w:p w14:paraId="74F6559E" w14:textId="49DDED82" w:rsidR="0044358D" w:rsidRPr="000F3D59" w:rsidRDefault="0044358D" w:rsidP="0044358D">
      <w:pPr>
        <w:pStyle w:val="ListParagraph"/>
        <w:numPr>
          <w:ilvl w:val="0"/>
          <w:numId w:val="12"/>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Arm 1:</w:t>
      </w:r>
      <w:r w:rsidRPr="000F3D59">
        <w:rPr>
          <w:rFonts w:ascii="Arial" w:eastAsia="Times New Roman" w:hAnsi="Arial" w:cs="Arial"/>
          <w:color w:val="000000" w:themeColor="text1"/>
          <w:lang w:val="en-US"/>
        </w:rPr>
        <w:t xml:space="preserve"> </w:t>
      </w:r>
      <w:r w:rsidR="007F47D8" w:rsidRPr="000F3D59">
        <w:rPr>
          <w:rFonts w:ascii="Arial" w:eastAsia="Times New Roman" w:hAnsi="Arial" w:cs="Arial"/>
          <w:color w:val="000000" w:themeColor="text1"/>
          <w:lang w:val="en-US"/>
        </w:rPr>
        <w:t>Drug A</w:t>
      </w:r>
    </w:p>
    <w:p w14:paraId="205DDE4A" w14:textId="6EB53C0D" w:rsidR="0044358D" w:rsidRPr="000F3D59" w:rsidRDefault="0044358D" w:rsidP="0044358D">
      <w:pPr>
        <w:pStyle w:val="ListParagraph"/>
        <w:numPr>
          <w:ilvl w:val="0"/>
          <w:numId w:val="12"/>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Arm 2:</w:t>
      </w:r>
      <w:r w:rsidRPr="000F3D59">
        <w:rPr>
          <w:rFonts w:ascii="Arial" w:eastAsia="Times New Roman" w:hAnsi="Arial" w:cs="Arial"/>
          <w:color w:val="000000" w:themeColor="text1"/>
          <w:lang w:val="en-US"/>
        </w:rPr>
        <w:t xml:space="preserve"> Drug </w:t>
      </w:r>
      <w:r w:rsidR="007F47D8" w:rsidRPr="000F3D59">
        <w:rPr>
          <w:rFonts w:ascii="Arial" w:eastAsia="Times New Roman" w:hAnsi="Arial" w:cs="Arial"/>
          <w:color w:val="000000" w:themeColor="text1"/>
          <w:lang w:val="en-US"/>
        </w:rPr>
        <w:t>B</w:t>
      </w:r>
    </w:p>
    <w:p w14:paraId="17119F0F" w14:textId="267EB664" w:rsidR="0044358D" w:rsidRPr="000F3D59" w:rsidRDefault="0044358D" w:rsidP="0044358D">
      <w:pPr>
        <w:pStyle w:val="ListParagraph"/>
        <w:numPr>
          <w:ilvl w:val="0"/>
          <w:numId w:val="12"/>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Arm 3:</w:t>
      </w:r>
      <w:r w:rsidRPr="000F3D59">
        <w:rPr>
          <w:rFonts w:ascii="Arial" w:eastAsia="Times New Roman" w:hAnsi="Arial" w:cs="Arial"/>
          <w:color w:val="000000" w:themeColor="text1"/>
          <w:lang w:val="en-US"/>
        </w:rPr>
        <w:t xml:space="preserve"> </w:t>
      </w:r>
      <w:r w:rsidR="007F47D8" w:rsidRPr="000F3D59">
        <w:rPr>
          <w:rFonts w:ascii="Arial" w:eastAsia="Times New Roman" w:hAnsi="Arial" w:cs="Arial"/>
          <w:color w:val="000000" w:themeColor="text1"/>
          <w:lang w:val="en-US"/>
        </w:rPr>
        <w:t>Placebo</w:t>
      </w:r>
    </w:p>
    <w:p w14:paraId="7BA8278E" w14:textId="3FC3DB9E" w:rsidR="0044358D" w:rsidRPr="000F3D59" w:rsidRDefault="0044358D" w:rsidP="0044358D">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 xml:space="preserve">Study interventions will be administered at approximately 4-week intervals on Day 1, Week 4 (Day 29), Week 8 (Day 57), and Week 12 (Day 85). The specific dose levels and administration procedures for Drug A and Drug B </w:t>
      </w:r>
      <w:r w:rsidR="0057452E" w:rsidRPr="000F3D59">
        <w:rPr>
          <w:rFonts w:ascii="Arial" w:eastAsia="Times New Roman" w:hAnsi="Arial" w:cs="Arial"/>
          <w:color w:val="000000" w:themeColor="text1"/>
          <w:lang w:val="en-US"/>
        </w:rPr>
        <w:t>were</w:t>
      </w:r>
      <w:r w:rsidRPr="000F3D59">
        <w:rPr>
          <w:rFonts w:ascii="Arial" w:eastAsia="Times New Roman" w:hAnsi="Arial" w:cs="Arial"/>
          <w:color w:val="000000" w:themeColor="text1"/>
          <w:lang w:val="en-US"/>
        </w:rPr>
        <w:t xml:space="preserve"> determined based on </w:t>
      </w:r>
      <w:r w:rsidR="0057452E" w:rsidRPr="000F3D59">
        <w:rPr>
          <w:rFonts w:ascii="Arial" w:eastAsia="Times New Roman" w:hAnsi="Arial" w:cs="Arial"/>
          <w:color w:val="000000" w:themeColor="text1"/>
          <w:lang w:val="en-US"/>
        </w:rPr>
        <w:t>pre-clinical data and early</w:t>
      </w:r>
      <w:r w:rsidRPr="000F3D59">
        <w:rPr>
          <w:rFonts w:ascii="Arial" w:eastAsia="Times New Roman" w:hAnsi="Arial" w:cs="Arial"/>
          <w:color w:val="000000" w:themeColor="text1"/>
          <w:lang w:val="en-US"/>
        </w:rPr>
        <w:t xml:space="preserve"> pharmacokinetic, pharmacodynamic, safety, and tolerability data. Participants will remain under clinical observation following administration as required by site procedures. Dose interruptions, delays, or discontinuations may occur based on participant safety, adverse events, laboratory abnormalities, or investigator assessment. All study intervention </w:t>
      </w:r>
      <w:r w:rsidRPr="000F3D59">
        <w:rPr>
          <w:rFonts w:ascii="Arial" w:eastAsia="Times New Roman" w:hAnsi="Arial" w:cs="Arial"/>
          <w:color w:val="000000" w:themeColor="text1"/>
          <w:lang w:val="en-US"/>
        </w:rPr>
        <w:lastRenderedPageBreak/>
        <w:t>administration details, including date, time, dose, administration status, and any deviations from the protocol, will be documented.</w:t>
      </w:r>
    </w:p>
    <w:p w14:paraId="05AE5228" w14:textId="77777777" w:rsidR="0044358D" w:rsidRPr="000F3D59" w:rsidRDefault="0044358D" w:rsidP="0044358D">
      <w:pPr>
        <w:pStyle w:val="ListParagraph"/>
        <w:spacing w:before="0" w:after="0" w:line="240" w:lineRule="auto"/>
        <w:ind w:left="1224"/>
        <w:jc w:val="both"/>
        <w:rPr>
          <w:rFonts w:ascii="Arial" w:eastAsia="Calibri" w:hAnsi="Arial" w:cs="Arial"/>
          <w:b/>
          <w:bCs/>
          <w:color w:val="000000" w:themeColor="text1"/>
        </w:rPr>
      </w:pPr>
    </w:p>
    <w:p w14:paraId="228735BB" w14:textId="77777777" w:rsidR="0044358D" w:rsidRPr="000F3D59" w:rsidRDefault="007B561A" w:rsidP="0044358D">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Measures to Minimize Bias: Randomization and Blinding</w:t>
      </w:r>
    </w:p>
    <w:p w14:paraId="2535D375" w14:textId="108B14AC" w:rsidR="0044358D" w:rsidRPr="000F3D59" w:rsidRDefault="0044358D" w:rsidP="004768AF">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This study will use a randomized, double-blind, placebo-controlled design to minimize potential bias in the assessment of treatment effects.</w:t>
      </w:r>
      <w:r w:rsidR="004768AF" w:rsidRPr="000F3D59">
        <w:rPr>
          <w:rFonts w:ascii="Arial" w:hAnsi="Arial" w:cs="Arial"/>
          <w:color w:val="000000" w:themeColor="text1"/>
        </w:rPr>
        <w:t xml:space="preserve"> </w:t>
      </w:r>
      <w:r w:rsidRPr="000F3D59">
        <w:rPr>
          <w:rFonts w:ascii="Arial" w:hAnsi="Arial" w:cs="Arial"/>
          <w:color w:val="000000" w:themeColor="text1"/>
        </w:rPr>
        <w:t xml:space="preserve">Following </w:t>
      </w:r>
      <w:r w:rsidR="004768AF" w:rsidRPr="000F3D59">
        <w:rPr>
          <w:rFonts w:ascii="Arial" w:hAnsi="Arial" w:cs="Arial"/>
          <w:color w:val="000000" w:themeColor="text1"/>
        </w:rPr>
        <w:t xml:space="preserve">the </w:t>
      </w:r>
      <w:r w:rsidRPr="000F3D59">
        <w:rPr>
          <w:rFonts w:ascii="Arial" w:hAnsi="Arial" w:cs="Arial"/>
          <w:color w:val="000000" w:themeColor="text1"/>
        </w:rPr>
        <w:t xml:space="preserve">completion of screening procedures and confirmation of eligibility, approximately 300 participants will be randomized in an approximately 1:1:1 ratio to receive Drug A, Drug B, or </w:t>
      </w:r>
      <w:r w:rsidR="004768AF" w:rsidRPr="000F3D59">
        <w:rPr>
          <w:rFonts w:ascii="Arial" w:hAnsi="Arial" w:cs="Arial"/>
          <w:color w:val="000000" w:themeColor="text1"/>
        </w:rPr>
        <w:t xml:space="preserve">a matching </w:t>
      </w:r>
      <w:r w:rsidRPr="000F3D59">
        <w:rPr>
          <w:rFonts w:ascii="Arial" w:hAnsi="Arial" w:cs="Arial"/>
          <w:color w:val="000000" w:themeColor="text1"/>
        </w:rPr>
        <w:t>placebo.</w:t>
      </w:r>
      <w:r w:rsidR="004768AF" w:rsidRPr="000F3D59">
        <w:rPr>
          <w:rFonts w:ascii="Arial" w:hAnsi="Arial" w:cs="Arial"/>
          <w:color w:val="000000" w:themeColor="text1"/>
        </w:rPr>
        <w:t xml:space="preserve"> </w:t>
      </w:r>
      <w:r w:rsidRPr="000F3D59">
        <w:rPr>
          <w:rFonts w:ascii="Arial" w:hAnsi="Arial" w:cs="Arial"/>
          <w:color w:val="000000" w:themeColor="text1"/>
        </w:rPr>
        <w:t>Randomization will be performed using a centralized randomization system to ensure balanced assignment across treatment groups. Treatment assignment will remain concealed from participants, investigators, study site personnel, outcome assessors, and members of the study team involved in data collection and analysis.</w:t>
      </w:r>
      <w:r w:rsidR="004768AF" w:rsidRPr="000F3D59">
        <w:rPr>
          <w:rFonts w:ascii="Arial" w:hAnsi="Arial" w:cs="Arial"/>
          <w:color w:val="000000" w:themeColor="text1"/>
        </w:rPr>
        <w:t xml:space="preserve"> </w:t>
      </w:r>
      <w:r w:rsidRPr="000F3D59">
        <w:rPr>
          <w:rFonts w:ascii="Arial" w:hAnsi="Arial" w:cs="Arial"/>
          <w:color w:val="000000" w:themeColor="text1"/>
        </w:rPr>
        <w:t xml:space="preserve">Drug A, Drug B, and </w:t>
      </w:r>
      <w:r w:rsidR="004768AF" w:rsidRPr="000F3D59">
        <w:rPr>
          <w:rFonts w:ascii="Arial" w:hAnsi="Arial" w:cs="Arial"/>
          <w:color w:val="000000" w:themeColor="text1"/>
        </w:rPr>
        <w:t xml:space="preserve">the </w:t>
      </w:r>
      <w:r w:rsidRPr="000F3D59">
        <w:rPr>
          <w:rFonts w:ascii="Arial" w:hAnsi="Arial" w:cs="Arial"/>
          <w:color w:val="000000" w:themeColor="text1"/>
        </w:rPr>
        <w:t>placebo will be prepared and labeled in a manner that maintains blinding throughout the study. Emergency unblinding will only occur when knowledge of treatment assignment is required for the clinical management of a participant’s safety.</w:t>
      </w:r>
      <w:r w:rsidR="004768AF" w:rsidRPr="000F3D59">
        <w:rPr>
          <w:rFonts w:ascii="Arial" w:hAnsi="Arial" w:cs="Arial"/>
          <w:color w:val="000000" w:themeColor="text1"/>
        </w:rPr>
        <w:t xml:space="preserve"> </w:t>
      </w:r>
      <w:r w:rsidRPr="000F3D59">
        <w:rPr>
          <w:rFonts w:ascii="Arial" w:hAnsi="Arial" w:cs="Arial"/>
          <w:color w:val="000000" w:themeColor="text1"/>
        </w:rPr>
        <w:t>The database will remain blinded until completion of the prespecified analysis, except where unblinding is required for regulatory, safety, or operational purposes.</w:t>
      </w:r>
    </w:p>
    <w:p w14:paraId="2B19CF18" w14:textId="77777777" w:rsidR="0044358D" w:rsidRPr="000F3D59" w:rsidRDefault="0044358D" w:rsidP="0044358D">
      <w:pPr>
        <w:pStyle w:val="ListParagraph"/>
        <w:spacing w:before="0" w:after="0" w:line="240" w:lineRule="auto"/>
        <w:ind w:left="792"/>
        <w:jc w:val="both"/>
        <w:rPr>
          <w:rFonts w:ascii="Arial" w:eastAsia="Calibri" w:hAnsi="Arial" w:cs="Arial"/>
          <w:b/>
          <w:bCs/>
          <w:color w:val="000000" w:themeColor="text1"/>
        </w:rPr>
      </w:pPr>
    </w:p>
    <w:p w14:paraId="68DFB061" w14:textId="77777777" w:rsidR="004768AF" w:rsidRPr="000F3D59" w:rsidRDefault="007B561A" w:rsidP="004768AF">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Concomitant Therapy</w:t>
      </w:r>
    </w:p>
    <w:p w14:paraId="79FFCC86" w14:textId="4FD9CA70" w:rsidR="004768AF" w:rsidRPr="000F3D59" w:rsidRDefault="004768AF" w:rsidP="004768AF">
      <w:pPr>
        <w:pStyle w:val="ListParagraph"/>
        <w:spacing w:before="0" w:after="0" w:line="240" w:lineRule="auto"/>
        <w:ind w:left="792"/>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 xml:space="preserve">Participants may continue stable background therapies required for the management of </w:t>
      </w:r>
      <w:r w:rsidR="000F3D59" w:rsidRPr="000F3D59">
        <w:rPr>
          <w:rFonts w:ascii="Arial" w:eastAsia="Times New Roman" w:hAnsi="Arial" w:cs="Arial"/>
          <w:color w:val="000000" w:themeColor="text1"/>
          <w:lang w:val="en-US"/>
        </w:rPr>
        <w:t>CLD</w:t>
      </w:r>
      <w:r w:rsidRPr="000F3D59">
        <w:rPr>
          <w:rFonts w:ascii="Arial" w:eastAsia="Times New Roman" w:hAnsi="Arial" w:cs="Arial"/>
          <w:color w:val="000000" w:themeColor="text1"/>
          <w:lang w:val="en-US"/>
        </w:rPr>
        <w:t xml:space="preserve"> and associated comorbidities during the study. Concomitant medications will be documented from screening through the completion of follow-up. Permitted background therapies may include medications commonly used for management of C</w:t>
      </w:r>
      <w:r w:rsidR="00D74C28">
        <w:rPr>
          <w:rFonts w:ascii="Arial" w:eastAsia="Times New Roman" w:hAnsi="Arial" w:cs="Arial"/>
          <w:color w:val="000000" w:themeColor="text1"/>
          <w:lang w:val="en-US"/>
        </w:rPr>
        <w:t>L</w:t>
      </w:r>
      <w:r w:rsidRPr="000F3D59">
        <w:rPr>
          <w:rFonts w:ascii="Arial" w:eastAsia="Times New Roman" w:hAnsi="Arial" w:cs="Arial"/>
          <w:color w:val="000000" w:themeColor="text1"/>
          <w:lang w:val="en-US"/>
        </w:rPr>
        <w:t>D-associated conditions, including</w:t>
      </w:r>
      <w:r w:rsidR="00371AA6" w:rsidRPr="000F3D59">
        <w:rPr>
          <w:rFonts w:ascii="Arial" w:eastAsia="Times New Roman" w:hAnsi="Arial" w:cs="Arial"/>
          <w:color w:val="000000" w:themeColor="text1"/>
          <w:lang w:val="en-US"/>
        </w:rPr>
        <w:t xml:space="preserve"> –</w:t>
      </w:r>
    </w:p>
    <w:p w14:paraId="6B9BFE84" w14:textId="57F72CA6" w:rsidR="004768AF" w:rsidRPr="000F3D59" w:rsidRDefault="004768AF" w:rsidP="004768AF">
      <w:pPr>
        <w:pStyle w:val="ListParagraph"/>
        <w:numPr>
          <w:ilvl w:val="0"/>
          <w:numId w:val="14"/>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Type 2 diabetes:</w:t>
      </w:r>
      <w:r w:rsidRPr="000F3D59">
        <w:rPr>
          <w:rFonts w:ascii="Arial" w:eastAsia="Times New Roman" w:hAnsi="Arial" w:cs="Arial"/>
          <w:color w:val="000000" w:themeColor="text1"/>
          <w:lang w:val="en-US"/>
        </w:rPr>
        <w:t xml:space="preserve"> </w:t>
      </w:r>
      <w:r w:rsidR="007F47D8" w:rsidRPr="000F3D59">
        <w:rPr>
          <w:rFonts w:ascii="Arial" w:eastAsia="Times New Roman" w:hAnsi="Arial" w:cs="Arial"/>
          <w:color w:val="000000" w:themeColor="text1"/>
          <w:lang w:val="en-US"/>
        </w:rPr>
        <w:t>M</w:t>
      </w:r>
      <w:r w:rsidRPr="000F3D59">
        <w:rPr>
          <w:rFonts w:ascii="Arial" w:eastAsia="Times New Roman" w:hAnsi="Arial" w:cs="Arial"/>
          <w:color w:val="000000" w:themeColor="text1"/>
          <w:lang w:val="en-US"/>
        </w:rPr>
        <w:t>etformin</w:t>
      </w:r>
    </w:p>
    <w:p w14:paraId="3BA751FF" w14:textId="1C25FF74" w:rsidR="004768AF" w:rsidRPr="000F3D59" w:rsidRDefault="004768AF" w:rsidP="004768AF">
      <w:pPr>
        <w:pStyle w:val="ListParagraph"/>
        <w:numPr>
          <w:ilvl w:val="0"/>
          <w:numId w:val="14"/>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Hyperlipidemia:</w:t>
      </w:r>
      <w:r w:rsidRPr="000F3D59">
        <w:rPr>
          <w:rFonts w:ascii="Arial" w:eastAsia="Times New Roman" w:hAnsi="Arial" w:cs="Arial"/>
          <w:color w:val="000000" w:themeColor="text1"/>
          <w:lang w:val="en-US"/>
        </w:rPr>
        <w:t xml:space="preserve"> </w:t>
      </w:r>
      <w:r w:rsidR="007F47D8" w:rsidRPr="000F3D59">
        <w:rPr>
          <w:rFonts w:ascii="Arial" w:eastAsia="Times New Roman" w:hAnsi="Arial" w:cs="Arial"/>
          <w:color w:val="000000" w:themeColor="text1"/>
          <w:lang w:val="en-US"/>
        </w:rPr>
        <w:t>S</w:t>
      </w:r>
      <w:r w:rsidRPr="000F3D59">
        <w:rPr>
          <w:rFonts w:ascii="Arial" w:eastAsia="Times New Roman" w:hAnsi="Arial" w:cs="Arial"/>
          <w:color w:val="000000" w:themeColor="text1"/>
          <w:lang w:val="en-US"/>
        </w:rPr>
        <w:t>imvastatin</w:t>
      </w:r>
    </w:p>
    <w:p w14:paraId="56038D10" w14:textId="3DE0918F" w:rsidR="00BD2979" w:rsidRPr="000F3D59" w:rsidRDefault="004768AF" w:rsidP="00BD2979">
      <w:pPr>
        <w:pStyle w:val="ListParagraph"/>
        <w:numPr>
          <w:ilvl w:val="0"/>
          <w:numId w:val="14"/>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Hypertension:</w:t>
      </w:r>
      <w:r w:rsidRPr="000F3D59">
        <w:rPr>
          <w:rFonts w:ascii="Arial" w:eastAsia="Times New Roman" w:hAnsi="Arial" w:cs="Arial"/>
          <w:color w:val="000000" w:themeColor="text1"/>
          <w:lang w:val="en-US"/>
        </w:rPr>
        <w:t xml:space="preserve"> </w:t>
      </w:r>
      <w:r w:rsidR="007F47D8" w:rsidRPr="000F3D59">
        <w:rPr>
          <w:rFonts w:ascii="Arial" w:eastAsia="Times New Roman" w:hAnsi="Arial" w:cs="Arial"/>
          <w:color w:val="000000" w:themeColor="text1"/>
          <w:lang w:val="en-US"/>
        </w:rPr>
        <w:t>L</w:t>
      </w:r>
      <w:r w:rsidRPr="000F3D59">
        <w:rPr>
          <w:rFonts w:ascii="Arial" w:eastAsia="Times New Roman" w:hAnsi="Arial" w:cs="Arial"/>
          <w:color w:val="000000" w:themeColor="text1"/>
          <w:lang w:val="en-US"/>
        </w:rPr>
        <w:t>osartan</w:t>
      </w:r>
    </w:p>
    <w:p w14:paraId="22E907D9" w14:textId="4078D337" w:rsidR="004768AF" w:rsidRPr="000F3D59" w:rsidRDefault="004768AF" w:rsidP="00BD2979">
      <w:pPr>
        <w:pStyle w:val="ListParagraph"/>
        <w:numPr>
          <w:ilvl w:val="0"/>
          <w:numId w:val="14"/>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Stroke prevention:</w:t>
      </w:r>
      <w:r w:rsidRPr="000F3D59">
        <w:rPr>
          <w:rFonts w:ascii="Arial" w:eastAsia="Times New Roman" w:hAnsi="Arial" w:cs="Arial"/>
          <w:color w:val="000000" w:themeColor="text1"/>
          <w:lang w:val="en-US"/>
        </w:rPr>
        <w:t xml:space="preserve"> </w:t>
      </w:r>
      <w:r w:rsidR="007F47D8" w:rsidRPr="000F3D59">
        <w:rPr>
          <w:rFonts w:ascii="Arial" w:eastAsia="Times New Roman" w:hAnsi="Arial" w:cs="Arial"/>
          <w:color w:val="000000" w:themeColor="text1"/>
          <w:lang w:val="en-US"/>
        </w:rPr>
        <w:t>Lisinopril</w:t>
      </w:r>
    </w:p>
    <w:p w14:paraId="461DEC45" w14:textId="51BCB193" w:rsidR="004768AF" w:rsidRPr="000F3D59" w:rsidRDefault="004768AF" w:rsidP="00BD2979">
      <w:pPr>
        <w:pStyle w:val="ListParagraph"/>
        <w:spacing w:before="0" w:after="0" w:line="240" w:lineRule="auto"/>
        <w:ind w:left="792"/>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Changes to concomitant medications should be avoided during the treatment period when medically appropriate, as changes may affect study outcomes. All medication changes, including initiation, discontinuation, or dose modification, will be recorded.</w:t>
      </w:r>
      <w:r w:rsidR="00BD2979" w:rsidRPr="000F3D59">
        <w:rPr>
          <w:rFonts w:ascii="Arial" w:eastAsia="Times New Roman" w:hAnsi="Arial" w:cs="Arial"/>
          <w:color w:val="000000" w:themeColor="text1"/>
          <w:lang w:val="en-US"/>
        </w:rPr>
        <w:t xml:space="preserve"> </w:t>
      </w:r>
      <w:r w:rsidRPr="000F3D59">
        <w:rPr>
          <w:rFonts w:ascii="Arial" w:eastAsia="Times New Roman" w:hAnsi="Arial" w:cs="Arial"/>
          <w:color w:val="000000" w:themeColor="text1"/>
          <w:lang w:val="en-US"/>
        </w:rPr>
        <w:t>Use of prohibited medications or investigational therapies that may interfere with evaluation of treatment safety, inflammatory biomarkers, or study endpoints will not be permitted unless approved by the investigator and documented according to protocol requirements.</w:t>
      </w:r>
    </w:p>
    <w:p w14:paraId="1DAFA3DC" w14:textId="77777777" w:rsidR="004768AF" w:rsidRPr="000F3D59" w:rsidRDefault="004768AF" w:rsidP="004768AF">
      <w:pPr>
        <w:pStyle w:val="ListParagraph"/>
        <w:spacing w:before="0" w:after="0" w:line="240" w:lineRule="auto"/>
        <w:ind w:left="792"/>
        <w:jc w:val="both"/>
        <w:rPr>
          <w:rFonts w:ascii="Arial" w:eastAsia="Calibri" w:hAnsi="Arial" w:cs="Arial"/>
          <w:b/>
          <w:bCs/>
          <w:color w:val="000000" w:themeColor="text1"/>
        </w:rPr>
      </w:pPr>
    </w:p>
    <w:p w14:paraId="740D7806" w14:textId="088F4E5A" w:rsidR="008543CE" w:rsidRPr="000F3D59" w:rsidRDefault="008543CE" w:rsidP="007D6FE8">
      <w:pPr>
        <w:pStyle w:val="ListParagraph"/>
        <w:numPr>
          <w:ilvl w:val="0"/>
          <w:numId w:val="2"/>
        </w:numPr>
        <w:spacing w:before="0" w:after="0" w:line="240" w:lineRule="auto"/>
        <w:jc w:val="both"/>
        <w:rPr>
          <w:rFonts w:ascii="Arial" w:eastAsia="Calibri" w:hAnsi="Arial" w:cs="Arial"/>
          <w:b/>
          <w:bCs/>
          <w:color w:val="000000" w:themeColor="text1"/>
          <w:sz w:val="22"/>
          <w:szCs w:val="22"/>
        </w:rPr>
      </w:pPr>
      <w:r w:rsidRPr="000F3D59">
        <w:rPr>
          <w:rFonts w:ascii="Arial" w:eastAsia="Calibri" w:hAnsi="Arial" w:cs="Arial"/>
          <w:b/>
          <w:bCs/>
          <w:color w:val="000000" w:themeColor="text1"/>
          <w:sz w:val="22"/>
          <w:szCs w:val="22"/>
        </w:rPr>
        <w:t>Study Assessments and Procedures</w:t>
      </w:r>
    </w:p>
    <w:p w14:paraId="44AC51A2" w14:textId="77777777" w:rsidR="00D56429" w:rsidRPr="000F3D59" w:rsidRDefault="007B561A" w:rsidP="00D56429">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Efficacy Assessments</w:t>
      </w:r>
    </w:p>
    <w:p w14:paraId="5F1740DB" w14:textId="1C213C92" w:rsidR="00D56429" w:rsidRPr="000F3D59" w:rsidRDefault="000F3D59" w:rsidP="00D56429">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The efficacy of Drug A and Drug B compared with placebo will be evaluated through serial laboratory assessments of liver-associated and inflammatory biomarkers throughout the study. The primary efficacy endpoints are changes from baseline in serum ALT and AST, with change from baseline in CRP serving as an additional assessment of systemic inflammation. Secondary efficacy assessments include changes in HGB and the longitudinal evaluation of laboratory parameters over the treatment period.</w:t>
      </w:r>
    </w:p>
    <w:p w14:paraId="5DA54651" w14:textId="77777777" w:rsidR="00623914" w:rsidRPr="000F3D59" w:rsidRDefault="00623914" w:rsidP="00D56429">
      <w:pPr>
        <w:pStyle w:val="ListParagraph"/>
        <w:spacing w:before="0" w:after="0" w:line="240" w:lineRule="auto"/>
        <w:ind w:left="792"/>
        <w:jc w:val="both"/>
        <w:rPr>
          <w:rFonts w:ascii="Arial" w:hAnsi="Arial" w:cs="Arial"/>
          <w:color w:val="000000" w:themeColor="text1"/>
        </w:rPr>
      </w:pPr>
    </w:p>
    <w:p w14:paraId="4A8C1076" w14:textId="242CC1A4" w:rsidR="000F3D59" w:rsidRPr="000F3D59" w:rsidRDefault="000F3D59" w:rsidP="000F3D59">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Potential participants will undergo screening within 14 days prior to baseline dosing. Written informed consent will be obtained before any study-specific procedures are performed. Screening procedures include collection of demographic information, medical history, concomitant medication use, and vital signs. Eligibility will be determined by the investigator after review of the inclusion and exclusion criteria and screening assessments. Participants meeting all eligibility requirements will proceed to baseline evaluation and randomization. At the baseline visit (Day 1), pre-dose laboratory specimens will be collected for measurement of ALT, AST, CRP, and HGB. Baseline vital signs will be obtained prior to administration of study intervention. Following completion of baseline assessments, participants will be randomized to receive Drug A, Drug B, or placebo. Subsequent efficacy assessments will be performed at each scheduled treatment visit (Weeks 4, 8, and 12) prior to administration of study intervention whenever feasible to minimize variability associated with recent dosing. Laboratory evaluations will be repeated at the follow-up visit approximately four weeks after the final dose to evaluate the persistence of treatment effects.</w:t>
      </w:r>
    </w:p>
    <w:p w14:paraId="73761FB7" w14:textId="1D2EF672" w:rsidR="000F3D59" w:rsidRPr="000F3D59" w:rsidRDefault="000F3D59" w:rsidP="000F3D59">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lastRenderedPageBreak/>
        <w:t>Whole blood specimens will be collected by qualified study personnel using standard venipuncture techniques. Approximately 10–15 mL of blood will be collected at each laboratory assessment. Specimens will be processed according to standardized laboratory procedures and analyzed using validated clinical laboratory methods at a central laboratory that complies with the Clinical Laboratory Improvement Amendments (CLIA) of 1988. Use of a single central laboratory will minimize analytical variability across participating study sites. Laboratory methods for ALT, AST, CRP, and HGB will remain consistent throughout the study to ensure longitudinal comparability of results. Detailed procedures for specimen collection, processing, storage, shipment, and laboratory quality control are provided in the MOP.</w:t>
      </w:r>
    </w:p>
    <w:p w14:paraId="52FBF3BE" w14:textId="77777777" w:rsidR="00623914" w:rsidRPr="000F3D59" w:rsidRDefault="00623914" w:rsidP="00D56429">
      <w:pPr>
        <w:pStyle w:val="ListParagraph"/>
        <w:spacing w:before="0" w:after="0" w:line="240" w:lineRule="auto"/>
        <w:ind w:left="792"/>
        <w:jc w:val="both"/>
        <w:rPr>
          <w:rFonts w:ascii="Arial" w:hAnsi="Arial" w:cs="Arial"/>
          <w:color w:val="000000" w:themeColor="text1"/>
        </w:rPr>
      </w:pPr>
    </w:p>
    <w:p w14:paraId="2FCF7D17" w14:textId="114BD976" w:rsidR="00D56429" w:rsidRPr="000F3D59" w:rsidRDefault="000F3D59" w:rsidP="00623914">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 xml:space="preserve">Unscheduled visits may be performed at the investigator's discretion to repeat efficacy laboratory assessments if clinically indicated or if protocol-defined laboratory abnormalities require confirmation. Results of clinically significant laboratory evaluations will be reviewed by the study investigator and communicated to participants when appropriate. Existing medical records, including documented diagnoses of </w:t>
      </w:r>
      <w:r w:rsidRPr="000F3D59">
        <w:rPr>
          <w:rFonts w:ascii="Arial" w:hAnsi="Arial" w:cs="Arial"/>
          <w:color w:val="000000" w:themeColor="text1"/>
        </w:rPr>
        <w:t>CLD</w:t>
      </w:r>
      <w:r w:rsidRPr="000F3D59">
        <w:rPr>
          <w:rFonts w:ascii="Arial" w:hAnsi="Arial" w:cs="Arial"/>
          <w:color w:val="000000" w:themeColor="text1"/>
        </w:rPr>
        <w:t xml:space="preserve"> and relevant medical history, may be reviewed during screening in accordance with Health Insurance Portability and Accountability Act (HIPAA) regulations, institutional policies, and applicable federal and state regulations.</w:t>
      </w:r>
    </w:p>
    <w:p w14:paraId="5CF22BDB" w14:textId="77777777" w:rsidR="000A6C59" w:rsidRPr="000F3D59" w:rsidRDefault="000A6C59" w:rsidP="000A6C59">
      <w:pPr>
        <w:pStyle w:val="ListParagraph"/>
        <w:spacing w:before="0" w:after="0" w:line="240" w:lineRule="auto"/>
        <w:ind w:left="792"/>
        <w:jc w:val="both"/>
        <w:rPr>
          <w:rFonts w:ascii="Arial" w:eastAsia="Calibri" w:hAnsi="Arial" w:cs="Arial"/>
          <w:b/>
          <w:bCs/>
          <w:color w:val="000000" w:themeColor="text1"/>
        </w:rPr>
      </w:pPr>
    </w:p>
    <w:p w14:paraId="39332863" w14:textId="77777777" w:rsidR="00623914" w:rsidRPr="000F3D59" w:rsidRDefault="007B561A" w:rsidP="00623914">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Safety and Other Assessments</w:t>
      </w:r>
    </w:p>
    <w:p w14:paraId="6CF3D7B4" w14:textId="47CD2C33" w:rsidR="00623914" w:rsidRPr="000F3D59" w:rsidRDefault="00623914" w:rsidP="00623914">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Participant safety will be evaluated throughout the study by monitoring adverse events (AEs), vital signs, laboratory parameters, concomitant medication use, and overall clinical status.</w:t>
      </w:r>
    </w:p>
    <w:p w14:paraId="61A87EB8" w14:textId="77777777" w:rsidR="00623914" w:rsidRPr="000F3D59" w:rsidRDefault="00623914" w:rsidP="00623914">
      <w:pPr>
        <w:pStyle w:val="ListParagraph"/>
        <w:spacing w:before="0" w:after="0" w:line="240" w:lineRule="auto"/>
        <w:ind w:left="792"/>
        <w:jc w:val="both"/>
        <w:rPr>
          <w:rFonts w:ascii="Arial" w:hAnsi="Arial" w:cs="Arial"/>
          <w:color w:val="000000" w:themeColor="text1"/>
        </w:rPr>
      </w:pPr>
    </w:p>
    <w:p w14:paraId="6838E9D4" w14:textId="02766967" w:rsidR="00623914" w:rsidRPr="000F3D59" w:rsidRDefault="00623914" w:rsidP="00623914">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 xml:space="preserve">Screening assessments performed within </w:t>
      </w:r>
      <w:r w:rsidRPr="000F3D59">
        <w:rPr>
          <w:rStyle w:val="Strong"/>
          <w:rFonts w:ascii="Arial" w:hAnsi="Arial" w:cs="Arial"/>
          <w:b w:val="0"/>
          <w:bCs w:val="0"/>
          <w:color w:val="000000" w:themeColor="text1"/>
        </w:rPr>
        <w:t>14 days</w:t>
      </w:r>
      <w:r w:rsidRPr="000F3D59">
        <w:rPr>
          <w:rFonts w:ascii="Arial" w:hAnsi="Arial" w:cs="Arial"/>
          <w:color w:val="000000" w:themeColor="text1"/>
        </w:rPr>
        <w:t xml:space="preserve"> prior to enrollment include informed consent, review of medical history, documentation of concomitant medications, demographic information, and baseline vital signs. These assessments will be reviewed by the investigator to confirm participant eligibility before randomization. Vital signs, including systolic and diastolic blood pressure, heart rate, respiratory rate, body temperature, and body weight, will be obtained by qualified study personnel using standardized equipment and procedures. Measurements will be performed prior to study drug administration whenever possible to minimize variability. Safety laboratory evaluations will include serum ALT, AST, CRP, and HGB. Approximately </w:t>
      </w:r>
      <w:r w:rsidRPr="000F3D59">
        <w:rPr>
          <w:rStyle w:val="Strong"/>
          <w:rFonts w:ascii="Arial" w:hAnsi="Arial" w:cs="Arial"/>
          <w:b w:val="0"/>
          <w:bCs w:val="0"/>
          <w:color w:val="000000" w:themeColor="text1"/>
        </w:rPr>
        <w:t>10–15 ml</w:t>
      </w:r>
      <w:r w:rsidRPr="000F3D59">
        <w:rPr>
          <w:rFonts w:ascii="Arial" w:hAnsi="Arial" w:cs="Arial"/>
          <w:color w:val="000000" w:themeColor="text1"/>
        </w:rPr>
        <w:t xml:space="preserve"> of venous blood will be collected at each scheduled laboratory visit. All specimens will be analyzed by a single CLIA-certified central laboratory using validated analytical methods to ensure consistency across study sites. Detailed instructions for specimen handling, processing, storage, and shipment are described in the MOP.</w:t>
      </w:r>
    </w:p>
    <w:p w14:paraId="4CD25478" w14:textId="77777777" w:rsidR="00623914" w:rsidRPr="000F3D59" w:rsidRDefault="00623914" w:rsidP="00623914">
      <w:pPr>
        <w:pStyle w:val="ListParagraph"/>
        <w:spacing w:before="0" w:after="0" w:line="240" w:lineRule="auto"/>
        <w:ind w:left="792"/>
        <w:jc w:val="both"/>
        <w:rPr>
          <w:rFonts w:ascii="Arial" w:hAnsi="Arial" w:cs="Arial"/>
          <w:color w:val="000000" w:themeColor="text1"/>
        </w:rPr>
      </w:pPr>
    </w:p>
    <w:p w14:paraId="6CB67F32" w14:textId="6DDEDE5B" w:rsidR="00623914" w:rsidRPr="000F3D59" w:rsidRDefault="00623914" w:rsidP="002D2409">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Participants will be monitored for TEAEs beginning with administration of the first dose of study intervention and continuing through completion of the follow-up visit. Adverse events may be identified through participant interviews, direct observation, physical examination when clinically indicated, laboratory findings, or spontaneous participant reporting. Each AE will be documented with respect to onset, duration, severity, seriousness, relationship to study intervention, action taken, and outcome. Serious adverse events (SAEs) will be reported according to applicable regulatory requirements and institutional policies. Participants experiencing ongoing adverse events at the end of study participation will continue to be followed until the event has resolved, stabilized, or an alternative clinical outcome has been determined by the investigator.</w:t>
      </w:r>
      <w:r w:rsidR="003E6F0B" w:rsidRPr="000F3D59">
        <w:rPr>
          <w:rFonts w:ascii="Arial" w:hAnsi="Arial" w:cs="Arial"/>
          <w:color w:val="000000" w:themeColor="text1"/>
        </w:rPr>
        <w:t xml:space="preserve"> </w:t>
      </w:r>
      <w:r w:rsidRPr="000F3D59">
        <w:rPr>
          <w:rFonts w:ascii="Arial" w:hAnsi="Arial" w:cs="Arial"/>
          <w:color w:val="000000" w:themeColor="text1"/>
        </w:rPr>
        <w:t>Known anticipated adverse reactions include headache, nausea, and fatigue for both investigational treatments. Drug A is additionally associated with a low incidence of allergic reactions. Participants will be instructed to notify study personnel promptly if symptoms suggestive of hypersensitivity or any new medical condition develop during the study.</w:t>
      </w:r>
      <w:r w:rsidR="002D2409" w:rsidRPr="000F3D59">
        <w:rPr>
          <w:rFonts w:ascii="Arial" w:hAnsi="Arial" w:cs="Arial"/>
          <w:color w:val="000000" w:themeColor="text1"/>
        </w:rPr>
        <w:t xml:space="preserve"> </w:t>
      </w:r>
      <w:r w:rsidRPr="000F3D59">
        <w:rPr>
          <w:rFonts w:ascii="Arial" w:hAnsi="Arial" w:cs="Arial"/>
          <w:color w:val="000000" w:themeColor="text1"/>
        </w:rPr>
        <w:t xml:space="preserve">Concomitant medications will be reviewed and documented at each scheduled study visit. Changes to background therapies for hypertension, diabetes mellitus, hyperlipidemia, stroke prevention, or </w:t>
      </w:r>
      <w:r w:rsidR="00D74C28">
        <w:rPr>
          <w:rFonts w:ascii="Arial" w:hAnsi="Arial" w:cs="Arial"/>
          <w:color w:val="000000" w:themeColor="text1"/>
        </w:rPr>
        <w:t>CLD</w:t>
      </w:r>
      <w:r w:rsidRPr="000F3D59">
        <w:rPr>
          <w:rFonts w:ascii="Arial" w:hAnsi="Arial" w:cs="Arial"/>
          <w:color w:val="000000" w:themeColor="text1"/>
        </w:rPr>
        <w:t xml:space="preserve"> management will be recorded and evaluated for their potential impact on study outcomes.</w:t>
      </w:r>
    </w:p>
    <w:p w14:paraId="54EE5DA7" w14:textId="77777777" w:rsidR="00623914" w:rsidRPr="000F3D59" w:rsidRDefault="00623914" w:rsidP="00623914">
      <w:pPr>
        <w:pStyle w:val="ListParagraph"/>
        <w:spacing w:before="0" w:after="0" w:line="240" w:lineRule="auto"/>
        <w:ind w:left="792"/>
        <w:jc w:val="both"/>
        <w:rPr>
          <w:rFonts w:ascii="Arial" w:hAnsi="Arial" w:cs="Arial"/>
          <w:color w:val="000000" w:themeColor="text1"/>
        </w:rPr>
      </w:pPr>
    </w:p>
    <w:p w14:paraId="385A4B4F" w14:textId="77777777" w:rsidR="00623914" w:rsidRPr="000F3D59" w:rsidRDefault="00623914" w:rsidP="00623914">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No protocol-specific electrocardiograms, radiographic imaging, specialized immunologic assays, pharmacokinetic sampling, genomic testing, or patient-reported outcome questionnaires are planned as part of this study.</w:t>
      </w:r>
    </w:p>
    <w:p w14:paraId="776F75FA" w14:textId="77777777" w:rsidR="00623914" w:rsidRPr="000F3D59" w:rsidRDefault="00623914" w:rsidP="00623914">
      <w:pPr>
        <w:pStyle w:val="ListParagraph"/>
        <w:spacing w:before="0" w:after="0" w:line="240" w:lineRule="auto"/>
        <w:ind w:left="792"/>
        <w:jc w:val="both"/>
        <w:rPr>
          <w:rFonts w:ascii="Arial" w:hAnsi="Arial" w:cs="Arial"/>
          <w:color w:val="000000" w:themeColor="text1"/>
        </w:rPr>
      </w:pPr>
    </w:p>
    <w:p w14:paraId="1F0E4DA7" w14:textId="057EF940" w:rsidR="000A6C59" w:rsidRPr="000F3D59" w:rsidRDefault="00623914" w:rsidP="002D2409">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lastRenderedPageBreak/>
        <w:t>Clinically significant laboratory abnormalities or abnormal vital sign findings identified during the study will be reviewed by the investigator and communicated to participants as appropriate. When medically indicated, participants may undergo additional unscheduled safety evaluations or repeat laboratory testing.</w:t>
      </w:r>
      <w:r w:rsidR="002D2409" w:rsidRPr="000F3D59">
        <w:rPr>
          <w:rFonts w:ascii="Arial" w:hAnsi="Arial" w:cs="Arial"/>
          <w:color w:val="000000" w:themeColor="text1"/>
        </w:rPr>
        <w:t xml:space="preserve"> </w:t>
      </w:r>
      <w:r w:rsidRPr="000F3D59">
        <w:rPr>
          <w:rFonts w:ascii="Arial" w:hAnsi="Arial" w:cs="Arial"/>
          <w:color w:val="000000" w:themeColor="text1"/>
        </w:rPr>
        <w:t>Relevant medical history and diagnoses documented in participants' medical records may be used during screening and throughout the study to confirm eligibility, document comorbid conditions, and support safety assessments, in accordance with HIPAA requirements and applicable institutional and regulatory policies.</w:t>
      </w:r>
    </w:p>
    <w:p w14:paraId="7A8F6965" w14:textId="77777777" w:rsidR="000A6C59" w:rsidRPr="000F3D59" w:rsidRDefault="000A6C59" w:rsidP="000A6C59">
      <w:pPr>
        <w:pStyle w:val="ListParagraph"/>
        <w:spacing w:before="0" w:after="0" w:line="240" w:lineRule="auto"/>
        <w:ind w:left="792"/>
        <w:jc w:val="both"/>
        <w:rPr>
          <w:rFonts w:ascii="Arial" w:eastAsia="Calibri" w:hAnsi="Arial" w:cs="Arial"/>
          <w:b/>
          <w:bCs/>
          <w:color w:val="000000" w:themeColor="text1"/>
        </w:rPr>
      </w:pPr>
    </w:p>
    <w:p w14:paraId="1B9B7B94" w14:textId="1AF9392E" w:rsidR="007B561A" w:rsidRPr="000F3D59" w:rsidRDefault="007B561A" w:rsidP="007D6FE8">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Adverse Events and Serious Adverse Events</w:t>
      </w:r>
    </w:p>
    <w:p w14:paraId="66136097" w14:textId="70BA4E75" w:rsidR="007B561A" w:rsidRPr="000F3D59" w:rsidRDefault="007B561A" w:rsidP="007D6FE8">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Definition of Adverse Events (AEs)</w:t>
      </w:r>
    </w:p>
    <w:p w14:paraId="3660E274" w14:textId="27F4514B" w:rsidR="00371AA6" w:rsidRPr="000F3D59" w:rsidRDefault="00371AA6" w:rsidP="00371AA6">
      <w:pPr>
        <w:pStyle w:val="ListParagraph"/>
        <w:spacing w:before="0" w:after="0" w:line="240" w:lineRule="auto"/>
        <w:ind w:left="1224"/>
        <w:jc w:val="both"/>
        <w:rPr>
          <w:rFonts w:ascii="Arial" w:eastAsia="Calibri" w:hAnsi="Arial" w:cs="Arial"/>
          <w:color w:val="000000" w:themeColor="text1"/>
        </w:rPr>
      </w:pPr>
      <w:r w:rsidRPr="000F3D59">
        <w:rPr>
          <w:rFonts w:ascii="Arial" w:hAnsi="Arial" w:cs="Arial"/>
          <w:color w:val="000000" w:themeColor="text1"/>
        </w:rPr>
        <w:t>An AE is any untoward medical occurrence associated with the use of an intervention in humans, whether or not considered intervention-related.</w:t>
      </w:r>
    </w:p>
    <w:p w14:paraId="481D9864" w14:textId="77777777" w:rsidR="00371AA6" w:rsidRPr="000F3D59" w:rsidRDefault="00371AA6" w:rsidP="00371AA6">
      <w:pPr>
        <w:pStyle w:val="ListParagraph"/>
        <w:spacing w:before="0" w:after="0" w:line="240" w:lineRule="auto"/>
        <w:ind w:left="1224"/>
        <w:jc w:val="both"/>
        <w:rPr>
          <w:rFonts w:ascii="Arial" w:eastAsia="Calibri" w:hAnsi="Arial" w:cs="Arial"/>
          <w:color w:val="000000" w:themeColor="text1"/>
        </w:rPr>
      </w:pPr>
    </w:p>
    <w:p w14:paraId="59429F60" w14:textId="17F3AC5F" w:rsidR="007B561A" w:rsidRPr="000F3D59" w:rsidRDefault="007B561A" w:rsidP="007D6FE8">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Definition of Serious Adverse Events (SAEs)</w:t>
      </w:r>
    </w:p>
    <w:p w14:paraId="7A287F17" w14:textId="3828D874" w:rsidR="00371AA6" w:rsidRPr="000F3D59" w:rsidRDefault="00371AA6" w:rsidP="00371AA6">
      <w:pPr>
        <w:pStyle w:val="ListParagraph"/>
        <w:spacing w:before="0" w:after="0" w:line="240" w:lineRule="auto"/>
        <w:ind w:left="1224"/>
        <w:jc w:val="both"/>
        <w:rPr>
          <w:rFonts w:ascii="Arial" w:eastAsia="Calibri" w:hAnsi="Arial" w:cs="Arial"/>
          <w:color w:val="000000" w:themeColor="text1"/>
        </w:rPr>
      </w:pPr>
      <w:r w:rsidRPr="000F3D59">
        <w:rPr>
          <w:rFonts w:ascii="Arial" w:hAnsi="Arial" w:cs="Arial"/>
          <w:color w:val="000000" w:themeColor="text1"/>
        </w:rPr>
        <w:t>An AE or suspected adverse reaction is considered "serious" if, in the view of either the investigator or sponsor, it results in any of the following outcomes – death, a life-threatening AE, inpatient hospitalization or prolongation of existing hospitalization, a persistent or significant incapacity or substantial disruption of the ability to conduct normal life functions, or a congenital anomaly/birth defect. Important medical events that may not result in death, be life-threatening, or require hospitalization may be considered serious when, based upon appropriate medical judgment, they may jeopardize the participant and may require medical or surgical intervention to prevent one of the outcomes listed in this definition.</w:t>
      </w:r>
    </w:p>
    <w:p w14:paraId="723199B6" w14:textId="77777777" w:rsidR="00371AA6" w:rsidRPr="000F3D59" w:rsidRDefault="00371AA6" w:rsidP="00371AA6">
      <w:pPr>
        <w:pStyle w:val="ListParagraph"/>
        <w:spacing w:before="0" w:after="0" w:line="240" w:lineRule="auto"/>
        <w:ind w:left="1224"/>
        <w:jc w:val="both"/>
        <w:rPr>
          <w:rFonts w:ascii="Arial" w:eastAsia="Calibri" w:hAnsi="Arial" w:cs="Arial"/>
          <w:color w:val="000000" w:themeColor="text1"/>
        </w:rPr>
      </w:pPr>
    </w:p>
    <w:p w14:paraId="12F36FB2" w14:textId="569A33F8" w:rsidR="007B561A" w:rsidRPr="000F3D59" w:rsidRDefault="007B561A" w:rsidP="007D6FE8">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 xml:space="preserve">Classification of an </w:t>
      </w:r>
      <w:r w:rsidR="00623914" w:rsidRPr="000F3D59">
        <w:rPr>
          <w:rFonts w:ascii="Arial" w:eastAsia="Calibri" w:hAnsi="Arial" w:cs="Arial"/>
          <w:b/>
          <w:bCs/>
          <w:color w:val="000000" w:themeColor="text1"/>
        </w:rPr>
        <w:t>AE</w:t>
      </w:r>
    </w:p>
    <w:p w14:paraId="212FEA04" w14:textId="3E956988" w:rsidR="00371AA6" w:rsidRPr="000F3D59" w:rsidRDefault="00371AA6" w:rsidP="00371AA6">
      <w:pPr>
        <w:pStyle w:val="ListParagraph"/>
        <w:numPr>
          <w:ilvl w:val="3"/>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Severity of Event</w:t>
      </w:r>
    </w:p>
    <w:p w14:paraId="04FE4DE4" w14:textId="68213807" w:rsidR="00371AA6" w:rsidRPr="000F3D59" w:rsidRDefault="00371AA6" w:rsidP="00371AA6">
      <w:pPr>
        <w:pStyle w:val="ListParagraph"/>
        <w:spacing w:before="0" w:after="0" w:line="240" w:lineRule="auto"/>
        <w:ind w:left="2160"/>
        <w:jc w:val="both"/>
        <w:rPr>
          <w:rFonts w:ascii="Arial" w:hAnsi="Arial" w:cs="Arial"/>
          <w:color w:val="000000" w:themeColor="text1"/>
        </w:rPr>
      </w:pPr>
      <w:r w:rsidRPr="000F3D59">
        <w:rPr>
          <w:rFonts w:ascii="Arial" w:hAnsi="Arial" w:cs="Arial"/>
          <w:color w:val="000000" w:themeColor="text1"/>
        </w:rPr>
        <w:t>For AEs not included in the protocol defined grading system, the following guidelines will be used to describe severity –</w:t>
      </w:r>
    </w:p>
    <w:p w14:paraId="19FD6D0E" w14:textId="77777777" w:rsidR="00371AA6" w:rsidRPr="000F3D59" w:rsidRDefault="00371AA6" w:rsidP="00371AA6">
      <w:pPr>
        <w:numPr>
          <w:ilvl w:val="0"/>
          <w:numId w:val="15"/>
        </w:numPr>
        <w:spacing w:before="0" w:after="0" w:line="240" w:lineRule="auto"/>
        <w:jc w:val="both"/>
        <w:textAlignment w:val="baseline"/>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 xml:space="preserve">Mild </w:t>
      </w:r>
      <w:r w:rsidRPr="000F3D59">
        <w:rPr>
          <w:rFonts w:ascii="Arial" w:eastAsia="Times New Roman" w:hAnsi="Arial" w:cs="Arial"/>
          <w:color w:val="000000" w:themeColor="text1"/>
          <w:lang w:val="en-US"/>
        </w:rPr>
        <w:t>– Events require minimal or no treatment and do not interfere with the participant’s daily activities. </w:t>
      </w:r>
    </w:p>
    <w:p w14:paraId="2A4D8436" w14:textId="77777777" w:rsidR="00371AA6" w:rsidRPr="000F3D59" w:rsidRDefault="00371AA6" w:rsidP="00371AA6">
      <w:pPr>
        <w:numPr>
          <w:ilvl w:val="0"/>
          <w:numId w:val="15"/>
        </w:numPr>
        <w:spacing w:before="0" w:after="0" w:line="240" w:lineRule="auto"/>
        <w:jc w:val="both"/>
        <w:textAlignment w:val="baseline"/>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 xml:space="preserve">Moderate </w:t>
      </w:r>
      <w:r w:rsidRPr="000F3D59">
        <w:rPr>
          <w:rFonts w:ascii="Arial" w:eastAsia="Times New Roman" w:hAnsi="Arial" w:cs="Arial"/>
          <w:color w:val="000000" w:themeColor="text1"/>
          <w:lang w:val="en-US"/>
        </w:rPr>
        <w:t>– Events result in a low level of inconvenience or concern with the therapeutic measures. Moderate events may cause some interference with functioning.</w:t>
      </w:r>
    </w:p>
    <w:p w14:paraId="7AD5C216" w14:textId="77777777" w:rsidR="00371AA6" w:rsidRPr="000F3D59" w:rsidRDefault="00371AA6" w:rsidP="00371AA6">
      <w:pPr>
        <w:numPr>
          <w:ilvl w:val="0"/>
          <w:numId w:val="15"/>
        </w:numPr>
        <w:spacing w:before="0" w:after="0" w:line="240" w:lineRule="auto"/>
        <w:jc w:val="both"/>
        <w:textAlignment w:val="baseline"/>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 xml:space="preserve">Severe </w:t>
      </w:r>
      <w:r w:rsidRPr="000F3D59">
        <w:rPr>
          <w:rFonts w:ascii="Arial" w:eastAsia="Times New Roman" w:hAnsi="Arial" w:cs="Arial"/>
          <w:color w:val="000000" w:themeColor="text1"/>
          <w:lang w:val="en-US"/>
        </w:rPr>
        <w:t>– Events interrupt a participant’s usual daily activity and may require systemic drug therapy or other treatment. Severe events are usually potentially life-threatening or incapacitating.  Of note, the term “severe” does not necessarily equate to “serious”.</w:t>
      </w:r>
    </w:p>
    <w:p w14:paraId="423F14AA" w14:textId="3A930546" w:rsidR="00371AA6" w:rsidRPr="000F3D59" w:rsidRDefault="00371AA6" w:rsidP="00371AA6">
      <w:pPr>
        <w:pStyle w:val="ListParagraph"/>
        <w:numPr>
          <w:ilvl w:val="3"/>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Relationship to Study Intervention</w:t>
      </w:r>
    </w:p>
    <w:p w14:paraId="353E29EB" w14:textId="4793D04F" w:rsidR="00371AA6" w:rsidRPr="000F3D59" w:rsidRDefault="00371AA6" w:rsidP="000A6C59">
      <w:pPr>
        <w:pStyle w:val="ListParagraph"/>
        <w:spacing w:before="0" w:after="0" w:line="240" w:lineRule="auto"/>
        <w:ind w:left="2160"/>
        <w:jc w:val="both"/>
        <w:rPr>
          <w:rFonts w:ascii="Arial" w:hAnsi="Arial" w:cs="Arial"/>
          <w:color w:val="000000" w:themeColor="text1"/>
        </w:rPr>
      </w:pPr>
      <w:r w:rsidRPr="000F3D59">
        <w:rPr>
          <w:rFonts w:ascii="Arial" w:hAnsi="Arial" w:cs="Arial"/>
          <w:color w:val="000000" w:themeColor="text1"/>
        </w:rPr>
        <w:t>All AEs must have their relationship to study intervention assessed by the clinician who examines and evaluates the participant based on temporal relationship and his/her clinical judgment. The degree of certainty about causality will be graded using the following categories –</w:t>
      </w:r>
    </w:p>
    <w:p w14:paraId="3092B2F4" w14:textId="29C807BC" w:rsidR="000A6C59" w:rsidRPr="000F3D59" w:rsidRDefault="000A6C59" w:rsidP="000A6C59">
      <w:pPr>
        <w:numPr>
          <w:ilvl w:val="0"/>
          <w:numId w:val="17"/>
        </w:numPr>
        <w:spacing w:before="0" w:after="0" w:line="240" w:lineRule="auto"/>
        <w:jc w:val="both"/>
        <w:textAlignment w:val="baseline"/>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 xml:space="preserve">Definitely Related </w:t>
      </w:r>
      <w:r w:rsidRPr="000F3D59">
        <w:rPr>
          <w:rFonts w:ascii="Arial" w:eastAsia="Times New Roman" w:hAnsi="Arial" w:cs="Arial"/>
          <w:color w:val="000000" w:themeColor="text1"/>
          <w:lang w:val="en-US"/>
        </w:rPr>
        <w:t>– There is clear evidence to suggest a causal relationship, and other possible contributing factors can be ruled out. The clinical event, including an abnormal laboratory test result, occurs in a plausible time relationship to study intervention administration and cannot be explained by concurrent disease or other drugs or chemicals. The response to withdrawal of the study intervention (de-challenge) should be clinically plausible. The event must be pharmacologically or phenomenologically definitive, with use of a satisfactory rechallenge procedure if necessary.</w:t>
      </w:r>
    </w:p>
    <w:p w14:paraId="06E80426" w14:textId="79DD8D89" w:rsidR="000A6C59" w:rsidRPr="000F3D59" w:rsidRDefault="000A6C59" w:rsidP="000A6C59">
      <w:pPr>
        <w:numPr>
          <w:ilvl w:val="0"/>
          <w:numId w:val="17"/>
        </w:numPr>
        <w:spacing w:before="0" w:after="0" w:line="240" w:lineRule="auto"/>
        <w:jc w:val="both"/>
        <w:textAlignment w:val="baseline"/>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 xml:space="preserve">Probably Related </w:t>
      </w:r>
      <w:r w:rsidRPr="000F3D59">
        <w:rPr>
          <w:rFonts w:ascii="Arial" w:eastAsia="Times New Roman" w:hAnsi="Arial" w:cs="Arial"/>
          <w:color w:val="000000" w:themeColor="text1"/>
          <w:lang w:val="en-US"/>
        </w:rPr>
        <w:t xml:space="preserve">– There is evidence to suggest a causal relationship, and the influence of other factors is unlikely. The clinical event, including an abnormal laboratory test result, occurs within a reasonable time after administration of the study intervention, is unlikely to be attributed to concurrent disease or other drugs or chemicals, and follows a clinically </w:t>
      </w:r>
      <w:r w:rsidRPr="000F3D59">
        <w:rPr>
          <w:rFonts w:ascii="Arial" w:eastAsia="Times New Roman" w:hAnsi="Arial" w:cs="Arial"/>
          <w:color w:val="000000" w:themeColor="text1"/>
          <w:lang w:val="en-US"/>
        </w:rPr>
        <w:lastRenderedPageBreak/>
        <w:t>reasonable response on withdrawal (de-challenge). Rechallenge information is not required to fulfill this definition.</w:t>
      </w:r>
    </w:p>
    <w:p w14:paraId="0DF3E08D" w14:textId="77777777" w:rsidR="000A6C59" w:rsidRPr="000F3D59" w:rsidRDefault="000A6C59" w:rsidP="000A6C59">
      <w:pPr>
        <w:numPr>
          <w:ilvl w:val="0"/>
          <w:numId w:val="17"/>
        </w:numPr>
        <w:spacing w:before="0" w:after="0" w:line="240" w:lineRule="auto"/>
        <w:jc w:val="both"/>
        <w:textAlignment w:val="baseline"/>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 xml:space="preserve">Potentially Related </w:t>
      </w:r>
      <w:r w:rsidRPr="000F3D59">
        <w:rPr>
          <w:rFonts w:ascii="Arial" w:eastAsia="Times New Roman" w:hAnsi="Arial" w:cs="Arial"/>
          <w:color w:val="000000" w:themeColor="text1"/>
          <w:lang w:val="en-US"/>
        </w:rPr>
        <w:t>– There is some evidence to suggest a causal relationship (e.g., the event occurred within a reasonable time after administration of the trial medication). However, other factors may have contributed to the event (e.g., the participant’s clinical condition, other concomitant events). Although an AE may rate only as “possibly related” soon after discovery, it can be flagged as requiring more information and later be upgraded to “probably related” or “definitely related”, as appropriate.</w:t>
      </w:r>
    </w:p>
    <w:p w14:paraId="5FFA4448" w14:textId="77777777" w:rsidR="000A6C59" w:rsidRPr="000F3D59" w:rsidRDefault="000A6C59" w:rsidP="000A6C59">
      <w:pPr>
        <w:numPr>
          <w:ilvl w:val="0"/>
          <w:numId w:val="17"/>
        </w:numPr>
        <w:spacing w:before="0" w:after="0" w:line="240" w:lineRule="auto"/>
        <w:jc w:val="both"/>
        <w:textAlignment w:val="baseline"/>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 xml:space="preserve">Unlikely to be related </w:t>
      </w:r>
      <w:r w:rsidRPr="000F3D59">
        <w:rPr>
          <w:rFonts w:ascii="Arial" w:eastAsia="Times New Roman" w:hAnsi="Arial" w:cs="Arial"/>
          <w:color w:val="000000" w:themeColor="text1"/>
          <w:lang w:val="en-US"/>
        </w:rPr>
        <w:t>– A clinical event, including an abnormal laboratory test result, whose temporal relationship to study intervention administration makes a causal relationship improbable (e.g., the event did not occur within a reasonable time after administration of the study intervention) and in which other drugs or chemicals or underlying disease provides plausible explanations (e.g., the participant’s clinical condition, other concomitant treatments).</w:t>
      </w:r>
    </w:p>
    <w:p w14:paraId="1F1A6DCD" w14:textId="77777777" w:rsidR="000A6C59" w:rsidRPr="000F3D59" w:rsidRDefault="000A6C59" w:rsidP="000A6C59">
      <w:pPr>
        <w:numPr>
          <w:ilvl w:val="0"/>
          <w:numId w:val="17"/>
        </w:numPr>
        <w:spacing w:before="0" w:after="0" w:line="240" w:lineRule="auto"/>
        <w:jc w:val="both"/>
        <w:textAlignment w:val="baseline"/>
        <w:rPr>
          <w:rFonts w:ascii="Arial" w:eastAsia="Times New Roman" w:hAnsi="Arial" w:cs="Arial"/>
          <w:color w:val="000000" w:themeColor="text1"/>
          <w:lang w:val="en-US"/>
        </w:rPr>
      </w:pPr>
      <w:r w:rsidRPr="000F3D59">
        <w:rPr>
          <w:rFonts w:ascii="Arial" w:eastAsia="Times New Roman" w:hAnsi="Arial" w:cs="Arial"/>
          <w:b/>
          <w:bCs/>
          <w:color w:val="000000" w:themeColor="text1"/>
          <w:lang w:val="en-US"/>
        </w:rPr>
        <w:t xml:space="preserve">Not Related </w:t>
      </w:r>
      <w:r w:rsidRPr="000F3D59">
        <w:rPr>
          <w:rFonts w:ascii="Arial" w:eastAsia="Times New Roman" w:hAnsi="Arial" w:cs="Arial"/>
          <w:color w:val="000000" w:themeColor="text1"/>
          <w:lang w:val="en-US"/>
        </w:rPr>
        <w:t>– The AE is completely independent of study intervention administration, and/or evidence exists that the event is definitely related to another etiology. There must be an alternative, definitive etiology documented by the clinician.</w:t>
      </w:r>
    </w:p>
    <w:p w14:paraId="600090EA" w14:textId="62DF66DC" w:rsidR="00371AA6" w:rsidRPr="000F3D59" w:rsidRDefault="00371AA6" w:rsidP="00371AA6">
      <w:pPr>
        <w:pStyle w:val="ListParagraph"/>
        <w:numPr>
          <w:ilvl w:val="3"/>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Expectedness</w:t>
      </w:r>
    </w:p>
    <w:p w14:paraId="2F7A041A" w14:textId="4065CA13" w:rsidR="000A6C59" w:rsidRPr="000F3D59" w:rsidRDefault="000A6C59" w:rsidP="000A6C59">
      <w:pPr>
        <w:pStyle w:val="ListParagraph"/>
        <w:spacing w:before="0" w:after="0" w:line="240" w:lineRule="auto"/>
        <w:ind w:left="2160"/>
        <w:jc w:val="both"/>
        <w:rPr>
          <w:rFonts w:ascii="Arial" w:hAnsi="Arial" w:cs="Arial"/>
          <w:color w:val="000000" w:themeColor="text1"/>
        </w:rPr>
      </w:pPr>
      <w:r w:rsidRPr="000F3D59">
        <w:rPr>
          <w:rFonts w:ascii="Arial" w:hAnsi="Arial" w:cs="Arial"/>
          <w:color w:val="000000" w:themeColor="text1"/>
        </w:rPr>
        <w:t>The Principal Investigator will be responsible for determining whether an AE is expected or unexpected.  An AE will be considered unexpected if the nature, severity, or frequency of the event is not consistent with the risk information previously described for the study intervention.</w:t>
      </w:r>
    </w:p>
    <w:p w14:paraId="1C06059C" w14:textId="77777777" w:rsidR="000A6C59" w:rsidRPr="000F3D59" w:rsidRDefault="000A6C59" w:rsidP="000A6C59">
      <w:pPr>
        <w:pStyle w:val="ListParagraph"/>
        <w:spacing w:before="0" w:after="0" w:line="240" w:lineRule="auto"/>
        <w:ind w:left="2160"/>
        <w:jc w:val="both"/>
        <w:rPr>
          <w:rFonts w:ascii="Arial" w:eastAsia="Calibri" w:hAnsi="Arial" w:cs="Arial"/>
          <w:b/>
          <w:bCs/>
          <w:color w:val="000000" w:themeColor="text1"/>
        </w:rPr>
      </w:pPr>
    </w:p>
    <w:p w14:paraId="713048D7" w14:textId="77777777" w:rsidR="000A6C59" w:rsidRPr="000F3D59" w:rsidRDefault="007B561A" w:rsidP="000A6C59">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Time Period and Frequency for Event Assessment and Follow-Up</w:t>
      </w:r>
    </w:p>
    <w:p w14:paraId="41FDCEA6" w14:textId="73DE60D8" w:rsidR="000A6C59" w:rsidRPr="000F3D59" w:rsidRDefault="000A6C59" w:rsidP="000A6C59">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 xml:space="preserve">The occurrence of an AE or SAE may come to the attention of study personnel during study visits and interviews of a study participant presenting for medical care, or upon review by a study monitor. All AEs including local and systemic reactions not meeting the criteria for SAEs will be captured on </w:t>
      </w:r>
      <w:r w:rsidR="009C4C61" w:rsidRPr="000F3D59">
        <w:rPr>
          <w:rFonts w:ascii="Arial" w:eastAsia="Times New Roman" w:hAnsi="Arial" w:cs="Arial"/>
          <w:color w:val="000000" w:themeColor="text1"/>
          <w:lang w:val="en-US"/>
        </w:rPr>
        <w:t xml:space="preserve">the </w:t>
      </w:r>
      <w:r w:rsidR="00101742" w:rsidRPr="000F3D59">
        <w:rPr>
          <w:rFonts w:ascii="Arial" w:eastAsia="Times New Roman" w:hAnsi="Arial" w:cs="Arial"/>
          <w:color w:val="000000" w:themeColor="text1"/>
          <w:lang w:val="en-US"/>
        </w:rPr>
        <w:t xml:space="preserve">electronic </w:t>
      </w:r>
      <w:r w:rsidRPr="000F3D59">
        <w:rPr>
          <w:rFonts w:ascii="Arial" w:eastAsia="Times New Roman" w:hAnsi="Arial" w:cs="Arial"/>
          <w:color w:val="000000" w:themeColor="text1"/>
          <w:lang w:val="en-US"/>
        </w:rPr>
        <w:t>case report form</w:t>
      </w:r>
      <w:r w:rsidR="00101742" w:rsidRPr="000F3D59">
        <w:rPr>
          <w:rFonts w:ascii="Arial" w:eastAsia="Times New Roman" w:hAnsi="Arial" w:cs="Arial"/>
          <w:color w:val="000000" w:themeColor="text1"/>
          <w:lang w:val="en-US"/>
        </w:rPr>
        <w:t>s</w:t>
      </w:r>
      <w:r w:rsidRPr="000F3D59">
        <w:rPr>
          <w:rFonts w:ascii="Arial" w:eastAsia="Times New Roman" w:hAnsi="Arial" w:cs="Arial"/>
          <w:color w:val="000000" w:themeColor="text1"/>
          <w:lang w:val="en-US"/>
        </w:rPr>
        <w:t xml:space="preserve"> (</w:t>
      </w:r>
      <w:r w:rsidR="00101742" w:rsidRPr="000F3D59">
        <w:rPr>
          <w:rFonts w:ascii="Arial" w:eastAsia="Times New Roman" w:hAnsi="Arial" w:cs="Arial"/>
          <w:color w:val="000000" w:themeColor="text1"/>
          <w:lang w:val="en-US"/>
        </w:rPr>
        <w:t>e</w:t>
      </w:r>
      <w:r w:rsidRPr="000F3D59">
        <w:rPr>
          <w:rFonts w:ascii="Arial" w:eastAsia="Times New Roman" w:hAnsi="Arial" w:cs="Arial"/>
          <w:color w:val="000000" w:themeColor="text1"/>
          <w:lang w:val="en-US"/>
        </w:rPr>
        <w:t>CRF). Information to be collected includes event description, time of onset, clinician’s assessment of severity, relationship to study product (assessed only by those with the training and authority to make a diagnosis), and time of resolution/stabilization of the event. All AEs occurring while on study must be documented appropriately regardless of relationship. All AEs will be followed to adequate resolution.</w:t>
      </w:r>
    </w:p>
    <w:p w14:paraId="4F59503E" w14:textId="77777777" w:rsidR="000A6C59" w:rsidRPr="000F3D59" w:rsidRDefault="000A6C59" w:rsidP="000A6C59">
      <w:pPr>
        <w:pStyle w:val="ListParagraph"/>
        <w:spacing w:before="0" w:after="0" w:line="240" w:lineRule="auto"/>
        <w:ind w:left="1224"/>
        <w:jc w:val="both"/>
        <w:rPr>
          <w:rFonts w:ascii="Arial" w:eastAsia="Times New Roman" w:hAnsi="Arial" w:cs="Arial"/>
          <w:color w:val="000000" w:themeColor="text1"/>
          <w:lang w:val="en-US"/>
        </w:rPr>
      </w:pPr>
    </w:p>
    <w:p w14:paraId="61116006" w14:textId="77777777" w:rsidR="000A6C59" w:rsidRPr="000F3D59" w:rsidRDefault="000A6C59" w:rsidP="000A6C59">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Any medical condition that is present at the time that the participant is screened will be considered as baseline and not reported as an AE. However, if the study participant’s condition deteriorates at any time during the study, it will be recorded as an AE. Changes in the severity of an AE will be documented to allow an assessment of the duration of the event at each level of severity to be performed. AEs characterized as intermittent require documentation of onset and duration of each episode.</w:t>
      </w:r>
    </w:p>
    <w:p w14:paraId="25979FE7" w14:textId="77777777" w:rsidR="000A6C59" w:rsidRPr="000F3D59" w:rsidRDefault="000A6C59" w:rsidP="000A6C59">
      <w:pPr>
        <w:pStyle w:val="ListParagraph"/>
        <w:spacing w:before="0" w:after="0" w:line="240" w:lineRule="auto"/>
        <w:ind w:left="1224"/>
        <w:jc w:val="both"/>
        <w:rPr>
          <w:rFonts w:ascii="Arial" w:eastAsia="Times New Roman" w:hAnsi="Arial" w:cs="Arial"/>
          <w:color w:val="000000" w:themeColor="text1"/>
          <w:lang w:val="en-US"/>
        </w:rPr>
      </w:pPr>
    </w:p>
    <w:p w14:paraId="72BE8CCA" w14:textId="6AA79ACB" w:rsidR="000A6C59" w:rsidRPr="000F3D59" w:rsidRDefault="000A6C59" w:rsidP="000A6C59">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 xml:space="preserve">The Principal Investigator will record all reportable events with start dates occurring any time after informed consent is obtained until 7 </w:t>
      </w:r>
      <w:r w:rsidR="00CB4611" w:rsidRPr="000F3D59">
        <w:rPr>
          <w:rFonts w:ascii="Arial" w:eastAsia="Times New Roman" w:hAnsi="Arial" w:cs="Arial"/>
          <w:color w:val="000000" w:themeColor="text1"/>
          <w:lang w:val="en-US"/>
        </w:rPr>
        <w:t xml:space="preserve">days </w:t>
      </w:r>
      <w:r w:rsidRPr="000F3D59">
        <w:rPr>
          <w:rFonts w:ascii="Arial" w:eastAsia="Times New Roman" w:hAnsi="Arial" w:cs="Arial"/>
          <w:color w:val="000000" w:themeColor="text1"/>
          <w:lang w:val="en-US"/>
        </w:rPr>
        <w:t>after the last day of study participation.  At each study visit, the investigator will inquire about the occurrence of AE</w:t>
      </w:r>
      <w:r w:rsidR="00CB4611" w:rsidRPr="000F3D59">
        <w:rPr>
          <w:rFonts w:ascii="Arial" w:eastAsia="Times New Roman" w:hAnsi="Arial" w:cs="Arial"/>
          <w:color w:val="000000" w:themeColor="text1"/>
          <w:lang w:val="en-US"/>
        </w:rPr>
        <w:t>s</w:t>
      </w:r>
      <w:r w:rsidRPr="000F3D59">
        <w:rPr>
          <w:rFonts w:ascii="Arial" w:eastAsia="Times New Roman" w:hAnsi="Arial" w:cs="Arial"/>
          <w:color w:val="000000" w:themeColor="text1"/>
          <w:lang w:val="en-US"/>
        </w:rPr>
        <w:t xml:space="preserve"> since the last visit.  Events will be followed for outcome information until resolution or stabilization.</w:t>
      </w:r>
    </w:p>
    <w:p w14:paraId="7F79BF47" w14:textId="77777777" w:rsidR="000A6C59" w:rsidRPr="000F3D59" w:rsidRDefault="000A6C59" w:rsidP="000A6C59">
      <w:pPr>
        <w:pStyle w:val="ListParagraph"/>
        <w:spacing w:before="0" w:after="0" w:line="240" w:lineRule="auto"/>
        <w:ind w:left="1224"/>
        <w:jc w:val="both"/>
        <w:rPr>
          <w:rFonts w:ascii="Arial" w:eastAsia="Calibri" w:hAnsi="Arial" w:cs="Arial"/>
          <w:b/>
          <w:bCs/>
          <w:color w:val="000000" w:themeColor="text1"/>
        </w:rPr>
      </w:pPr>
    </w:p>
    <w:p w14:paraId="74B3AFDA" w14:textId="77777777" w:rsidR="00101742" w:rsidRPr="000F3D59" w:rsidRDefault="002B3729" w:rsidP="00101742">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AE</w:t>
      </w:r>
      <w:r w:rsidR="007B561A" w:rsidRPr="000F3D59">
        <w:rPr>
          <w:rFonts w:ascii="Arial" w:eastAsia="Calibri" w:hAnsi="Arial" w:cs="Arial"/>
          <w:b/>
          <w:bCs/>
          <w:color w:val="000000" w:themeColor="text1"/>
        </w:rPr>
        <w:t xml:space="preserve"> Reporting</w:t>
      </w:r>
    </w:p>
    <w:p w14:paraId="3A8BBF7F" w14:textId="6D4DD283" w:rsidR="00101742" w:rsidRPr="000F3D59" w:rsidRDefault="00101742" w:rsidP="00A20BFD">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All AEs occurring after administration of the first dose of study intervention through completion of the follow-up visit will be documented in the participant's study records, regardless of the investigator's assessment of causality.</w:t>
      </w:r>
      <w:r w:rsidR="00A20BFD" w:rsidRPr="000F3D59">
        <w:rPr>
          <w:rFonts w:ascii="Arial" w:eastAsia="Times New Roman" w:hAnsi="Arial" w:cs="Arial"/>
          <w:color w:val="000000" w:themeColor="text1"/>
          <w:lang w:val="en-US"/>
        </w:rPr>
        <w:t xml:space="preserve"> </w:t>
      </w:r>
      <w:r w:rsidRPr="000F3D59">
        <w:rPr>
          <w:rFonts w:ascii="Arial" w:eastAsia="Times New Roman" w:hAnsi="Arial" w:cs="Arial"/>
          <w:color w:val="000000" w:themeColor="text1"/>
          <w:lang w:val="en-US"/>
        </w:rPr>
        <w:t>At each scheduled study visit, participants will be questioned regarding the occurrence of new or worsening symptoms since the previous visit.</w:t>
      </w:r>
      <w:r w:rsidR="00A20BFD" w:rsidRPr="000F3D59">
        <w:rPr>
          <w:rFonts w:ascii="Arial" w:eastAsia="Times New Roman" w:hAnsi="Arial" w:cs="Arial"/>
          <w:color w:val="000000" w:themeColor="text1"/>
          <w:lang w:val="en-US"/>
        </w:rPr>
        <w:t xml:space="preserve"> </w:t>
      </w:r>
      <w:r w:rsidRPr="000F3D59">
        <w:rPr>
          <w:rFonts w:ascii="Arial" w:eastAsia="Times New Roman" w:hAnsi="Arial" w:cs="Arial"/>
          <w:color w:val="000000" w:themeColor="text1"/>
          <w:lang w:val="en-US"/>
        </w:rPr>
        <w:t xml:space="preserve">AEs may also be identified through physical examination, laboratory assessments, review of </w:t>
      </w:r>
      <w:r w:rsidRPr="000F3D59">
        <w:rPr>
          <w:rFonts w:ascii="Arial" w:eastAsia="Times New Roman" w:hAnsi="Arial" w:cs="Arial"/>
          <w:color w:val="000000" w:themeColor="text1"/>
          <w:lang w:val="en-US"/>
        </w:rPr>
        <w:lastRenderedPageBreak/>
        <w:t>concomitant medications, or spontaneous participant reports. Participants will be instructed to contact the study site between scheduled visits if they experience any concerning symptoms.</w:t>
      </w:r>
      <w:r w:rsidR="00A20BFD" w:rsidRPr="000F3D59">
        <w:rPr>
          <w:rFonts w:ascii="Arial" w:eastAsia="Times New Roman" w:hAnsi="Arial" w:cs="Arial"/>
          <w:color w:val="000000" w:themeColor="text1"/>
          <w:lang w:val="en-US"/>
        </w:rPr>
        <w:t xml:space="preserve"> </w:t>
      </w:r>
      <w:r w:rsidRPr="000F3D59">
        <w:rPr>
          <w:rFonts w:ascii="Arial" w:eastAsia="Times New Roman" w:hAnsi="Arial" w:cs="Arial"/>
          <w:color w:val="000000" w:themeColor="text1"/>
          <w:lang w:val="en-US"/>
        </w:rPr>
        <w:t>Each AE will be documented with the following information</w:t>
      </w:r>
      <w:r w:rsidR="00A20BFD" w:rsidRPr="000F3D59">
        <w:rPr>
          <w:rFonts w:ascii="Arial" w:eastAsia="Times New Roman" w:hAnsi="Arial" w:cs="Arial"/>
          <w:color w:val="000000" w:themeColor="text1"/>
          <w:lang w:val="en-US"/>
        </w:rPr>
        <w:t xml:space="preserve"> –</w:t>
      </w:r>
    </w:p>
    <w:p w14:paraId="0D1019AD" w14:textId="77777777" w:rsidR="00A20BFD" w:rsidRPr="000F3D59" w:rsidRDefault="00101742" w:rsidP="00A20BFD">
      <w:pPr>
        <w:pStyle w:val="ListParagraph"/>
        <w:numPr>
          <w:ilvl w:val="0"/>
          <w:numId w:val="26"/>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Date of onset and resolution</w:t>
      </w:r>
    </w:p>
    <w:p w14:paraId="74B7B9CE" w14:textId="77777777" w:rsidR="00A20BFD" w:rsidRPr="000F3D59" w:rsidRDefault="00101742" w:rsidP="00A20BFD">
      <w:pPr>
        <w:pStyle w:val="ListParagraph"/>
        <w:numPr>
          <w:ilvl w:val="0"/>
          <w:numId w:val="26"/>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Severity</w:t>
      </w:r>
    </w:p>
    <w:p w14:paraId="078CA5AB" w14:textId="77777777" w:rsidR="00A20BFD" w:rsidRPr="000F3D59" w:rsidRDefault="00101742" w:rsidP="00A20BFD">
      <w:pPr>
        <w:pStyle w:val="ListParagraph"/>
        <w:numPr>
          <w:ilvl w:val="0"/>
          <w:numId w:val="26"/>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Seriousness</w:t>
      </w:r>
    </w:p>
    <w:p w14:paraId="4FA8FEAB" w14:textId="77777777" w:rsidR="00A20BFD" w:rsidRPr="000F3D59" w:rsidRDefault="00101742" w:rsidP="00A20BFD">
      <w:pPr>
        <w:pStyle w:val="ListParagraph"/>
        <w:numPr>
          <w:ilvl w:val="0"/>
          <w:numId w:val="26"/>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Investigator assessment of relationship to study intervention</w:t>
      </w:r>
    </w:p>
    <w:p w14:paraId="5D3DF00B" w14:textId="77777777" w:rsidR="00A20BFD" w:rsidRPr="000F3D59" w:rsidRDefault="00101742" w:rsidP="00A20BFD">
      <w:pPr>
        <w:pStyle w:val="ListParagraph"/>
        <w:numPr>
          <w:ilvl w:val="0"/>
          <w:numId w:val="26"/>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Action taken regarding study intervention</w:t>
      </w:r>
    </w:p>
    <w:p w14:paraId="72271BF5" w14:textId="77777777" w:rsidR="00A20BFD" w:rsidRPr="000F3D59" w:rsidRDefault="00101742" w:rsidP="00A20BFD">
      <w:pPr>
        <w:pStyle w:val="ListParagraph"/>
        <w:numPr>
          <w:ilvl w:val="0"/>
          <w:numId w:val="26"/>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Treatment required</w:t>
      </w:r>
    </w:p>
    <w:p w14:paraId="417FD611" w14:textId="0A0B64CF" w:rsidR="00101742" w:rsidRPr="000F3D59" w:rsidRDefault="00101742" w:rsidP="00A20BFD">
      <w:pPr>
        <w:pStyle w:val="ListParagraph"/>
        <w:numPr>
          <w:ilvl w:val="0"/>
          <w:numId w:val="26"/>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Outcome</w:t>
      </w:r>
    </w:p>
    <w:p w14:paraId="15803971" w14:textId="5F3D4350" w:rsidR="00101742" w:rsidRPr="000F3D59" w:rsidRDefault="00101742" w:rsidP="00A20BFD">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Non-serious AEs will be recorded in the eCRF and reported to the study sponsor according to the protocol-defined reporting schedule and applicable regulatory requirements.</w:t>
      </w:r>
      <w:r w:rsidR="00A20BFD" w:rsidRPr="000F3D59">
        <w:rPr>
          <w:rFonts w:ascii="Arial" w:eastAsia="Times New Roman" w:hAnsi="Arial" w:cs="Arial"/>
          <w:color w:val="000000" w:themeColor="text1"/>
          <w:lang w:val="en-US"/>
        </w:rPr>
        <w:t xml:space="preserve"> </w:t>
      </w:r>
      <w:r w:rsidRPr="000F3D59">
        <w:rPr>
          <w:rFonts w:ascii="Arial" w:eastAsia="Times New Roman" w:hAnsi="Arial" w:cs="Arial"/>
          <w:color w:val="000000" w:themeColor="text1"/>
          <w:lang w:val="en-US"/>
        </w:rPr>
        <w:t>Detailed reporting procedures, responsibilities, and reporting workflows are described in the MOP.</w:t>
      </w:r>
    </w:p>
    <w:p w14:paraId="4C4C3F6F" w14:textId="77777777" w:rsidR="00A20BFD" w:rsidRPr="000F3D59" w:rsidRDefault="00A20BFD" w:rsidP="00A20BFD">
      <w:pPr>
        <w:pStyle w:val="ListParagraph"/>
        <w:spacing w:before="0" w:after="0" w:line="240" w:lineRule="auto"/>
        <w:ind w:left="1224"/>
        <w:jc w:val="both"/>
        <w:rPr>
          <w:rFonts w:ascii="Arial" w:eastAsia="Times New Roman" w:hAnsi="Arial" w:cs="Arial"/>
          <w:color w:val="000000" w:themeColor="text1"/>
          <w:lang w:val="en-US"/>
        </w:rPr>
      </w:pPr>
    </w:p>
    <w:p w14:paraId="162F47BC" w14:textId="3BCB7C76" w:rsidR="00101742" w:rsidRPr="000F3D59" w:rsidRDefault="00101742" w:rsidP="00101742">
      <w:pPr>
        <w:pStyle w:val="ListParagraph"/>
        <w:spacing w:before="0" w:after="0" w:line="240" w:lineRule="auto"/>
        <w:ind w:left="1224"/>
        <w:jc w:val="both"/>
        <w:rPr>
          <w:rFonts w:ascii="Arial" w:eastAsia="Calibri" w:hAnsi="Arial" w:cs="Arial"/>
          <w:b/>
          <w:bCs/>
          <w:color w:val="000000" w:themeColor="text1"/>
        </w:rPr>
      </w:pPr>
      <w:r w:rsidRPr="000F3D59">
        <w:rPr>
          <w:rFonts w:ascii="Arial" w:eastAsia="Times New Roman" w:hAnsi="Arial" w:cs="Arial"/>
          <w:color w:val="000000" w:themeColor="text1"/>
          <w:lang w:val="en-US"/>
        </w:rPr>
        <w:t xml:space="preserve">Expected disease-related events associated with </w:t>
      </w:r>
      <w:r w:rsidR="00D74C28">
        <w:rPr>
          <w:rFonts w:ascii="Arial" w:eastAsia="Times New Roman" w:hAnsi="Arial" w:cs="Arial"/>
          <w:color w:val="000000" w:themeColor="text1"/>
          <w:lang w:val="en-US"/>
        </w:rPr>
        <w:t>CLD</w:t>
      </w:r>
      <w:r w:rsidRPr="000F3D59">
        <w:rPr>
          <w:rFonts w:ascii="Arial" w:eastAsia="Times New Roman" w:hAnsi="Arial" w:cs="Arial"/>
          <w:color w:val="000000" w:themeColor="text1"/>
          <w:lang w:val="en-US"/>
        </w:rPr>
        <w:t xml:space="preserve"> (e.g., stable progression of </w:t>
      </w:r>
      <w:r w:rsidR="00D74C28">
        <w:rPr>
          <w:rFonts w:ascii="Arial" w:eastAsia="Times New Roman" w:hAnsi="Arial" w:cs="Arial"/>
          <w:color w:val="000000" w:themeColor="text1"/>
          <w:lang w:val="en-US"/>
        </w:rPr>
        <w:t>CLD</w:t>
      </w:r>
      <w:r w:rsidRPr="000F3D59">
        <w:rPr>
          <w:rFonts w:ascii="Arial" w:eastAsia="Times New Roman" w:hAnsi="Arial" w:cs="Arial"/>
          <w:color w:val="000000" w:themeColor="text1"/>
          <w:lang w:val="en-US"/>
        </w:rPr>
        <w:t>, fluctuations in blood pressure, or progression of pre-existing comorbid conditions) will be documented in the participant's medical record and study database but will not necessarily be reported as adverse events unless the investigator determines that the event represents a worsening beyond the expected clinical course or is reasonably related to study participation.</w:t>
      </w:r>
    </w:p>
    <w:p w14:paraId="0765BAB9" w14:textId="77777777" w:rsidR="000A6C59" w:rsidRPr="000F3D59" w:rsidRDefault="000A6C59" w:rsidP="000A6C59">
      <w:pPr>
        <w:pStyle w:val="ListParagraph"/>
        <w:spacing w:before="0" w:after="0" w:line="240" w:lineRule="auto"/>
        <w:ind w:left="1224"/>
        <w:jc w:val="both"/>
        <w:rPr>
          <w:rFonts w:ascii="Arial" w:eastAsia="Calibri" w:hAnsi="Arial" w:cs="Arial"/>
          <w:b/>
          <w:bCs/>
          <w:color w:val="000000" w:themeColor="text1"/>
        </w:rPr>
      </w:pPr>
    </w:p>
    <w:p w14:paraId="397CBA28" w14:textId="5A60DE65" w:rsidR="008C495F" w:rsidRPr="000F3D59" w:rsidRDefault="002B3729" w:rsidP="008C495F">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SAE</w:t>
      </w:r>
      <w:r w:rsidR="007B561A" w:rsidRPr="000F3D59">
        <w:rPr>
          <w:rFonts w:ascii="Arial" w:eastAsia="Calibri" w:hAnsi="Arial" w:cs="Arial"/>
          <w:b/>
          <w:bCs/>
          <w:color w:val="000000" w:themeColor="text1"/>
        </w:rPr>
        <w:t xml:space="preserve"> Reporting</w:t>
      </w:r>
    </w:p>
    <w:p w14:paraId="46BAE575" w14:textId="199E5B61" w:rsidR="008C495F" w:rsidRPr="000F3D59" w:rsidRDefault="008C495F" w:rsidP="008C495F">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The study clinician will immediately report to the sponsor any serious adverse event, whether or not considered study intervention related, including those listed in the protocol or investigator brochure and must include an assessment of whether there is a reasonable possibility that the study intervention caused the event. Study endpoints that are serious adverse events (e.g., all-cause mortality) must be reported in accordance with the protocol unless there is evidence suggesting a causal relationship between the study intervention and the event (e.g., death from anaphylaxis). In that case, the investigator must immediately report the event to the sponsor. All SAEs will be followed until satisfactory resolution or until the site investigator deems the event to be chronic or the participant is stable. Other supporting documentation of the event may be requested by the Data Coordinating Center (DCC)/study sponsor and should be provided as soon as possible.</w:t>
      </w:r>
    </w:p>
    <w:p w14:paraId="4501FCCE" w14:textId="77777777" w:rsidR="008C495F" w:rsidRPr="000F3D59" w:rsidRDefault="008C495F" w:rsidP="008C495F">
      <w:pPr>
        <w:pStyle w:val="ListParagraph"/>
        <w:spacing w:before="0" w:after="0" w:line="240" w:lineRule="auto"/>
        <w:ind w:left="1224"/>
        <w:jc w:val="both"/>
        <w:rPr>
          <w:rFonts w:ascii="Arial" w:eastAsia="Times New Roman" w:hAnsi="Arial" w:cs="Arial"/>
          <w:color w:val="000000" w:themeColor="text1"/>
          <w:lang w:val="en-US"/>
        </w:rPr>
      </w:pPr>
    </w:p>
    <w:p w14:paraId="2D2D6261" w14:textId="0C8EC8FF" w:rsidR="008C495F" w:rsidRPr="000F3D59" w:rsidRDefault="008C495F" w:rsidP="008C495F">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The study sponsor will be responsible for notifying the Food and Drug Administration (FDA) of any unexpected fatal or life-threatening suspected adverse reaction as soon as possible, but in no case later than 7 calendar days after the sponsor's initial receipt of the information.  In addition, the sponsor must notify FDA and all participating investigators in an</w:t>
      </w:r>
      <w:r w:rsidR="002B3729" w:rsidRPr="000F3D59">
        <w:rPr>
          <w:rFonts w:ascii="Arial" w:eastAsia="Times New Roman" w:hAnsi="Arial" w:cs="Arial"/>
          <w:color w:val="000000" w:themeColor="text1"/>
          <w:lang w:val="en-US"/>
        </w:rPr>
        <w:t xml:space="preserve"> </w:t>
      </w:r>
      <w:r w:rsidRPr="000F3D59">
        <w:rPr>
          <w:rFonts w:ascii="Arial" w:eastAsia="Times New Roman" w:hAnsi="Arial" w:cs="Arial"/>
          <w:color w:val="000000" w:themeColor="text1"/>
          <w:lang w:val="en-US"/>
        </w:rPr>
        <w:t>IND safety report of potential serious risks, from clinical trials or any other source, as soon as possible, but in no case later than 15 calendar days after the sponsor determines that the information qualifies for reporting.</w:t>
      </w:r>
    </w:p>
    <w:p w14:paraId="247C4AF8" w14:textId="77777777" w:rsidR="008C495F" w:rsidRPr="000F3D59" w:rsidRDefault="008C495F" w:rsidP="008C495F">
      <w:pPr>
        <w:pStyle w:val="ListParagraph"/>
        <w:spacing w:before="0" w:after="0" w:line="240" w:lineRule="auto"/>
        <w:ind w:left="1224"/>
        <w:jc w:val="both"/>
        <w:rPr>
          <w:rFonts w:ascii="Arial" w:eastAsia="Calibri" w:hAnsi="Arial" w:cs="Arial"/>
          <w:b/>
          <w:bCs/>
          <w:color w:val="000000" w:themeColor="text1"/>
        </w:rPr>
      </w:pPr>
    </w:p>
    <w:p w14:paraId="52DF0682" w14:textId="77777777" w:rsidR="00A20BFD" w:rsidRPr="000F3D59" w:rsidRDefault="007B561A" w:rsidP="00A20BFD">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Reporting Events to Participants</w:t>
      </w:r>
    </w:p>
    <w:p w14:paraId="62E38CF7" w14:textId="1CE5BA35" w:rsidR="00A20BFD" w:rsidRPr="000F3D59" w:rsidRDefault="00A20BFD" w:rsidP="00A20BFD">
      <w:pPr>
        <w:pStyle w:val="ListParagraph"/>
        <w:spacing w:before="0" w:after="0" w:line="240" w:lineRule="auto"/>
        <w:ind w:left="1224"/>
        <w:jc w:val="both"/>
        <w:rPr>
          <w:rFonts w:ascii="Arial" w:hAnsi="Arial" w:cs="Arial"/>
          <w:color w:val="000000" w:themeColor="text1"/>
        </w:rPr>
      </w:pPr>
      <w:r w:rsidRPr="000F3D59">
        <w:rPr>
          <w:rFonts w:ascii="Arial" w:hAnsi="Arial" w:cs="Arial"/>
          <w:color w:val="000000" w:themeColor="text1"/>
        </w:rPr>
        <w:t>Participants will be informed of any clinically significant adverse events, laboratory abnormalities, or other findings that may affect their health or continued participation in the study. The study investigator or an appropriately qualified healthcare professional will discuss such findings with the participant and provide recommendations for appropriate medical evaluation or treatment when indicated. Participants experiencing serious adverse events will receive appropriate medical management and follow-up until the event has resolved, stabilized, or another clinically appropriate outcome has been reached.</w:t>
      </w:r>
    </w:p>
    <w:p w14:paraId="14A87EFA" w14:textId="77777777" w:rsidR="00A20BFD" w:rsidRPr="000F3D59" w:rsidRDefault="00A20BFD" w:rsidP="00A20BFD">
      <w:pPr>
        <w:pStyle w:val="ListParagraph"/>
        <w:spacing w:before="0" w:after="0" w:line="240" w:lineRule="auto"/>
        <w:ind w:left="1224"/>
        <w:jc w:val="both"/>
        <w:rPr>
          <w:rFonts w:ascii="Arial" w:hAnsi="Arial" w:cs="Arial"/>
          <w:color w:val="000000" w:themeColor="text1"/>
        </w:rPr>
      </w:pPr>
    </w:p>
    <w:p w14:paraId="7BE8C0F7" w14:textId="3D1B7529" w:rsidR="00A20BFD" w:rsidRPr="000F3D59" w:rsidRDefault="00A20BFD" w:rsidP="00A20BFD">
      <w:pPr>
        <w:pStyle w:val="ListParagraph"/>
        <w:spacing w:before="0" w:after="0" w:line="240" w:lineRule="auto"/>
        <w:ind w:left="1224"/>
        <w:jc w:val="both"/>
        <w:rPr>
          <w:rFonts w:ascii="Arial" w:eastAsia="Calibri" w:hAnsi="Arial" w:cs="Arial"/>
          <w:b/>
          <w:bCs/>
          <w:color w:val="000000" w:themeColor="text1"/>
        </w:rPr>
      </w:pPr>
      <w:r w:rsidRPr="000F3D59">
        <w:rPr>
          <w:rFonts w:ascii="Arial" w:hAnsi="Arial" w:cs="Arial"/>
          <w:color w:val="000000" w:themeColor="text1"/>
        </w:rPr>
        <w:t>Individual laboratory results that are considered clinically significant will be communicated to participants when appropriate. Aggregate study results may be made available to participants after study completion and analysis in accordance with sponsor policy and applicable regulations. Participant confidentiality will be maintained in all communications.</w:t>
      </w:r>
      <w:r w:rsidR="008D2402" w:rsidRPr="000F3D59">
        <w:rPr>
          <w:rFonts w:ascii="Arial" w:hAnsi="Arial" w:cs="Arial"/>
          <w:color w:val="000000" w:themeColor="text1"/>
        </w:rPr>
        <w:t xml:space="preserve"> </w:t>
      </w:r>
      <w:r w:rsidRPr="000F3D59">
        <w:rPr>
          <w:rFonts w:ascii="Arial" w:hAnsi="Arial" w:cs="Arial"/>
          <w:color w:val="000000" w:themeColor="text1"/>
        </w:rPr>
        <w:t>No study-</w:t>
      </w:r>
      <w:r w:rsidRPr="000F3D59">
        <w:rPr>
          <w:rFonts w:ascii="Arial" w:hAnsi="Arial" w:cs="Arial"/>
          <w:color w:val="000000" w:themeColor="text1"/>
        </w:rPr>
        <w:lastRenderedPageBreak/>
        <w:t>specific procedures with a substantial risk of incidental findings (e.g., imaging, genomic sequencing, or specialized diagnostic testing) are included in this protocol. Should an unexpected clinically significant finding arise during routine study assessments, the participant will be informed promptly and referred for appropriate clinical follow-up.</w:t>
      </w:r>
    </w:p>
    <w:p w14:paraId="3948428B" w14:textId="77777777" w:rsidR="008C495F" w:rsidRPr="000F3D59" w:rsidRDefault="008C495F" w:rsidP="00A20BFD">
      <w:pPr>
        <w:pStyle w:val="ListParagraph"/>
        <w:spacing w:before="0" w:after="0" w:line="240" w:lineRule="auto"/>
        <w:ind w:left="1224"/>
        <w:jc w:val="both"/>
        <w:rPr>
          <w:rFonts w:ascii="Arial" w:eastAsia="Calibri" w:hAnsi="Arial" w:cs="Arial"/>
          <w:color w:val="000000" w:themeColor="text1"/>
        </w:rPr>
      </w:pPr>
    </w:p>
    <w:p w14:paraId="6382F73F" w14:textId="77777777" w:rsidR="00500563" w:rsidRPr="000F3D59" w:rsidRDefault="007B561A" w:rsidP="00500563">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Events of Special Interest</w:t>
      </w:r>
      <w:r w:rsidR="005C1892" w:rsidRPr="000F3D59">
        <w:rPr>
          <w:rFonts w:ascii="Arial" w:eastAsia="Calibri" w:hAnsi="Arial" w:cs="Arial"/>
          <w:b/>
          <w:bCs/>
          <w:color w:val="000000" w:themeColor="text1"/>
        </w:rPr>
        <w:t xml:space="preserve"> (ESIs)</w:t>
      </w:r>
    </w:p>
    <w:p w14:paraId="2BB18691" w14:textId="42AB1C23" w:rsidR="00500563" w:rsidRPr="000F3D59" w:rsidRDefault="00500563" w:rsidP="00500563">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The following events will be considered ESIs and require expedited review by the sponsor regardless of whether they meet the definition of a serious adverse event –</w:t>
      </w:r>
    </w:p>
    <w:p w14:paraId="555DFE90" w14:textId="77777777"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Suspected allergic or hypersensitivity reactions, particularly in participants receiving Drug A.</w:t>
      </w:r>
    </w:p>
    <w:p w14:paraId="49C8BC58" w14:textId="77777777"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Clinically significant elevations in ALT or AST that exceed protocol-defined safety thresholds.</w:t>
      </w:r>
    </w:p>
    <w:p w14:paraId="4F3F34D4" w14:textId="77777777"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Severe or persistent reductions in hemoglobin requiring medical evaluation.</w:t>
      </w:r>
    </w:p>
    <w:p w14:paraId="05244D6B" w14:textId="77777777"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Study intervention overdose, accidental or intentional.</w:t>
      </w:r>
    </w:p>
    <w:p w14:paraId="1DD1302C" w14:textId="77777777"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Death from any cause during study participation.</w:t>
      </w:r>
    </w:p>
    <w:p w14:paraId="78B3CE00" w14:textId="77777777"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Life-threatening medical events.</w:t>
      </w:r>
    </w:p>
    <w:p w14:paraId="1A449E02" w14:textId="77777777"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Major cardiovascular events, including myocardial infarction, stroke, hospitalization for heart failure, or other clinically significant cardiovascular complications.</w:t>
      </w:r>
    </w:p>
    <w:p w14:paraId="51C14FC4" w14:textId="77777777"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Any unexpected adverse reaction considered related to study intervention.</w:t>
      </w:r>
    </w:p>
    <w:p w14:paraId="73551B39" w14:textId="5D31922A" w:rsidR="00500563" w:rsidRPr="000F3D59" w:rsidRDefault="00500563" w:rsidP="00500563">
      <w:pPr>
        <w:pStyle w:val="ListParagraph"/>
        <w:numPr>
          <w:ilvl w:val="0"/>
          <w:numId w:val="28"/>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Important protocol deviations that may significantly affect participant safety.</w:t>
      </w:r>
    </w:p>
    <w:p w14:paraId="4691B5F4" w14:textId="23289EDF" w:rsidR="00500563" w:rsidRPr="000F3D59" w:rsidRDefault="00500563" w:rsidP="00500563">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ESIs will be documented in the study database and reported to the sponsor, Data and Safety Monitoring Board (DSMB), IRB, and regulatory authorities according to applicable reporting requirements. Additional medical follow-up may be requested by the sponsor when necessary.</w:t>
      </w:r>
    </w:p>
    <w:p w14:paraId="15585746" w14:textId="77777777" w:rsidR="008C495F" w:rsidRPr="000F3D59" w:rsidRDefault="008C495F" w:rsidP="008C495F">
      <w:pPr>
        <w:pStyle w:val="ListParagraph"/>
        <w:spacing w:before="0" w:after="0" w:line="240" w:lineRule="auto"/>
        <w:ind w:left="1224"/>
        <w:jc w:val="both"/>
        <w:rPr>
          <w:rFonts w:ascii="Arial" w:eastAsia="Calibri" w:hAnsi="Arial" w:cs="Arial"/>
          <w:b/>
          <w:bCs/>
          <w:color w:val="000000" w:themeColor="text1"/>
        </w:rPr>
      </w:pPr>
    </w:p>
    <w:p w14:paraId="15BC5324" w14:textId="77777777" w:rsidR="00500563" w:rsidRPr="000F3D59" w:rsidRDefault="007B561A" w:rsidP="00500563">
      <w:pPr>
        <w:pStyle w:val="ListParagraph"/>
        <w:numPr>
          <w:ilvl w:val="2"/>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Reporting of Pregnancy</w:t>
      </w:r>
    </w:p>
    <w:p w14:paraId="0F527741" w14:textId="51EBCA87" w:rsidR="00500563" w:rsidRPr="000F3D59" w:rsidRDefault="00500563" w:rsidP="00500563">
      <w:pPr>
        <w:pStyle w:val="ListParagraph"/>
        <w:spacing w:before="0" w:after="0" w:line="240" w:lineRule="auto"/>
        <w:ind w:left="1224"/>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Although pregnancy is not considered an adverse event, pregnancy occurring during study participation must be reported, because the safety of Drug A and Drug B during pregnancy has not been established. Female participants of reproductive potential will be required to use an effective method of contraception throughout study participation and for the protocol-defined period following the final dose of study intervention. If a participant becomes pregnant during the course of the study –</w:t>
      </w:r>
    </w:p>
    <w:p w14:paraId="62483EBC" w14:textId="77777777" w:rsidR="00500563" w:rsidRPr="000F3D59" w:rsidRDefault="00500563" w:rsidP="00500563">
      <w:pPr>
        <w:pStyle w:val="ListParagraph"/>
        <w:numPr>
          <w:ilvl w:val="0"/>
          <w:numId w:val="30"/>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Study intervention will be discontinued immediately.</w:t>
      </w:r>
    </w:p>
    <w:p w14:paraId="127F76AC" w14:textId="77777777" w:rsidR="00500563" w:rsidRPr="000F3D59" w:rsidRDefault="00500563" w:rsidP="00500563">
      <w:pPr>
        <w:pStyle w:val="ListParagraph"/>
        <w:numPr>
          <w:ilvl w:val="0"/>
          <w:numId w:val="30"/>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The pregnancy will be reported to the sponsor within 24 hours of investigator awareness.</w:t>
      </w:r>
    </w:p>
    <w:p w14:paraId="5A6E62AD" w14:textId="77777777" w:rsidR="00500563" w:rsidRPr="000F3D59" w:rsidRDefault="00500563" w:rsidP="00500563">
      <w:pPr>
        <w:pStyle w:val="ListParagraph"/>
        <w:numPr>
          <w:ilvl w:val="0"/>
          <w:numId w:val="30"/>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The participant will be withdrawn from study treatment but, with appropriate informed consent, may continue pregnancy safety follow-up until pregnancy outcome is known.</w:t>
      </w:r>
    </w:p>
    <w:p w14:paraId="705226D9" w14:textId="77777777" w:rsidR="00500563" w:rsidRPr="000F3D59" w:rsidRDefault="00500563" w:rsidP="00500563">
      <w:pPr>
        <w:pStyle w:val="ListParagraph"/>
        <w:numPr>
          <w:ilvl w:val="0"/>
          <w:numId w:val="30"/>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Information regarding pregnancy outcome and the health status of the infant, where permitted by applicable regulations and participant consent, will be collected and reported to the sponsor.</w:t>
      </w:r>
    </w:p>
    <w:p w14:paraId="041E0DAA" w14:textId="34B78812" w:rsidR="00500563" w:rsidRPr="000F3D59" w:rsidRDefault="00500563" w:rsidP="00500563">
      <w:pPr>
        <w:pStyle w:val="ListParagraph"/>
        <w:numPr>
          <w:ilvl w:val="0"/>
          <w:numId w:val="30"/>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Any congenital anomaly, fetal loss, or pregnancy complication considered serious will be reported as an SAE in accordance with applicable regulatory requirements.</w:t>
      </w:r>
    </w:p>
    <w:p w14:paraId="5376E1EC" w14:textId="47DCFE8C" w:rsidR="00500563" w:rsidRPr="000F3D59" w:rsidRDefault="00500563" w:rsidP="00500563">
      <w:pPr>
        <w:pStyle w:val="ListParagraph"/>
        <w:spacing w:before="0" w:after="0" w:line="240" w:lineRule="auto"/>
        <w:ind w:left="1224"/>
        <w:jc w:val="both"/>
        <w:rPr>
          <w:rFonts w:ascii="Arial" w:eastAsia="Calibri" w:hAnsi="Arial" w:cs="Arial"/>
          <w:color w:val="000000" w:themeColor="text1"/>
        </w:rPr>
      </w:pPr>
      <w:r w:rsidRPr="000F3D59">
        <w:rPr>
          <w:rFonts w:ascii="Arial" w:eastAsia="Times New Roman" w:hAnsi="Arial" w:cs="Arial"/>
          <w:color w:val="000000" w:themeColor="text1"/>
          <w:lang w:val="en-US"/>
        </w:rPr>
        <w:t>Pregnancy occurring in the partner of a male participant receiving study intervention should also be reported to the sponsor when the participant becomes aware of the pregnancy and the partner provides appropriate authorization for follow-up, where required by local regulations.</w:t>
      </w:r>
    </w:p>
    <w:p w14:paraId="621500C9" w14:textId="63849785" w:rsidR="008C495F" w:rsidRPr="000F3D59" w:rsidRDefault="008C495F" w:rsidP="008C495F">
      <w:pPr>
        <w:spacing w:before="0" w:after="0" w:line="240" w:lineRule="auto"/>
        <w:jc w:val="both"/>
        <w:rPr>
          <w:rFonts w:ascii="Arial" w:eastAsia="Calibri" w:hAnsi="Arial" w:cs="Arial"/>
          <w:b/>
          <w:bCs/>
          <w:color w:val="000000" w:themeColor="text1"/>
          <w:sz w:val="22"/>
          <w:szCs w:val="22"/>
        </w:rPr>
      </w:pPr>
    </w:p>
    <w:p w14:paraId="70B5AED7" w14:textId="540F797E" w:rsidR="008C495F" w:rsidRPr="000F3D59" w:rsidRDefault="008C495F" w:rsidP="008C495F">
      <w:pPr>
        <w:pStyle w:val="ListParagraph"/>
        <w:numPr>
          <w:ilvl w:val="0"/>
          <w:numId w:val="2"/>
        </w:numPr>
        <w:spacing w:before="0" w:after="0" w:line="240" w:lineRule="auto"/>
        <w:jc w:val="both"/>
        <w:rPr>
          <w:rFonts w:ascii="Arial" w:eastAsia="Calibri" w:hAnsi="Arial" w:cs="Arial"/>
          <w:b/>
          <w:bCs/>
          <w:color w:val="000000" w:themeColor="text1"/>
          <w:sz w:val="22"/>
          <w:szCs w:val="22"/>
        </w:rPr>
      </w:pPr>
      <w:r w:rsidRPr="000F3D59">
        <w:rPr>
          <w:rFonts w:ascii="Arial" w:eastAsia="Calibri" w:hAnsi="Arial" w:cs="Arial"/>
          <w:b/>
          <w:bCs/>
          <w:color w:val="000000" w:themeColor="text1"/>
          <w:sz w:val="22"/>
          <w:szCs w:val="22"/>
        </w:rPr>
        <w:t>Supporting documentation and Operational Considerations</w:t>
      </w:r>
    </w:p>
    <w:p w14:paraId="0F9D174D" w14:textId="77777777" w:rsidR="008C495F" w:rsidRPr="000F3D59" w:rsidRDefault="008C495F" w:rsidP="008C495F">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Protocol Deviations</w:t>
      </w:r>
    </w:p>
    <w:p w14:paraId="41D2DEC0" w14:textId="77777777" w:rsidR="00610830" w:rsidRPr="000F3D59" w:rsidRDefault="008C495F" w:rsidP="00610830">
      <w:pPr>
        <w:pStyle w:val="ListParagraph"/>
        <w:spacing w:before="0" w:after="0" w:line="240" w:lineRule="auto"/>
        <w:ind w:left="792"/>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A protocol deviation is any non-compliance with the clinical trial protocol, International Conference on Harmonisation Good Clinical Practice (ICH GCP), or Manual of Procedures (MOP) requirements. The non-compliance may be on the part of the participant, the investigator, or the study site staff. As a result of deviations, corrective actions are to be developed by the site and implemented promptly. These practices are consistent with ICH GCP –</w:t>
      </w:r>
    </w:p>
    <w:p w14:paraId="32856EDF" w14:textId="77777777" w:rsidR="00610830" w:rsidRPr="000F3D59" w:rsidRDefault="00610830" w:rsidP="00610830">
      <w:pPr>
        <w:pStyle w:val="ListParagraph"/>
        <w:numPr>
          <w:ilvl w:val="0"/>
          <w:numId w:val="24"/>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lastRenderedPageBreak/>
        <w:t xml:space="preserve">4.5. </w:t>
      </w:r>
      <w:r w:rsidR="008C495F" w:rsidRPr="000F3D59">
        <w:rPr>
          <w:rFonts w:ascii="Arial" w:eastAsia="Times New Roman" w:hAnsi="Arial" w:cs="Arial"/>
          <w:color w:val="000000" w:themeColor="text1"/>
          <w:lang w:val="en-US"/>
        </w:rPr>
        <w:t>Compliance with Protocol, sections 4.5.1, 4.5.2, and 4.5.3</w:t>
      </w:r>
    </w:p>
    <w:p w14:paraId="7438B86B" w14:textId="77777777" w:rsidR="00610830" w:rsidRPr="000F3D59" w:rsidRDefault="00610830" w:rsidP="00610830">
      <w:pPr>
        <w:pStyle w:val="ListParagraph"/>
        <w:numPr>
          <w:ilvl w:val="0"/>
          <w:numId w:val="24"/>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 xml:space="preserve">5.1. </w:t>
      </w:r>
      <w:r w:rsidR="008C495F" w:rsidRPr="000F3D59">
        <w:rPr>
          <w:rFonts w:ascii="Arial" w:eastAsia="Times New Roman" w:hAnsi="Arial" w:cs="Arial"/>
          <w:color w:val="000000" w:themeColor="text1"/>
          <w:lang w:val="en-US"/>
        </w:rPr>
        <w:t>Quality Assurance and Quality Control, section 5.1.1</w:t>
      </w:r>
    </w:p>
    <w:p w14:paraId="33B85067" w14:textId="1A1AE1EF" w:rsidR="00610830" w:rsidRPr="000F3D59" w:rsidRDefault="00610830" w:rsidP="00610830">
      <w:pPr>
        <w:pStyle w:val="ListParagraph"/>
        <w:numPr>
          <w:ilvl w:val="0"/>
          <w:numId w:val="24"/>
        </w:numPr>
        <w:spacing w:before="0" w:after="0" w:line="240" w:lineRule="auto"/>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 xml:space="preserve">5.20. </w:t>
      </w:r>
      <w:r w:rsidR="008C495F" w:rsidRPr="000F3D59">
        <w:rPr>
          <w:rFonts w:ascii="Arial" w:eastAsia="Times New Roman" w:hAnsi="Arial" w:cs="Arial"/>
          <w:color w:val="000000" w:themeColor="text1"/>
          <w:lang w:val="en-US"/>
        </w:rPr>
        <w:t>Noncompliance, sections 5.20.1, and 5.20.2.</w:t>
      </w:r>
    </w:p>
    <w:p w14:paraId="7A42C7B9" w14:textId="71D57B18" w:rsidR="008C495F" w:rsidRPr="000F3D59" w:rsidRDefault="008C495F" w:rsidP="00952092">
      <w:pPr>
        <w:pStyle w:val="ListParagraph"/>
        <w:spacing w:before="0" w:after="0" w:line="240" w:lineRule="auto"/>
        <w:ind w:left="792"/>
        <w:jc w:val="both"/>
        <w:rPr>
          <w:rFonts w:ascii="Arial" w:eastAsia="Times New Roman" w:hAnsi="Arial" w:cs="Arial"/>
          <w:color w:val="000000" w:themeColor="text1"/>
          <w:lang w:val="en-US"/>
        </w:rPr>
      </w:pPr>
      <w:r w:rsidRPr="000F3D59">
        <w:rPr>
          <w:rFonts w:ascii="Arial" w:eastAsia="Times New Roman" w:hAnsi="Arial" w:cs="Arial"/>
          <w:color w:val="000000" w:themeColor="text1"/>
          <w:lang w:val="en-US"/>
        </w:rPr>
        <w:t xml:space="preserve">It is the responsibility of the site investigator to use continuous vigilance to identify and report deviations within </w:t>
      </w:r>
      <w:r w:rsidR="00610830" w:rsidRPr="000F3D59">
        <w:rPr>
          <w:rFonts w:ascii="Arial" w:eastAsia="Times New Roman" w:hAnsi="Arial" w:cs="Arial"/>
          <w:color w:val="000000" w:themeColor="text1"/>
          <w:lang w:val="en-US"/>
        </w:rPr>
        <w:t>7</w:t>
      </w:r>
      <w:r w:rsidRPr="000F3D59">
        <w:rPr>
          <w:rFonts w:ascii="Arial" w:eastAsia="Times New Roman" w:hAnsi="Arial" w:cs="Arial"/>
          <w:color w:val="000000" w:themeColor="text1"/>
          <w:lang w:val="en-US"/>
        </w:rPr>
        <w:t xml:space="preserve"> working days of identification of the protocol deviation, or within </w:t>
      </w:r>
      <w:r w:rsidR="00610830" w:rsidRPr="000F3D59">
        <w:rPr>
          <w:rFonts w:ascii="Arial" w:eastAsia="Times New Roman" w:hAnsi="Arial" w:cs="Arial"/>
          <w:color w:val="000000" w:themeColor="text1"/>
          <w:lang w:val="en-US"/>
        </w:rPr>
        <w:t>10</w:t>
      </w:r>
      <w:r w:rsidRPr="000F3D59">
        <w:rPr>
          <w:rFonts w:ascii="Arial" w:eastAsia="Times New Roman" w:hAnsi="Arial" w:cs="Arial"/>
          <w:color w:val="000000" w:themeColor="text1"/>
          <w:lang w:val="en-US"/>
        </w:rPr>
        <w:t xml:space="preserve"> working days of the scheduled protocol-required activity. All deviations must be addressed in study source documents, reported to </w:t>
      </w:r>
      <w:r w:rsidR="00610830" w:rsidRPr="000F3D59">
        <w:rPr>
          <w:rFonts w:ascii="Arial" w:eastAsia="Times New Roman" w:hAnsi="Arial" w:cs="Arial"/>
          <w:color w:val="000000" w:themeColor="text1"/>
          <w:lang w:val="en-US"/>
        </w:rPr>
        <w:t xml:space="preserve">the </w:t>
      </w:r>
      <w:r w:rsidR="00610830" w:rsidRPr="000F3D59">
        <w:rPr>
          <w:rFonts w:ascii="Arial" w:eastAsia="Calibri" w:hAnsi="Arial" w:cs="Arial"/>
          <w:color w:val="000000" w:themeColor="text1"/>
        </w:rPr>
        <w:t>American Institute for Renal Therapeutics and Nephrology (AIRTN)</w:t>
      </w:r>
      <w:r w:rsidRPr="000F3D59">
        <w:rPr>
          <w:rFonts w:ascii="Arial" w:eastAsia="Times New Roman" w:hAnsi="Arial" w:cs="Arial"/>
          <w:color w:val="000000" w:themeColor="text1"/>
          <w:lang w:val="en-US"/>
        </w:rPr>
        <w:t xml:space="preserve"> Program Official and </w:t>
      </w:r>
      <w:r w:rsidR="00610830" w:rsidRPr="000F3D59">
        <w:rPr>
          <w:rFonts w:ascii="Arial" w:eastAsia="Arial" w:hAnsi="Arial" w:cs="Arial"/>
          <w:color w:val="000000" w:themeColor="text1"/>
        </w:rPr>
        <w:t>PR Life Sciences</w:t>
      </w:r>
      <w:r w:rsidRPr="000F3D59">
        <w:rPr>
          <w:rFonts w:ascii="Arial" w:eastAsia="Times New Roman" w:hAnsi="Arial" w:cs="Arial"/>
          <w:color w:val="000000" w:themeColor="text1"/>
          <w:lang w:val="en-US"/>
        </w:rPr>
        <w:t>.</w:t>
      </w:r>
      <w:r w:rsidR="00610830" w:rsidRPr="000F3D59">
        <w:rPr>
          <w:rFonts w:ascii="Arial" w:eastAsia="Times New Roman" w:hAnsi="Arial" w:cs="Arial"/>
          <w:color w:val="000000" w:themeColor="text1"/>
          <w:lang w:val="en-US"/>
        </w:rPr>
        <w:t xml:space="preserve"> </w:t>
      </w:r>
      <w:r w:rsidRPr="000F3D59">
        <w:rPr>
          <w:rFonts w:ascii="Arial" w:eastAsia="Times New Roman" w:hAnsi="Arial" w:cs="Arial"/>
          <w:color w:val="000000" w:themeColor="text1"/>
          <w:lang w:val="en-US"/>
        </w:rPr>
        <w:t xml:space="preserve">Protocol deviations must be sent to the reviewing IRB per their policies. The site investigator is responsible for knowing and adhering to the reviewing IRB requirements. Further details about the handling of protocol deviations </w:t>
      </w:r>
      <w:r w:rsidR="00610830" w:rsidRPr="000F3D59">
        <w:rPr>
          <w:rFonts w:ascii="Arial" w:eastAsia="Times New Roman" w:hAnsi="Arial" w:cs="Arial"/>
          <w:color w:val="000000" w:themeColor="text1"/>
          <w:lang w:val="en-US"/>
        </w:rPr>
        <w:t>are</w:t>
      </w:r>
      <w:r w:rsidRPr="000F3D59">
        <w:rPr>
          <w:rFonts w:ascii="Arial" w:eastAsia="Times New Roman" w:hAnsi="Arial" w:cs="Arial"/>
          <w:color w:val="000000" w:themeColor="text1"/>
          <w:lang w:val="en-US"/>
        </w:rPr>
        <w:t xml:space="preserve"> included in the MOP.</w:t>
      </w:r>
    </w:p>
    <w:p w14:paraId="21D9C2D0" w14:textId="77777777" w:rsidR="008C495F" w:rsidRPr="000F3D59" w:rsidRDefault="008C495F" w:rsidP="00952092">
      <w:pPr>
        <w:spacing w:before="0" w:after="0" w:line="240" w:lineRule="auto"/>
        <w:ind w:left="720"/>
        <w:jc w:val="both"/>
        <w:textAlignment w:val="baseline"/>
        <w:rPr>
          <w:rFonts w:ascii="Arial" w:eastAsia="Times New Roman" w:hAnsi="Arial" w:cs="Arial"/>
          <w:color w:val="000000" w:themeColor="text1"/>
          <w:lang w:val="en-US"/>
        </w:rPr>
      </w:pPr>
    </w:p>
    <w:p w14:paraId="69D088F0" w14:textId="77777777" w:rsidR="00952092" w:rsidRPr="000F3D59" w:rsidRDefault="008C495F" w:rsidP="00952092">
      <w:pPr>
        <w:pStyle w:val="ListParagraph"/>
        <w:numPr>
          <w:ilvl w:val="1"/>
          <w:numId w:val="2"/>
        </w:numPr>
        <w:spacing w:before="0" w:after="0" w:line="240" w:lineRule="auto"/>
        <w:jc w:val="both"/>
        <w:rPr>
          <w:rFonts w:ascii="Arial" w:eastAsia="Calibri" w:hAnsi="Arial" w:cs="Arial"/>
          <w:b/>
          <w:bCs/>
          <w:color w:val="000000" w:themeColor="text1"/>
        </w:rPr>
      </w:pPr>
      <w:r w:rsidRPr="000F3D59">
        <w:rPr>
          <w:rFonts w:ascii="Arial" w:eastAsia="Calibri" w:hAnsi="Arial" w:cs="Arial"/>
          <w:b/>
          <w:bCs/>
          <w:color w:val="000000" w:themeColor="text1"/>
        </w:rPr>
        <w:t>Abbreviations</w:t>
      </w:r>
    </w:p>
    <w:p w14:paraId="3C0ADB62" w14:textId="50873AF8"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LORNA</w:t>
      </w:r>
      <w:r w:rsidRPr="000F3D59">
        <w:rPr>
          <w:rStyle w:val="apple-tab-span"/>
          <w:rFonts w:ascii="Arial" w:hAnsi="Arial" w:cs="Arial"/>
          <w:color w:val="000000" w:themeColor="text1"/>
        </w:rPr>
        <w:tab/>
      </w:r>
      <w:r w:rsidRPr="000F3D59">
        <w:rPr>
          <w:rFonts w:ascii="Arial" w:hAnsi="Arial" w:cs="Arial"/>
          <w:color w:val="000000" w:themeColor="text1"/>
        </w:rPr>
        <w:t>Long-term Outcomes and Response Assessment of a Novel Agent (LORNA) Trial</w:t>
      </w:r>
    </w:p>
    <w:p w14:paraId="5D50F18D" w14:textId="66941013"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ICH GCP</w:t>
      </w:r>
      <w:r w:rsidRPr="000F3D59">
        <w:rPr>
          <w:rStyle w:val="apple-tab-span"/>
          <w:rFonts w:ascii="Arial" w:hAnsi="Arial" w:cs="Arial"/>
          <w:color w:val="000000" w:themeColor="text1"/>
        </w:rPr>
        <w:tab/>
      </w:r>
      <w:r w:rsidRPr="000F3D59">
        <w:rPr>
          <w:rFonts w:ascii="Arial" w:hAnsi="Arial" w:cs="Arial"/>
          <w:color w:val="000000" w:themeColor="text1"/>
        </w:rPr>
        <w:t>International Conference on Harmonisation Good Clinical Practice</w:t>
      </w:r>
    </w:p>
    <w:p w14:paraId="50EEF72B" w14:textId="77777777"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CFR</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Code of Federal Regulations</w:t>
      </w:r>
    </w:p>
    <w:p w14:paraId="36982526" w14:textId="77777777"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AIRTN</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American Institute for Renal Therapeutics and Nephrology</w:t>
      </w:r>
    </w:p>
    <w:p w14:paraId="6FBB53ED" w14:textId="67028423"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IND</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Investigational New Drug</w:t>
      </w:r>
    </w:p>
    <w:p w14:paraId="7C42CE83" w14:textId="047A685E"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IRB</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Institutional Review Board</w:t>
      </w:r>
    </w:p>
    <w:p w14:paraId="209299CE" w14:textId="77777777"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ALT</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Alanine Aminotransferase </w:t>
      </w:r>
    </w:p>
    <w:p w14:paraId="7BAAC063" w14:textId="77777777"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AST</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Aspartate Aminotransferase </w:t>
      </w:r>
    </w:p>
    <w:p w14:paraId="142F9CCB" w14:textId="77777777"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CRP</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C-Reactive Protein</w:t>
      </w:r>
    </w:p>
    <w:p w14:paraId="31160304" w14:textId="62992B66"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HGB</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Hemoglobin</w:t>
      </w:r>
    </w:p>
    <w:p w14:paraId="2922D47A" w14:textId="5249EAF1" w:rsidR="00F4284C" w:rsidRPr="000F3D59" w:rsidRDefault="00F4284C"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SoA</w:t>
      </w:r>
      <w:r w:rsidRPr="000F3D59">
        <w:rPr>
          <w:rFonts w:ascii="Arial" w:hAnsi="Arial" w:cs="Arial"/>
          <w:color w:val="000000" w:themeColor="text1"/>
        </w:rPr>
        <w:tab/>
      </w:r>
      <w:r w:rsidRPr="000F3D59">
        <w:rPr>
          <w:rFonts w:ascii="Arial" w:hAnsi="Arial" w:cs="Arial"/>
          <w:color w:val="000000" w:themeColor="text1"/>
        </w:rPr>
        <w:tab/>
        <w:t>Schedule of Activities</w:t>
      </w:r>
    </w:p>
    <w:p w14:paraId="2C486BDA" w14:textId="786EFF22"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C</w:t>
      </w:r>
      <w:r w:rsidR="000F3D59">
        <w:rPr>
          <w:rFonts w:ascii="Arial" w:hAnsi="Arial" w:cs="Arial"/>
          <w:color w:val="000000" w:themeColor="text1"/>
        </w:rPr>
        <w:t>L</w:t>
      </w:r>
      <w:r w:rsidRPr="000F3D59">
        <w:rPr>
          <w:rFonts w:ascii="Arial" w:hAnsi="Arial" w:cs="Arial"/>
          <w:color w:val="000000" w:themeColor="text1"/>
        </w:rPr>
        <w:t>D</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 xml:space="preserve">Chronic </w:t>
      </w:r>
      <w:r w:rsidR="000F3D59">
        <w:rPr>
          <w:rFonts w:ascii="Arial" w:hAnsi="Arial" w:cs="Arial"/>
          <w:color w:val="000000" w:themeColor="text1"/>
        </w:rPr>
        <w:t>Liver</w:t>
      </w:r>
      <w:r w:rsidRPr="000F3D59">
        <w:rPr>
          <w:rFonts w:ascii="Arial" w:hAnsi="Arial" w:cs="Arial"/>
          <w:color w:val="000000" w:themeColor="text1"/>
        </w:rPr>
        <w:t xml:space="preserve"> Disease</w:t>
      </w:r>
    </w:p>
    <w:p w14:paraId="55316964" w14:textId="630FC5F2"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TEAE</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Treatment-Emergent Adverse Event</w:t>
      </w:r>
    </w:p>
    <w:p w14:paraId="6F29C168" w14:textId="7883A352" w:rsidR="00D56429" w:rsidRPr="000F3D59" w:rsidRDefault="00D56429" w:rsidP="00952092">
      <w:pPr>
        <w:pStyle w:val="ListParagraph"/>
        <w:spacing w:before="0" w:after="0" w:line="240" w:lineRule="auto"/>
        <w:ind w:left="792"/>
        <w:jc w:val="both"/>
        <w:rPr>
          <w:rStyle w:val="Strong"/>
          <w:rFonts w:ascii="Arial" w:hAnsi="Arial" w:cs="Arial"/>
          <w:b w:val="0"/>
          <w:bCs w:val="0"/>
          <w:color w:val="000000" w:themeColor="text1"/>
        </w:rPr>
      </w:pPr>
      <w:r w:rsidRPr="000F3D59">
        <w:rPr>
          <w:rStyle w:val="Strong"/>
          <w:rFonts w:ascii="Arial" w:hAnsi="Arial" w:cs="Arial"/>
          <w:b w:val="0"/>
          <w:bCs w:val="0"/>
          <w:color w:val="000000" w:themeColor="text1"/>
        </w:rPr>
        <w:t>CLIA</w:t>
      </w:r>
      <w:r w:rsidRPr="000F3D59">
        <w:rPr>
          <w:rStyle w:val="Strong"/>
          <w:rFonts w:ascii="Arial" w:hAnsi="Arial" w:cs="Arial"/>
          <w:b w:val="0"/>
          <w:bCs w:val="0"/>
          <w:color w:val="000000" w:themeColor="text1"/>
        </w:rPr>
        <w:tab/>
      </w:r>
      <w:r w:rsidRPr="000F3D59">
        <w:rPr>
          <w:rStyle w:val="Strong"/>
          <w:rFonts w:ascii="Arial" w:hAnsi="Arial" w:cs="Arial"/>
          <w:b w:val="0"/>
          <w:bCs w:val="0"/>
          <w:color w:val="000000" w:themeColor="text1"/>
        </w:rPr>
        <w:tab/>
        <w:t>Clinical Laboratory Improvement Amendments</w:t>
      </w:r>
    </w:p>
    <w:p w14:paraId="6D1D7CCB" w14:textId="2CA7D8BB" w:rsidR="00D56429" w:rsidRPr="000F3D59" w:rsidRDefault="00D56429" w:rsidP="00952092">
      <w:pPr>
        <w:pStyle w:val="ListParagraph"/>
        <w:spacing w:before="0" w:after="0" w:line="240" w:lineRule="auto"/>
        <w:ind w:left="792"/>
        <w:jc w:val="both"/>
        <w:rPr>
          <w:rFonts w:ascii="Arial" w:hAnsi="Arial" w:cs="Arial"/>
          <w:color w:val="000000" w:themeColor="text1"/>
        </w:rPr>
      </w:pPr>
      <w:r w:rsidRPr="000F3D59">
        <w:rPr>
          <w:rStyle w:val="Strong"/>
          <w:rFonts w:ascii="Arial" w:hAnsi="Arial" w:cs="Arial"/>
          <w:b w:val="0"/>
          <w:bCs w:val="0"/>
          <w:color w:val="000000" w:themeColor="text1"/>
        </w:rPr>
        <w:t>HIPAA</w:t>
      </w:r>
      <w:r w:rsidRPr="000F3D59">
        <w:rPr>
          <w:rStyle w:val="Strong"/>
          <w:rFonts w:ascii="Arial" w:hAnsi="Arial" w:cs="Arial"/>
          <w:b w:val="0"/>
          <w:bCs w:val="0"/>
          <w:color w:val="000000" w:themeColor="text1"/>
        </w:rPr>
        <w:tab/>
      </w:r>
      <w:r w:rsidRPr="000F3D59">
        <w:rPr>
          <w:rStyle w:val="Strong"/>
          <w:rFonts w:ascii="Arial" w:hAnsi="Arial" w:cs="Arial"/>
          <w:b w:val="0"/>
          <w:bCs w:val="0"/>
          <w:color w:val="000000" w:themeColor="text1"/>
        </w:rPr>
        <w:tab/>
        <w:t>Health Insurance Portability and Accountability Act</w:t>
      </w:r>
    </w:p>
    <w:p w14:paraId="0C4D08CF" w14:textId="6F0741F6"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AE</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Adverse Event</w:t>
      </w:r>
    </w:p>
    <w:p w14:paraId="1A9FC185" w14:textId="77777777"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SAE</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Serious Adverse Event</w:t>
      </w:r>
    </w:p>
    <w:p w14:paraId="385D83DA" w14:textId="450DEF20" w:rsidR="00952092" w:rsidRPr="000F3D59" w:rsidRDefault="0010174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e</w:t>
      </w:r>
      <w:r w:rsidR="00952092" w:rsidRPr="000F3D59">
        <w:rPr>
          <w:rFonts w:ascii="Arial" w:hAnsi="Arial" w:cs="Arial"/>
          <w:color w:val="000000" w:themeColor="text1"/>
        </w:rPr>
        <w:t>CRF</w:t>
      </w:r>
      <w:r w:rsidR="00952092" w:rsidRPr="000F3D59">
        <w:rPr>
          <w:rStyle w:val="apple-tab-span"/>
          <w:rFonts w:ascii="Arial" w:hAnsi="Arial" w:cs="Arial"/>
          <w:color w:val="000000" w:themeColor="text1"/>
        </w:rPr>
        <w:tab/>
      </w:r>
      <w:r w:rsidR="00952092" w:rsidRPr="000F3D59">
        <w:rPr>
          <w:rStyle w:val="apple-tab-span"/>
          <w:rFonts w:ascii="Arial" w:hAnsi="Arial" w:cs="Arial"/>
          <w:color w:val="000000" w:themeColor="text1"/>
        </w:rPr>
        <w:tab/>
      </w:r>
      <w:r w:rsidRPr="000F3D59">
        <w:rPr>
          <w:rStyle w:val="apple-tab-span"/>
          <w:rFonts w:ascii="Arial" w:hAnsi="Arial" w:cs="Arial"/>
          <w:color w:val="000000" w:themeColor="text1"/>
        </w:rPr>
        <w:t xml:space="preserve">Electronic </w:t>
      </w:r>
      <w:r w:rsidR="00952092" w:rsidRPr="000F3D59">
        <w:rPr>
          <w:rFonts w:ascii="Arial" w:hAnsi="Arial" w:cs="Arial"/>
          <w:color w:val="000000" w:themeColor="text1"/>
        </w:rPr>
        <w:t>Case Report Form</w:t>
      </w:r>
    </w:p>
    <w:p w14:paraId="37E7B3D1" w14:textId="3BB09B5D"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DCC</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Data Coordinating Center</w:t>
      </w:r>
    </w:p>
    <w:p w14:paraId="06B5298A" w14:textId="617BF70E" w:rsidR="00952092" w:rsidRPr="000F3D59" w:rsidRDefault="009520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FDA</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Food and Drug Administration</w:t>
      </w:r>
    </w:p>
    <w:p w14:paraId="6BC1C9F2" w14:textId="594AF613" w:rsidR="005C1892" w:rsidRPr="000F3D59" w:rsidRDefault="005C1892"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ESI</w:t>
      </w:r>
      <w:r w:rsidRPr="000F3D59">
        <w:rPr>
          <w:rFonts w:ascii="Arial" w:hAnsi="Arial" w:cs="Arial"/>
          <w:color w:val="000000" w:themeColor="text1"/>
        </w:rPr>
        <w:tab/>
      </w:r>
      <w:r w:rsidRPr="000F3D59">
        <w:rPr>
          <w:rFonts w:ascii="Arial" w:hAnsi="Arial" w:cs="Arial"/>
          <w:color w:val="000000" w:themeColor="text1"/>
        </w:rPr>
        <w:tab/>
        <w:t>Event of Special Interest</w:t>
      </w:r>
    </w:p>
    <w:p w14:paraId="2BCF2B44" w14:textId="2FD957BF" w:rsidR="00500563" w:rsidRPr="000F3D59" w:rsidRDefault="00500563" w:rsidP="00952092">
      <w:pPr>
        <w:pStyle w:val="ListParagraph"/>
        <w:spacing w:before="0" w:after="0" w:line="240" w:lineRule="auto"/>
        <w:ind w:left="792"/>
        <w:jc w:val="both"/>
        <w:rPr>
          <w:rFonts w:ascii="Arial" w:hAnsi="Arial" w:cs="Arial"/>
          <w:color w:val="000000" w:themeColor="text1"/>
        </w:rPr>
      </w:pPr>
      <w:r w:rsidRPr="000F3D59">
        <w:rPr>
          <w:rFonts w:ascii="Arial" w:hAnsi="Arial" w:cs="Arial"/>
          <w:color w:val="000000" w:themeColor="text1"/>
        </w:rPr>
        <w:t>DSMB</w:t>
      </w:r>
      <w:r w:rsidRPr="000F3D59">
        <w:rPr>
          <w:rFonts w:ascii="Arial" w:hAnsi="Arial" w:cs="Arial"/>
          <w:color w:val="000000" w:themeColor="text1"/>
        </w:rPr>
        <w:tab/>
      </w:r>
      <w:r w:rsidRPr="000F3D59">
        <w:rPr>
          <w:rFonts w:ascii="Arial" w:hAnsi="Arial" w:cs="Arial"/>
          <w:color w:val="000000" w:themeColor="text1"/>
        </w:rPr>
        <w:tab/>
        <w:t>Data and Safety Monitoring Board</w:t>
      </w:r>
    </w:p>
    <w:p w14:paraId="36ABE3B6" w14:textId="0B062B3B" w:rsidR="00952092" w:rsidRPr="000F3D59" w:rsidRDefault="00952092" w:rsidP="00952092">
      <w:pPr>
        <w:pStyle w:val="ListParagraph"/>
        <w:spacing w:before="0" w:after="0" w:line="240" w:lineRule="auto"/>
        <w:ind w:left="792"/>
        <w:jc w:val="both"/>
        <w:rPr>
          <w:rFonts w:ascii="Arial" w:eastAsia="Calibri" w:hAnsi="Arial" w:cs="Arial"/>
          <w:b/>
          <w:bCs/>
          <w:color w:val="000000" w:themeColor="text1"/>
        </w:rPr>
      </w:pPr>
      <w:r w:rsidRPr="000F3D59">
        <w:rPr>
          <w:rFonts w:ascii="Arial" w:hAnsi="Arial" w:cs="Arial"/>
          <w:color w:val="000000" w:themeColor="text1"/>
        </w:rPr>
        <w:t>MOP</w:t>
      </w:r>
      <w:r w:rsidRPr="000F3D59">
        <w:rPr>
          <w:rStyle w:val="apple-tab-span"/>
          <w:rFonts w:ascii="Arial" w:hAnsi="Arial" w:cs="Arial"/>
          <w:color w:val="000000" w:themeColor="text1"/>
        </w:rPr>
        <w:tab/>
      </w:r>
      <w:r w:rsidRPr="000F3D59">
        <w:rPr>
          <w:rStyle w:val="apple-tab-span"/>
          <w:rFonts w:ascii="Arial" w:hAnsi="Arial" w:cs="Arial"/>
          <w:color w:val="000000" w:themeColor="text1"/>
        </w:rPr>
        <w:tab/>
      </w:r>
      <w:r w:rsidRPr="000F3D59">
        <w:rPr>
          <w:rFonts w:ascii="Arial" w:hAnsi="Arial" w:cs="Arial"/>
          <w:color w:val="000000" w:themeColor="text1"/>
        </w:rPr>
        <w:t>Manual of Procedures</w:t>
      </w:r>
    </w:p>
    <w:p w14:paraId="1038AFD5" w14:textId="77777777" w:rsidR="002B3729" w:rsidRPr="000F3D59" w:rsidRDefault="002B3729" w:rsidP="002B3729">
      <w:pPr>
        <w:pStyle w:val="ListParagraph"/>
        <w:spacing w:before="0" w:after="0" w:line="240" w:lineRule="auto"/>
        <w:ind w:left="792"/>
        <w:jc w:val="both"/>
        <w:rPr>
          <w:rFonts w:ascii="Arial" w:eastAsia="Calibri" w:hAnsi="Arial" w:cs="Arial"/>
          <w:color w:val="000000" w:themeColor="text1"/>
        </w:rPr>
      </w:pPr>
    </w:p>
    <w:p w14:paraId="4732F346" w14:textId="77777777" w:rsidR="008C495F" w:rsidRPr="000F3D59" w:rsidRDefault="008C495F" w:rsidP="008C495F">
      <w:pPr>
        <w:pStyle w:val="ListParagraph"/>
        <w:spacing w:before="0" w:after="0" w:line="240" w:lineRule="auto"/>
        <w:ind w:left="792"/>
        <w:jc w:val="both"/>
        <w:rPr>
          <w:rFonts w:ascii="Arial" w:eastAsia="Calibri" w:hAnsi="Arial" w:cs="Arial"/>
          <w:b/>
          <w:bCs/>
          <w:color w:val="000000" w:themeColor="text1"/>
        </w:rPr>
      </w:pPr>
    </w:p>
    <w:sectPr w:rsidR="008C495F" w:rsidRPr="000F3D5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A3CC" w14:textId="77777777" w:rsidR="009C157F" w:rsidRDefault="009C157F" w:rsidP="00B22479">
      <w:pPr>
        <w:spacing w:before="0" w:after="0" w:line="240" w:lineRule="auto"/>
      </w:pPr>
      <w:r>
        <w:separator/>
      </w:r>
    </w:p>
  </w:endnote>
  <w:endnote w:type="continuationSeparator" w:id="0">
    <w:p w14:paraId="39D3660C" w14:textId="77777777" w:rsidR="009C157F" w:rsidRDefault="009C157F" w:rsidP="00B224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D1504BB-1F0C-4BC2-8845-9F83FC58098D}"/>
    <w:embedBold r:id="rId2" w:fontKey="{DE2851F0-8297-40C6-81F0-BD90BF3251C7}"/>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047A51E2-D7EB-4039-BFC5-65A3A7FD6F68}"/>
    <w:embedItalic r:id="rId4" w:fontKey="{1B9FB330-D7F3-4E32-8D8C-C11567988A3F}"/>
  </w:font>
  <w:font w:name="Play">
    <w:charset w:val="00"/>
    <w:family w:val="auto"/>
    <w:pitch w:val="default"/>
    <w:embedRegular r:id="rId5" w:fontKey="{076FA5D4-B00B-471B-B5CA-7A9F404D3710}"/>
  </w:font>
  <w:font w:name="Cambria">
    <w:panose1 w:val="02040503050406030204"/>
    <w:charset w:val="00"/>
    <w:family w:val="roman"/>
    <w:pitch w:val="variable"/>
    <w:sig w:usb0="E00006FF" w:usb1="420024FF" w:usb2="02000000" w:usb3="00000000" w:csb0="0000019F" w:csb1="00000000"/>
    <w:embedRegular r:id="rId6" w:fontKey="{60C734FC-5BF2-4B40-B421-951E5A74BF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960685"/>
      <w:docPartObj>
        <w:docPartGallery w:val="Page Numbers (Bottom of Page)"/>
        <w:docPartUnique/>
      </w:docPartObj>
    </w:sdtPr>
    <w:sdtEndPr>
      <w:rPr>
        <w:noProof/>
      </w:rPr>
    </w:sdtEndPr>
    <w:sdtContent>
      <w:p w14:paraId="792A7EDA" w14:textId="4316C338" w:rsidR="00B22479" w:rsidRDefault="00B22479">
        <w:pPr>
          <w:pStyle w:val="Footer"/>
          <w:jc w:val="center"/>
        </w:pPr>
        <w:r w:rsidRPr="00B22479">
          <w:rPr>
            <w:rFonts w:ascii="Arial" w:hAnsi="Arial" w:cs="Arial"/>
          </w:rPr>
          <w:fldChar w:fldCharType="begin"/>
        </w:r>
        <w:r w:rsidRPr="00B22479">
          <w:rPr>
            <w:rFonts w:ascii="Arial" w:hAnsi="Arial" w:cs="Arial"/>
          </w:rPr>
          <w:instrText xml:space="preserve"> PAGE   \* MERGEFORMAT </w:instrText>
        </w:r>
        <w:r w:rsidRPr="00B22479">
          <w:rPr>
            <w:rFonts w:ascii="Arial" w:hAnsi="Arial" w:cs="Arial"/>
          </w:rPr>
          <w:fldChar w:fldCharType="separate"/>
        </w:r>
        <w:r w:rsidRPr="00B22479">
          <w:rPr>
            <w:rFonts w:ascii="Arial" w:hAnsi="Arial" w:cs="Arial"/>
            <w:noProof/>
          </w:rPr>
          <w:t>2</w:t>
        </w:r>
        <w:r w:rsidRPr="00B22479">
          <w:rPr>
            <w:rFonts w:ascii="Arial" w:hAnsi="Arial" w:cs="Arial"/>
            <w:noProof/>
          </w:rPr>
          <w:fldChar w:fldCharType="end"/>
        </w:r>
      </w:p>
    </w:sdtContent>
  </w:sdt>
  <w:p w14:paraId="060BF2FF" w14:textId="77777777" w:rsidR="00B22479" w:rsidRDefault="00B22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F2683" w14:textId="77777777" w:rsidR="009C157F" w:rsidRDefault="009C157F" w:rsidP="00B22479">
      <w:pPr>
        <w:spacing w:before="0" w:after="0" w:line="240" w:lineRule="auto"/>
      </w:pPr>
      <w:r>
        <w:separator/>
      </w:r>
    </w:p>
  </w:footnote>
  <w:footnote w:type="continuationSeparator" w:id="0">
    <w:p w14:paraId="6CCA3728" w14:textId="77777777" w:rsidR="009C157F" w:rsidRDefault="009C157F" w:rsidP="00B2247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7A7"/>
    <w:multiLevelType w:val="multilevel"/>
    <w:tmpl w:val="877E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5F6"/>
    <w:multiLevelType w:val="multilevel"/>
    <w:tmpl w:val="1F5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C2C3A"/>
    <w:multiLevelType w:val="multilevel"/>
    <w:tmpl w:val="F5F20FE6"/>
    <w:lvl w:ilvl="0">
      <w:start w:val="1"/>
      <w:numFmt w:val="decimal"/>
      <w:lvlText w:val="%1."/>
      <w:lvlJc w:val="right"/>
      <w:pPr>
        <w:ind w:left="720" w:hanging="360"/>
      </w:pPr>
      <w:rPr>
        <w:rFonts w:hint="default"/>
        <w:u w:val="none"/>
      </w:rPr>
    </w:lvl>
    <w:lvl w:ilvl="1">
      <w:start w:val="1"/>
      <w:numFmt w:val="decimal"/>
      <w:lvlText w:val="%1.%2."/>
      <w:lvlJc w:val="right"/>
      <w:pPr>
        <w:ind w:left="432" w:hanging="257"/>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3" w15:restartNumberingAfterBreak="0">
    <w:nsid w:val="06B90551"/>
    <w:multiLevelType w:val="hybridMultilevel"/>
    <w:tmpl w:val="30AEEA00"/>
    <w:lvl w:ilvl="0" w:tplc="151E7418">
      <w:start w:val="3"/>
      <w:numFmt w:val="bullet"/>
      <w:lvlText w:val=""/>
      <w:lvlJc w:val="left"/>
      <w:pPr>
        <w:ind w:left="1512" w:hanging="360"/>
      </w:pPr>
      <w:rPr>
        <w:rFonts w:ascii="Symbol" w:eastAsia="Calibri" w:hAnsi="Symbol" w:cs="Aria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0CF82EF9"/>
    <w:multiLevelType w:val="multilevel"/>
    <w:tmpl w:val="9C5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5485C"/>
    <w:multiLevelType w:val="hybridMultilevel"/>
    <w:tmpl w:val="95B85FEE"/>
    <w:lvl w:ilvl="0" w:tplc="2A58F2FE">
      <w:start w:val="3"/>
      <w:numFmt w:val="bullet"/>
      <w:lvlText w:val=""/>
      <w:lvlJc w:val="left"/>
      <w:pPr>
        <w:ind w:left="720" w:hanging="360"/>
      </w:pPr>
      <w:rPr>
        <w:rFonts w:ascii="Symbol" w:eastAsia="Aptos"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0428A"/>
    <w:multiLevelType w:val="hybridMultilevel"/>
    <w:tmpl w:val="EBBC0F70"/>
    <w:lvl w:ilvl="0" w:tplc="A13847EE">
      <w:start w:val="3"/>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D34B92"/>
    <w:multiLevelType w:val="hybridMultilevel"/>
    <w:tmpl w:val="D5363034"/>
    <w:lvl w:ilvl="0" w:tplc="151E7418">
      <w:start w:val="3"/>
      <w:numFmt w:val="bullet"/>
      <w:lvlText w:val=""/>
      <w:lvlJc w:val="left"/>
      <w:pPr>
        <w:ind w:left="1944" w:hanging="360"/>
      </w:pPr>
      <w:rPr>
        <w:rFonts w:ascii="Symbol" w:eastAsia="Calibri" w:hAnsi="Symbol" w:cs="Aria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8" w15:restartNumberingAfterBreak="0">
    <w:nsid w:val="2A791AA3"/>
    <w:multiLevelType w:val="multilevel"/>
    <w:tmpl w:val="2DBC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14907"/>
    <w:multiLevelType w:val="multilevel"/>
    <w:tmpl w:val="A6E6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04DB0"/>
    <w:multiLevelType w:val="multilevel"/>
    <w:tmpl w:val="3EB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E3FE0"/>
    <w:multiLevelType w:val="multilevel"/>
    <w:tmpl w:val="8BB408FE"/>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9623115"/>
    <w:multiLevelType w:val="hybridMultilevel"/>
    <w:tmpl w:val="5FB62BC0"/>
    <w:lvl w:ilvl="0" w:tplc="151E7418">
      <w:start w:val="3"/>
      <w:numFmt w:val="bullet"/>
      <w:lvlText w:val=""/>
      <w:lvlJc w:val="left"/>
      <w:pPr>
        <w:ind w:left="1944" w:hanging="360"/>
      </w:pPr>
      <w:rPr>
        <w:rFonts w:ascii="Symbol" w:eastAsia="Calibri" w:hAnsi="Symbol" w:cs="Aria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15:restartNumberingAfterBreak="0">
    <w:nsid w:val="3BC077F6"/>
    <w:multiLevelType w:val="multilevel"/>
    <w:tmpl w:val="B7A484E8"/>
    <w:lvl w:ilvl="0">
      <w:start w:val="4"/>
      <w:numFmt w:val="decimal"/>
      <w:lvlText w:val="%1"/>
      <w:lvlJc w:val="left"/>
      <w:pPr>
        <w:ind w:left="360" w:hanging="360"/>
      </w:pPr>
      <w:rPr>
        <w:rFonts w:hint="default"/>
      </w:rPr>
    </w:lvl>
    <w:lvl w:ilvl="1">
      <w:start w:val="5"/>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4" w15:restartNumberingAfterBreak="0">
    <w:nsid w:val="402462D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9E40E7"/>
    <w:multiLevelType w:val="multilevel"/>
    <w:tmpl w:val="34E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003E0"/>
    <w:multiLevelType w:val="hybridMultilevel"/>
    <w:tmpl w:val="AE0ED28C"/>
    <w:lvl w:ilvl="0" w:tplc="151E7418">
      <w:start w:val="3"/>
      <w:numFmt w:val="bullet"/>
      <w:lvlText w:val=""/>
      <w:lvlJc w:val="left"/>
      <w:pPr>
        <w:ind w:left="1512" w:hanging="360"/>
      </w:pPr>
      <w:rPr>
        <w:rFonts w:ascii="Symbol" w:eastAsia="Calibri" w:hAnsi="Symbol" w:cs="Aria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4E3510CD"/>
    <w:multiLevelType w:val="hybridMultilevel"/>
    <w:tmpl w:val="18944658"/>
    <w:lvl w:ilvl="0" w:tplc="0EDC7AD8">
      <w:start w:val="3"/>
      <w:numFmt w:val="bullet"/>
      <w:lvlText w:val=""/>
      <w:lvlJc w:val="left"/>
      <w:pPr>
        <w:ind w:left="720" w:hanging="360"/>
      </w:pPr>
      <w:rPr>
        <w:rFonts w:ascii="Symbol" w:eastAsia="Aptos"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1C6532"/>
    <w:multiLevelType w:val="hybridMultilevel"/>
    <w:tmpl w:val="4650D6E8"/>
    <w:lvl w:ilvl="0" w:tplc="151E7418">
      <w:start w:val="3"/>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31E2D"/>
    <w:multiLevelType w:val="multilevel"/>
    <w:tmpl w:val="B70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F4770"/>
    <w:multiLevelType w:val="hybridMultilevel"/>
    <w:tmpl w:val="8E2A5CE2"/>
    <w:lvl w:ilvl="0" w:tplc="151E7418">
      <w:start w:val="3"/>
      <w:numFmt w:val="bullet"/>
      <w:lvlText w:val=""/>
      <w:lvlJc w:val="left"/>
      <w:pPr>
        <w:ind w:left="2880" w:hanging="360"/>
      </w:pPr>
      <w:rPr>
        <w:rFonts w:ascii="Symbol" w:eastAsia="Calibri" w:hAnsi="Symbol" w:cs="Aria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5D913FA7"/>
    <w:multiLevelType w:val="hybridMultilevel"/>
    <w:tmpl w:val="7A2C6612"/>
    <w:lvl w:ilvl="0" w:tplc="151E7418">
      <w:start w:val="3"/>
      <w:numFmt w:val="bullet"/>
      <w:lvlText w:val=""/>
      <w:lvlJc w:val="left"/>
      <w:pPr>
        <w:ind w:left="1944" w:hanging="360"/>
      </w:pPr>
      <w:rPr>
        <w:rFonts w:ascii="Symbol" w:eastAsia="Calibri" w:hAnsi="Symbol" w:cs="Aria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2" w15:restartNumberingAfterBreak="0">
    <w:nsid w:val="5DC47D53"/>
    <w:multiLevelType w:val="hybridMultilevel"/>
    <w:tmpl w:val="4F7A631E"/>
    <w:lvl w:ilvl="0" w:tplc="151E7418">
      <w:start w:val="3"/>
      <w:numFmt w:val="bullet"/>
      <w:lvlText w:val=""/>
      <w:lvlJc w:val="left"/>
      <w:pPr>
        <w:ind w:left="1944" w:hanging="360"/>
      </w:pPr>
      <w:rPr>
        <w:rFonts w:ascii="Symbol" w:eastAsia="Calibri" w:hAnsi="Symbol" w:cs="Aria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3" w15:restartNumberingAfterBreak="0">
    <w:nsid w:val="5EB17F65"/>
    <w:multiLevelType w:val="hybridMultilevel"/>
    <w:tmpl w:val="14BE34C8"/>
    <w:lvl w:ilvl="0" w:tplc="DA4A0D0E">
      <w:start w:val="3"/>
      <w:numFmt w:val="bullet"/>
      <w:lvlText w:val=""/>
      <w:lvlJc w:val="left"/>
      <w:pPr>
        <w:ind w:left="720" w:hanging="360"/>
      </w:pPr>
      <w:rPr>
        <w:rFonts w:ascii="Symbol" w:eastAsia="Aptos"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4E40FC"/>
    <w:multiLevelType w:val="hybridMultilevel"/>
    <w:tmpl w:val="9516EDE2"/>
    <w:lvl w:ilvl="0" w:tplc="151E7418">
      <w:start w:val="3"/>
      <w:numFmt w:val="bullet"/>
      <w:lvlText w:val=""/>
      <w:lvlJc w:val="left"/>
      <w:pPr>
        <w:ind w:left="2880" w:hanging="360"/>
      </w:pPr>
      <w:rPr>
        <w:rFonts w:ascii="Symbol" w:eastAsia="Calibri" w:hAnsi="Symbol" w:cs="Aria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6CAC3E9F"/>
    <w:multiLevelType w:val="multilevel"/>
    <w:tmpl w:val="462E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218C7"/>
    <w:multiLevelType w:val="multilevel"/>
    <w:tmpl w:val="A2B6C1EC"/>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95D2CAA"/>
    <w:multiLevelType w:val="multilevel"/>
    <w:tmpl w:val="62B6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31A57"/>
    <w:multiLevelType w:val="hybridMultilevel"/>
    <w:tmpl w:val="6B24CBFE"/>
    <w:lvl w:ilvl="0" w:tplc="151E7418">
      <w:start w:val="3"/>
      <w:numFmt w:val="bullet"/>
      <w:lvlText w:val=""/>
      <w:lvlJc w:val="left"/>
      <w:pPr>
        <w:ind w:left="1512" w:hanging="360"/>
      </w:pPr>
      <w:rPr>
        <w:rFonts w:ascii="Symbol" w:eastAsia="Calibri" w:hAnsi="Symbol" w:cs="Aria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9" w15:restartNumberingAfterBreak="0">
    <w:nsid w:val="7BDC7075"/>
    <w:multiLevelType w:val="multilevel"/>
    <w:tmpl w:val="04C415BC"/>
    <w:lvl w:ilvl="0">
      <w:start w:val="5"/>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30" w15:restartNumberingAfterBreak="0">
    <w:nsid w:val="7E821BEC"/>
    <w:multiLevelType w:val="multilevel"/>
    <w:tmpl w:val="5BDC890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1758675749">
    <w:abstractNumId w:val="2"/>
  </w:num>
  <w:num w:numId="2" w16cid:durableId="145822491">
    <w:abstractNumId w:val="14"/>
  </w:num>
  <w:num w:numId="3" w16cid:durableId="351228882">
    <w:abstractNumId w:val="11"/>
  </w:num>
  <w:num w:numId="4" w16cid:durableId="1090156972">
    <w:abstractNumId w:val="26"/>
  </w:num>
  <w:num w:numId="5" w16cid:durableId="2134323550">
    <w:abstractNumId w:val="6"/>
  </w:num>
  <w:num w:numId="6" w16cid:durableId="527262479">
    <w:abstractNumId w:val="17"/>
  </w:num>
  <w:num w:numId="7" w16cid:durableId="1072506692">
    <w:abstractNumId w:val="5"/>
  </w:num>
  <w:num w:numId="8" w16cid:durableId="1216619848">
    <w:abstractNumId w:val="23"/>
  </w:num>
  <w:num w:numId="9" w16cid:durableId="939289771">
    <w:abstractNumId w:val="18"/>
  </w:num>
  <w:num w:numId="10" w16cid:durableId="872569938">
    <w:abstractNumId w:val="1"/>
  </w:num>
  <w:num w:numId="11" w16cid:durableId="2081556872">
    <w:abstractNumId w:val="19"/>
  </w:num>
  <w:num w:numId="12" w16cid:durableId="139732258">
    <w:abstractNumId w:val="7"/>
  </w:num>
  <w:num w:numId="13" w16cid:durableId="1316378054">
    <w:abstractNumId w:val="0"/>
  </w:num>
  <w:num w:numId="14" w16cid:durableId="249434826">
    <w:abstractNumId w:val="3"/>
  </w:num>
  <w:num w:numId="15" w16cid:durableId="1523588985">
    <w:abstractNumId w:val="20"/>
  </w:num>
  <w:num w:numId="16" w16cid:durableId="1426458634">
    <w:abstractNumId w:val="15"/>
  </w:num>
  <w:num w:numId="17" w16cid:durableId="253705401">
    <w:abstractNumId w:val="24"/>
  </w:num>
  <w:num w:numId="18" w16cid:durableId="15352860">
    <w:abstractNumId w:val="25"/>
  </w:num>
  <w:num w:numId="19" w16cid:durableId="1527865635">
    <w:abstractNumId w:val="27"/>
  </w:num>
  <w:num w:numId="20" w16cid:durableId="277300406">
    <w:abstractNumId w:val="9"/>
  </w:num>
  <w:num w:numId="21" w16cid:durableId="1853299017">
    <w:abstractNumId w:val="13"/>
  </w:num>
  <w:num w:numId="22" w16cid:durableId="1826238358">
    <w:abstractNumId w:val="29"/>
  </w:num>
  <w:num w:numId="23" w16cid:durableId="1476870562">
    <w:abstractNumId w:val="28"/>
  </w:num>
  <w:num w:numId="24" w16cid:durableId="10302357">
    <w:abstractNumId w:val="16"/>
  </w:num>
  <w:num w:numId="25" w16cid:durableId="216475798">
    <w:abstractNumId w:val="4"/>
  </w:num>
  <w:num w:numId="26" w16cid:durableId="1416245706">
    <w:abstractNumId w:val="21"/>
  </w:num>
  <w:num w:numId="27" w16cid:durableId="693312070">
    <w:abstractNumId w:val="8"/>
  </w:num>
  <w:num w:numId="28" w16cid:durableId="1931038685">
    <w:abstractNumId w:val="12"/>
  </w:num>
  <w:num w:numId="29" w16cid:durableId="589236569">
    <w:abstractNumId w:val="10"/>
  </w:num>
  <w:num w:numId="30" w16cid:durableId="1075055046">
    <w:abstractNumId w:val="22"/>
  </w:num>
  <w:num w:numId="31" w16cid:durableId="1082770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EC5"/>
    <w:rsid w:val="00042B96"/>
    <w:rsid w:val="0009194E"/>
    <w:rsid w:val="000976C3"/>
    <w:rsid w:val="000A6C59"/>
    <w:rsid w:val="000B307D"/>
    <w:rsid w:val="000F3D59"/>
    <w:rsid w:val="00101742"/>
    <w:rsid w:val="00287359"/>
    <w:rsid w:val="002A119C"/>
    <w:rsid w:val="002B3729"/>
    <w:rsid w:val="002C2041"/>
    <w:rsid w:val="002D2409"/>
    <w:rsid w:val="002E44A5"/>
    <w:rsid w:val="00371AA6"/>
    <w:rsid w:val="003E6F0B"/>
    <w:rsid w:val="003E76A5"/>
    <w:rsid w:val="0044358D"/>
    <w:rsid w:val="004768AF"/>
    <w:rsid w:val="00492A13"/>
    <w:rsid w:val="004E6530"/>
    <w:rsid w:val="00500563"/>
    <w:rsid w:val="0057452E"/>
    <w:rsid w:val="005B05C7"/>
    <w:rsid w:val="005C1892"/>
    <w:rsid w:val="00610830"/>
    <w:rsid w:val="00623914"/>
    <w:rsid w:val="007141F7"/>
    <w:rsid w:val="007B561A"/>
    <w:rsid w:val="007D6FE8"/>
    <w:rsid w:val="007E4A91"/>
    <w:rsid w:val="007F47D8"/>
    <w:rsid w:val="00852DAD"/>
    <w:rsid w:val="008543CE"/>
    <w:rsid w:val="008C495F"/>
    <w:rsid w:val="008D2402"/>
    <w:rsid w:val="00952092"/>
    <w:rsid w:val="009C157F"/>
    <w:rsid w:val="009C4BAE"/>
    <w:rsid w:val="009C4C61"/>
    <w:rsid w:val="00A20BFD"/>
    <w:rsid w:val="00B22479"/>
    <w:rsid w:val="00B22EC5"/>
    <w:rsid w:val="00B762A9"/>
    <w:rsid w:val="00BD2979"/>
    <w:rsid w:val="00C17056"/>
    <w:rsid w:val="00CB4611"/>
    <w:rsid w:val="00CC1EF2"/>
    <w:rsid w:val="00D05B50"/>
    <w:rsid w:val="00D25324"/>
    <w:rsid w:val="00D31079"/>
    <w:rsid w:val="00D35052"/>
    <w:rsid w:val="00D56429"/>
    <w:rsid w:val="00D74C28"/>
    <w:rsid w:val="00DB4B05"/>
    <w:rsid w:val="00E97CBF"/>
    <w:rsid w:val="00EC2D64"/>
    <w:rsid w:val="00EF3BE2"/>
    <w:rsid w:val="00EF6371"/>
    <w:rsid w:val="00EF72E0"/>
    <w:rsid w:val="00F34310"/>
    <w:rsid w:val="00F4284C"/>
    <w:rsid w:val="00FD2E3A"/>
    <w:rsid w:val="00FE6D21"/>
    <w:rsid w:val="00FE7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B12E"/>
  <w15:docId w15:val="{4A298B63-F316-4F69-B0ED-B72942C8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78"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78" w:lineRule="auto"/>
      <w:outlineLvl w:val="3"/>
    </w:pPr>
    <w:rPr>
      <w:i/>
      <w:iCs/>
      <w:color w:val="0F4761"/>
      <w:sz w:val="24"/>
      <w:szCs w:val="24"/>
    </w:rPr>
  </w:style>
  <w:style w:type="paragraph" w:styleId="Heading5">
    <w:name w:val="heading 5"/>
    <w:basedOn w:val="Normal"/>
    <w:next w:val="Normal"/>
    <w:uiPriority w:val="9"/>
    <w:semiHidden/>
    <w:unhideWhenUsed/>
    <w:qFormat/>
    <w:pPr>
      <w:keepNext/>
      <w:keepLines/>
      <w:spacing w:before="80" w:after="40" w:line="278"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after="0" w:line="278" w:lineRule="auto"/>
      <w:outlineLvl w:val="5"/>
    </w:pPr>
    <w:rPr>
      <w:i/>
      <w:iCs/>
      <w:color w:val="595959"/>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rFonts w:ascii="Play" w:eastAsia="Play" w:hAnsi="Play" w:cs="Play"/>
      <w:sz w:val="56"/>
      <w:szCs w:val="56"/>
    </w:rPr>
  </w:style>
  <w:style w:type="paragraph" w:styleId="Subtitle">
    <w:name w:val="Subtitle"/>
    <w:basedOn w:val="Normal"/>
    <w:next w:val="Normal"/>
    <w:uiPriority w:val="11"/>
    <w:qFormat/>
    <w:pPr>
      <w:spacing w:before="0" w:after="160" w:line="278" w:lineRule="auto"/>
    </w:pPr>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E4A91"/>
    <w:pPr>
      <w:ind w:left="720"/>
      <w:contextualSpacing/>
    </w:pPr>
  </w:style>
  <w:style w:type="table" w:styleId="TableGrid">
    <w:name w:val="Table Grid"/>
    <w:basedOn w:val="TableNormal"/>
    <w:uiPriority w:val="39"/>
    <w:rsid w:val="00EF3BE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C4BA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7D6F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4358D"/>
    <w:rPr>
      <w:b/>
      <w:bCs/>
    </w:rPr>
  </w:style>
  <w:style w:type="character" w:customStyle="1" w:styleId="apple-tab-span">
    <w:name w:val="apple-tab-span"/>
    <w:basedOn w:val="DefaultParagraphFont"/>
    <w:rsid w:val="00952092"/>
  </w:style>
  <w:style w:type="paragraph" w:styleId="Header">
    <w:name w:val="header"/>
    <w:basedOn w:val="Normal"/>
    <w:link w:val="HeaderChar"/>
    <w:uiPriority w:val="99"/>
    <w:unhideWhenUsed/>
    <w:rsid w:val="00B2247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22479"/>
  </w:style>
  <w:style w:type="paragraph" w:styleId="Footer">
    <w:name w:val="footer"/>
    <w:basedOn w:val="Normal"/>
    <w:link w:val="FooterChar"/>
    <w:uiPriority w:val="99"/>
    <w:unhideWhenUsed/>
    <w:rsid w:val="00B2247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22479"/>
  </w:style>
  <w:style w:type="paragraph" w:styleId="TOCHeading">
    <w:name w:val="TOC Heading"/>
    <w:basedOn w:val="Heading1"/>
    <w:next w:val="Normal"/>
    <w:uiPriority w:val="39"/>
    <w:unhideWhenUsed/>
    <w:qFormat/>
    <w:rsid w:val="002E44A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67490">
      <w:bodyDiv w:val="1"/>
      <w:marLeft w:val="0"/>
      <w:marRight w:val="0"/>
      <w:marTop w:val="0"/>
      <w:marBottom w:val="0"/>
      <w:divBdr>
        <w:top w:val="none" w:sz="0" w:space="0" w:color="auto"/>
        <w:left w:val="none" w:sz="0" w:space="0" w:color="auto"/>
        <w:bottom w:val="none" w:sz="0" w:space="0" w:color="auto"/>
        <w:right w:val="none" w:sz="0" w:space="0" w:color="auto"/>
      </w:divBdr>
    </w:div>
    <w:div w:id="78411874">
      <w:bodyDiv w:val="1"/>
      <w:marLeft w:val="0"/>
      <w:marRight w:val="0"/>
      <w:marTop w:val="0"/>
      <w:marBottom w:val="0"/>
      <w:divBdr>
        <w:top w:val="none" w:sz="0" w:space="0" w:color="auto"/>
        <w:left w:val="none" w:sz="0" w:space="0" w:color="auto"/>
        <w:bottom w:val="none" w:sz="0" w:space="0" w:color="auto"/>
        <w:right w:val="none" w:sz="0" w:space="0" w:color="auto"/>
      </w:divBdr>
    </w:div>
    <w:div w:id="105539635">
      <w:bodyDiv w:val="1"/>
      <w:marLeft w:val="0"/>
      <w:marRight w:val="0"/>
      <w:marTop w:val="0"/>
      <w:marBottom w:val="0"/>
      <w:divBdr>
        <w:top w:val="none" w:sz="0" w:space="0" w:color="auto"/>
        <w:left w:val="none" w:sz="0" w:space="0" w:color="auto"/>
        <w:bottom w:val="none" w:sz="0" w:space="0" w:color="auto"/>
        <w:right w:val="none" w:sz="0" w:space="0" w:color="auto"/>
      </w:divBdr>
    </w:div>
    <w:div w:id="288051303">
      <w:bodyDiv w:val="1"/>
      <w:marLeft w:val="0"/>
      <w:marRight w:val="0"/>
      <w:marTop w:val="0"/>
      <w:marBottom w:val="0"/>
      <w:divBdr>
        <w:top w:val="none" w:sz="0" w:space="0" w:color="auto"/>
        <w:left w:val="none" w:sz="0" w:space="0" w:color="auto"/>
        <w:bottom w:val="none" w:sz="0" w:space="0" w:color="auto"/>
        <w:right w:val="none" w:sz="0" w:space="0" w:color="auto"/>
      </w:divBdr>
    </w:div>
    <w:div w:id="486022839">
      <w:bodyDiv w:val="1"/>
      <w:marLeft w:val="0"/>
      <w:marRight w:val="0"/>
      <w:marTop w:val="0"/>
      <w:marBottom w:val="0"/>
      <w:divBdr>
        <w:top w:val="none" w:sz="0" w:space="0" w:color="auto"/>
        <w:left w:val="none" w:sz="0" w:space="0" w:color="auto"/>
        <w:bottom w:val="none" w:sz="0" w:space="0" w:color="auto"/>
        <w:right w:val="none" w:sz="0" w:space="0" w:color="auto"/>
      </w:divBdr>
    </w:div>
    <w:div w:id="665865919">
      <w:bodyDiv w:val="1"/>
      <w:marLeft w:val="0"/>
      <w:marRight w:val="0"/>
      <w:marTop w:val="0"/>
      <w:marBottom w:val="0"/>
      <w:divBdr>
        <w:top w:val="none" w:sz="0" w:space="0" w:color="auto"/>
        <w:left w:val="none" w:sz="0" w:space="0" w:color="auto"/>
        <w:bottom w:val="none" w:sz="0" w:space="0" w:color="auto"/>
        <w:right w:val="none" w:sz="0" w:space="0" w:color="auto"/>
      </w:divBdr>
    </w:div>
    <w:div w:id="673656183">
      <w:bodyDiv w:val="1"/>
      <w:marLeft w:val="0"/>
      <w:marRight w:val="0"/>
      <w:marTop w:val="0"/>
      <w:marBottom w:val="0"/>
      <w:divBdr>
        <w:top w:val="none" w:sz="0" w:space="0" w:color="auto"/>
        <w:left w:val="none" w:sz="0" w:space="0" w:color="auto"/>
        <w:bottom w:val="none" w:sz="0" w:space="0" w:color="auto"/>
        <w:right w:val="none" w:sz="0" w:space="0" w:color="auto"/>
      </w:divBdr>
    </w:div>
    <w:div w:id="744186884">
      <w:bodyDiv w:val="1"/>
      <w:marLeft w:val="0"/>
      <w:marRight w:val="0"/>
      <w:marTop w:val="0"/>
      <w:marBottom w:val="0"/>
      <w:divBdr>
        <w:top w:val="none" w:sz="0" w:space="0" w:color="auto"/>
        <w:left w:val="none" w:sz="0" w:space="0" w:color="auto"/>
        <w:bottom w:val="none" w:sz="0" w:space="0" w:color="auto"/>
        <w:right w:val="none" w:sz="0" w:space="0" w:color="auto"/>
      </w:divBdr>
    </w:div>
    <w:div w:id="760376030">
      <w:bodyDiv w:val="1"/>
      <w:marLeft w:val="0"/>
      <w:marRight w:val="0"/>
      <w:marTop w:val="0"/>
      <w:marBottom w:val="0"/>
      <w:divBdr>
        <w:top w:val="none" w:sz="0" w:space="0" w:color="auto"/>
        <w:left w:val="none" w:sz="0" w:space="0" w:color="auto"/>
        <w:bottom w:val="none" w:sz="0" w:space="0" w:color="auto"/>
        <w:right w:val="none" w:sz="0" w:space="0" w:color="auto"/>
      </w:divBdr>
    </w:div>
    <w:div w:id="774790094">
      <w:bodyDiv w:val="1"/>
      <w:marLeft w:val="0"/>
      <w:marRight w:val="0"/>
      <w:marTop w:val="0"/>
      <w:marBottom w:val="0"/>
      <w:divBdr>
        <w:top w:val="none" w:sz="0" w:space="0" w:color="auto"/>
        <w:left w:val="none" w:sz="0" w:space="0" w:color="auto"/>
        <w:bottom w:val="none" w:sz="0" w:space="0" w:color="auto"/>
        <w:right w:val="none" w:sz="0" w:space="0" w:color="auto"/>
      </w:divBdr>
    </w:div>
    <w:div w:id="812021806">
      <w:bodyDiv w:val="1"/>
      <w:marLeft w:val="0"/>
      <w:marRight w:val="0"/>
      <w:marTop w:val="0"/>
      <w:marBottom w:val="0"/>
      <w:divBdr>
        <w:top w:val="none" w:sz="0" w:space="0" w:color="auto"/>
        <w:left w:val="none" w:sz="0" w:space="0" w:color="auto"/>
        <w:bottom w:val="none" w:sz="0" w:space="0" w:color="auto"/>
        <w:right w:val="none" w:sz="0" w:space="0" w:color="auto"/>
      </w:divBdr>
    </w:div>
    <w:div w:id="935480112">
      <w:bodyDiv w:val="1"/>
      <w:marLeft w:val="0"/>
      <w:marRight w:val="0"/>
      <w:marTop w:val="0"/>
      <w:marBottom w:val="0"/>
      <w:divBdr>
        <w:top w:val="none" w:sz="0" w:space="0" w:color="auto"/>
        <w:left w:val="none" w:sz="0" w:space="0" w:color="auto"/>
        <w:bottom w:val="none" w:sz="0" w:space="0" w:color="auto"/>
        <w:right w:val="none" w:sz="0" w:space="0" w:color="auto"/>
      </w:divBdr>
    </w:div>
    <w:div w:id="1082264103">
      <w:bodyDiv w:val="1"/>
      <w:marLeft w:val="0"/>
      <w:marRight w:val="0"/>
      <w:marTop w:val="0"/>
      <w:marBottom w:val="0"/>
      <w:divBdr>
        <w:top w:val="none" w:sz="0" w:space="0" w:color="auto"/>
        <w:left w:val="none" w:sz="0" w:space="0" w:color="auto"/>
        <w:bottom w:val="none" w:sz="0" w:space="0" w:color="auto"/>
        <w:right w:val="none" w:sz="0" w:space="0" w:color="auto"/>
      </w:divBdr>
    </w:div>
    <w:div w:id="1083768842">
      <w:bodyDiv w:val="1"/>
      <w:marLeft w:val="0"/>
      <w:marRight w:val="0"/>
      <w:marTop w:val="0"/>
      <w:marBottom w:val="0"/>
      <w:divBdr>
        <w:top w:val="none" w:sz="0" w:space="0" w:color="auto"/>
        <w:left w:val="none" w:sz="0" w:space="0" w:color="auto"/>
        <w:bottom w:val="none" w:sz="0" w:space="0" w:color="auto"/>
        <w:right w:val="none" w:sz="0" w:space="0" w:color="auto"/>
      </w:divBdr>
    </w:div>
    <w:div w:id="1102870825">
      <w:bodyDiv w:val="1"/>
      <w:marLeft w:val="0"/>
      <w:marRight w:val="0"/>
      <w:marTop w:val="0"/>
      <w:marBottom w:val="0"/>
      <w:divBdr>
        <w:top w:val="none" w:sz="0" w:space="0" w:color="auto"/>
        <w:left w:val="none" w:sz="0" w:space="0" w:color="auto"/>
        <w:bottom w:val="none" w:sz="0" w:space="0" w:color="auto"/>
        <w:right w:val="none" w:sz="0" w:space="0" w:color="auto"/>
      </w:divBdr>
    </w:div>
    <w:div w:id="1131243558">
      <w:bodyDiv w:val="1"/>
      <w:marLeft w:val="0"/>
      <w:marRight w:val="0"/>
      <w:marTop w:val="0"/>
      <w:marBottom w:val="0"/>
      <w:divBdr>
        <w:top w:val="none" w:sz="0" w:space="0" w:color="auto"/>
        <w:left w:val="none" w:sz="0" w:space="0" w:color="auto"/>
        <w:bottom w:val="none" w:sz="0" w:space="0" w:color="auto"/>
        <w:right w:val="none" w:sz="0" w:space="0" w:color="auto"/>
      </w:divBdr>
    </w:div>
    <w:div w:id="1248030332">
      <w:bodyDiv w:val="1"/>
      <w:marLeft w:val="0"/>
      <w:marRight w:val="0"/>
      <w:marTop w:val="0"/>
      <w:marBottom w:val="0"/>
      <w:divBdr>
        <w:top w:val="none" w:sz="0" w:space="0" w:color="auto"/>
        <w:left w:val="none" w:sz="0" w:space="0" w:color="auto"/>
        <w:bottom w:val="none" w:sz="0" w:space="0" w:color="auto"/>
        <w:right w:val="none" w:sz="0" w:space="0" w:color="auto"/>
      </w:divBdr>
    </w:div>
    <w:div w:id="1448768554">
      <w:bodyDiv w:val="1"/>
      <w:marLeft w:val="0"/>
      <w:marRight w:val="0"/>
      <w:marTop w:val="0"/>
      <w:marBottom w:val="0"/>
      <w:divBdr>
        <w:top w:val="none" w:sz="0" w:space="0" w:color="auto"/>
        <w:left w:val="none" w:sz="0" w:space="0" w:color="auto"/>
        <w:bottom w:val="none" w:sz="0" w:space="0" w:color="auto"/>
        <w:right w:val="none" w:sz="0" w:space="0" w:color="auto"/>
      </w:divBdr>
    </w:div>
    <w:div w:id="1668439448">
      <w:bodyDiv w:val="1"/>
      <w:marLeft w:val="0"/>
      <w:marRight w:val="0"/>
      <w:marTop w:val="0"/>
      <w:marBottom w:val="0"/>
      <w:divBdr>
        <w:top w:val="none" w:sz="0" w:space="0" w:color="auto"/>
        <w:left w:val="none" w:sz="0" w:space="0" w:color="auto"/>
        <w:bottom w:val="none" w:sz="0" w:space="0" w:color="auto"/>
        <w:right w:val="none" w:sz="0" w:space="0" w:color="auto"/>
      </w:divBdr>
    </w:div>
    <w:div w:id="1723870966">
      <w:bodyDiv w:val="1"/>
      <w:marLeft w:val="0"/>
      <w:marRight w:val="0"/>
      <w:marTop w:val="0"/>
      <w:marBottom w:val="0"/>
      <w:divBdr>
        <w:top w:val="none" w:sz="0" w:space="0" w:color="auto"/>
        <w:left w:val="none" w:sz="0" w:space="0" w:color="auto"/>
        <w:bottom w:val="none" w:sz="0" w:space="0" w:color="auto"/>
        <w:right w:val="none" w:sz="0" w:space="0" w:color="auto"/>
      </w:divBdr>
    </w:div>
    <w:div w:id="1785685275">
      <w:bodyDiv w:val="1"/>
      <w:marLeft w:val="0"/>
      <w:marRight w:val="0"/>
      <w:marTop w:val="0"/>
      <w:marBottom w:val="0"/>
      <w:divBdr>
        <w:top w:val="none" w:sz="0" w:space="0" w:color="auto"/>
        <w:left w:val="none" w:sz="0" w:space="0" w:color="auto"/>
        <w:bottom w:val="none" w:sz="0" w:space="0" w:color="auto"/>
        <w:right w:val="none" w:sz="0" w:space="0" w:color="auto"/>
      </w:divBdr>
    </w:div>
    <w:div w:id="1992362841">
      <w:bodyDiv w:val="1"/>
      <w:marLeft w:val="0"/>
      <w:marRight w:val="0"/>
      <w:marTop w:val="0"/>
      <w:marBottom w:val="0"/>
      <w:divBdr>
        <w:top w:val="none" w:sz="0" w:space="0" w:color="auto"/>
        <w:left w:val="none" w:sz="0" w:space="0" w:color="auto"/>
        <w:bottom w:val="none" w:sz="0" w:space="0" w:color="auto"/>
        <w:right w:val="none" w:sz="0" w:space="0" w:color="auto"/>
      </w:divBdr>
    </w:div>
    <w:div w:id="2055957889">
      <w:bodyDiv w:val="1"/>
      <w:marLeft w:val="0"/>
      <w:marRight w:val="0"/>
      <w:marTop w:val="0"/>
      <w:marBottom w:val="0"/>
      <w:divBdr>
        <w:top w:val="none" w:sz="0" w:space="0" w:color="auto"/>
        <w:left w:val="none" w:sz="0" w:space="0" w:color="auto"/>
        <w:bottom w:val="none" w:sz="0" w:space="0" w:color="auto"/>
        <w:right w:val="none" w:sz="0" w:space="0" w:color="auto"/>
      </w:divBdr>
    </w:div>
    <w:div w:id="2074543294">
      <w:bodyDiv w:val="1"/>
      <w:marLeft w:val="0"/>
      <w:marRight w:val="0"/>
      <w:marTop w:val="0"/>
      <w:marBottom w:val="0"/>
      <w:divBdr>
        <w:top w:val="none" w:sz="0" w:space="0" w:color="auto"/>
        <w:left w:val="none" w:sz="0" w:space="0" w:color="auto"/>
        <w:bottom w:val="none" w:sz="0" w:space="0" w:color="auto"/>
        <w:right w:val="none" w:sz="0" w:space="0" w:color="auto"/>
      </w:divBdr>
    </w:div>
    <w:div w:id="2094207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UE62yn369h5jdWgEC0cB4YEvg==">CgMxLjA4AHIhMWVZNVZTV2Q2WkhSeEpXajUwYUpRNy0yQXBhcHNiRGdn</go:docsCustomData>
</go:gDocsCustomXmlDataStorage>
</file>

<file path=customXml/itemProps1.xml><?xml version="1.0" encoding="utf-8"?>
<ds:datastoreItem xmlns:ds="http://schemas.openxmlformats.org/officeDocument/2006/customXml" ds:itemID="{4B22E211-DA6F-43CB-80D1-DEF2D9CA596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7535</Words>
  <Characters>42954</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Darshan Chandramowli</cp:lastModifiedBy>
  <cp:revision>31</cp:revision>
  <dcterms:created xsi:type="dcterms:W3CDTF">2026-07-20T06:31:00Z</dcterms:created>
  <dcterms:modified xsi:type="dcterms:W3CDTF">2026-08-06T14:13:00Z</dcterms:modified>
</cp:coreProperties>
</file>