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77777777" w:rsidR="00F65544" w:rsidRDefault="00000000">
      <w:pPr>
        <w:ind w:firstLine="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41BB7DE3" w14:textId="77777777" w:rsidR="00F65544" w:rsidRDefault="00F65544"/>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have gathered evidence for what I would like to call the “law of uphill analysis and downhill invention.” What I mean is this</w:t>
      </w:r>
      <w:proofErr w:type="gramStart"/>
      <w:r>
        <w:rPr>
          <w:rFonts w:ascii="Times New Roman" w:eastAsia="Times New Roman" w:hAnsi="Times New Roman" w:cs="Times New Roman"/>
          <w:sz w:val="24"/>
          <w:szCs w:val="24"/>
        </w:rPr>
        <w:t>. . . .</w:t>
      </w:r>
      <w:proofErr w:type="gramEnd"/>
      <w:r>
        <w:rPr>
          <w:rFonts w:ascii="Times New Roman" w:eastAsia="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explain that behavior.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As the figure shows, a typical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It turns out that this is all that is needed to describe the behavior of </w:t>
      </w:r>
      <w:r>
        <w:rPr>
          <w:rFonts w:ascii="Times New Roman" w:eastAsia="Times New Roman" w:hAnsi="Times New Roman" w:cs="Times New Roman"/>
          <w:i/>
          <w:iCs/>
          <w:sz w:val="24"/>
          <w:szCs w:val="24"/>
        </w:rPr>
        <w:t xml:space="preserve">any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that is,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vehicle’s sensorimotor connections and physical distance from the </w:t>
      </w:r>
      <w:r>
        <w:rPr>
          <w:rFonts w:ascii="Times New Roman" w:eastAsia="Times New Roman" w:hAnsi="Times New Roman" w:cs="Times New Roman"/>
          <w:sz w:val="24"/>
          <w:szCs w:val="24"/>
        </w:rPr>
        <w:lastRenderedPageBreak/>
        <w:t>nearest external 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 in turn, will move faster than the left one. A consequence of all of this is that the vehicle will turn away from the stimulus. Invoking cowardice to describe its behavior adds nothing to the description.</w:t>
      </w:r>
    </w:p>
    <w:p w14:paraId="0D74D607" w14:textId="1272FBB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Analysis being “more difficult than invention” and induction taking “more time than deduction” capture this difficulty quite nicely.  </w:t>
      </w:r>
    </w:p>
    <w:p w14:paraId="56439000" w14:textId="5F0A42A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One straightforward solution to this problem is to start with a mechanism and then work out its behavioral consequences. Yet this approach is rarely taken 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w:t>
      </w:r>
      <w:r>
        <w:rPr>
          <w:rFonts w:ascii="Times New Roman" w:eastAsia="Times New Roman" w:hAnsi="Times New Roman" w:cs="Times New Roman"/>
          <w:sz w:val="24"/>
          <w:szCs w:val="24"/>
        </w:rPr>
        <w:lastRenderedPageBreak/>
        <w:t xml:space="preserve">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that were designed to evaluate their knowledge about the causal properties of people and objects. I will conclude the chapter with a brief discussion of how computational modeling can help researchers put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dictum—starting with a candidate mechanism and then evaluating the behaviors it produces—into practice.  </w:t>
      </w:r>
    </w:p>
    <w:p w14:paraId="659A758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w:t>
      </w:r>
      <w:r>
        <w:rPr>
          <w:rFonts w:ascii="Times New Roman" w:eastAsia="Times New Roman" w:hAnsi="Times New Roman" w:cs="Times New Roman"/>
          <w:sz w:val="24"/>
          <w:szCs w:val="24"/>
        </w:rPr>
        <w:lastRenderedPageBreak/>
        <w:t xml:space="preserve">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1997;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Before it can be argued that infants’ looking responses in a task are underpinned by associative learning, the term itself needs 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made popular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made popular by Ivan Pavlov (Pavlov, 1927) and John Watson (Watson, 1924). Both types share the commonality that, </w:t>
      </w:r>
      <w:r>
        <w:rPr>
          <w:rFonts w:ascii="Times New Roman" w:eastAsia="Times New Roman" w:hAnsi="Times New Roman" w:cs="Times New Roman"/>
          <w:sz w:val="24"/>
          <w:szCs w:val="24"/>
        </w:rPr>
        <w:lastRenderedPageBreak/>
        <w:t xml:space="preserve">for sufficiently strong associations, the presence of one component of the relation will evoke a representation of the other component, even if that other component is absent. </w:t>
      </w:r>
    </w:p>
    <w:p w14:paraId="4A27DC02" w14:textId="1065C9C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-Collier’s mobile conjugate reinforcement paradigm is a paradigmatic example of operant conditioning (e.g.,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-Collier, 1999). Although both types of learning operate throughout development and play key roles in cognitive development, here I focus 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this type of learning from exactly matching the kind of representation-based associative learning that I argue is at play in those studies.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w:t>
      </w:r>
      <w:r>
        <w:rPr>
          <w:rFonts w:ascii="Times New Roman" w:eastAsia="Times New Roman" w:hAnsi="Times New Roman" w:cs="Times New Roman"/>
          <w:sz w:val="24"/>
          <w:szCs w:val="24"/>
        </w:rPr>
        <w:lastRenderedPageBreak/>
        <w:t xml:space="preserve">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 xml:space="preserve">separable if this distinction is not possible. Although it was recognized fairly early on that solving linearly inseparable problems requires the introduction of internal representations (e.g., Minsky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t>
      </w: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xml:space="preserve">,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7CD4DFC2"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One important difference concerns the fact that people can cause each other to act either through direct physical contact or at a distance, in the absence of physical contact. Inanimate objects, by contrast, typically only move when other agents or objects contact them. An example of contact causality would be Lindsey pushing her daughter Alena to prevent her daughter from being struck by a rapidly approaching vehicle. An example of action-at-a-distance causality would be Lindsey exhorting Alena to “watch out” to avoid being struck. Successful </w:t>
      </w:r>
      <w:r>
        <w:rPr>
          <w:rFonts w:ascii="Times New Roman" w:eastAsia="Times New Roman" w:hAnsi="Times New Roman" w:cs="Times New Roman"/>
          <w:sz w:val="24"/>
          <w:szCs w:val="24"/>
        </w:rPr>
        <w:lastRenderedPageBreak/>
        <w:t xml:space="preserve">navigation requires that we appreciate these fundamental differences. For instance, a person who understands that people and objects possess different causal abilities would know that it is appropriate to request a favor from another person but incongruous to request one from a box.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 xml:space="preserve">The Core Knowledge perspective offers one intriguing answer (e.g.,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Some of the initial support for this theory came from a study by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see also Kosugi &amp; Fujita, 2002; Woodward et al., 1993). Seven-month-olds were assigned to one of two conditions: People or Object. Those in the People condition were then 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Object condition. This condition was otherwise identical to the People condition. </w:t>
      </w:r>
      <w:r>
        <w:rPr>
          <w:rFonts w:ascii="Times New Roman" w:eastAsia="Times New Roman" w:hAnsi="Times New Roman" w:cs="Times New Roman"/>
          <w:sz w:val="24"/>
          <w:szCs w:val="24"/>
        </w:rPr>
        <w:lastRenderedPageBreak/>
        <w:t>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found: The longest looking was observed for the No Contact test event in the Inanimate Object condition, but an equivalent amount of looking was observed for both test events in the People condition. This finding, in conjunction with evidence demonstrating that infants between 7 and 10 months of age ostensibly are surprised when an inanimate object is revealed to have caused another object’s earlier motion and rapidly encode the motion characteristics of animates and inanimates (e.g., Markson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2006; Saxe et al., 2005; Saxe et al., 2007), would seem to support the Core Knowledge account. As the opening example made clear, however, such a conclusion may be unwarranted if a simpler mechanism and explanation can account for these findings. </w:t>
      </w:r>
    </w:p>
    <w:p w14:paraId="34985759"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 offered one such explanation in a recent series of papers (Benton, 2023, 2025). The crux of my proposal is that domain-general associative learning, combined with a small number of inherent perceptual biases, such as preferences for faces over non-faces (e.g., Morton &amp; Johnson, 1991) and movement over non-movement (e.g., Slater, 1989; </w:t>
      </w: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et al., 2005), can explain infants’ looking behaviors in these studies. </w:t>
      </w:r>
    </w:p>
    <w:p w14:paraId="535BB418" w14:textId="6C5EB3E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argued that this associative-learning process begins the moment that infants detect—either incidentally or intentionally—that a correlation exists between certain salient low-level features (e.g., elongated appendage-like extensions [e.g., adult-defined legs or arms]) and the surface-based kinematics that characterize different causal actions (e.g., action-at-a-distance causality and contact causality). This naming convention reflects my assumption that infants represent these features and actions in purely perceptual terms. In terms of why infants might notice and then encode this link in the first place, I argued that it is due to the fact that some perceptual features </w:t>
      </w:r>
      <w:proofErr w:type="gramStart"/>
      <w:r>
        <w:rPr>
          <w:rFonts w:ascii="Times New Roman" w:eastAsia="Times New Roman" w:hAnsi="Times New Roman" w:cs="Times New Roman"/>
          <w:sz w:val="24"/>
          <w:szCs w:val="24"/>
        </w:rPr>
        <w:t>covary</w:t>
      </w:r>
      <w:proofErr w:type="gramEnd"/>
      <w:r>
        <w:rPr>
          <w:rFonts w:ascii="Times New Roman" w:eastAsia="Times New Roman" w:hAnsi="Times New Roman" w:cs="Times New Roman"/>
          <w:sz w:val="24"/>
          <w:szCs w:val="24"/>
        </w:rPr>
        <w:t xml:space="preserve"> regularly with the kinematics of different actions. For example, infants may learn that entities with appendage-like, hinged extensions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entities that possess similar extensions but move following direct contact with those same entities on other occasions. </w:t>
      </w:r>
    </w:p>
    <w:p w14:paraId="0018D07E" w14:textId="32B6FC4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Infants may be attuned to this relation in the first place because of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(legs for an adult) tend to be present during these movement events. Consequently, a nascent link may be established between these appendages and both actions’ kinematics. At the same time, because objects largely only move when contacted, a third nascent association will be established between things with smooth </w:t>
      </w:r>
      <w:r>
        <w:rPr>
          <w:rFonts w:ascii="Times New Roman" w:eastAsia="Times New Roman" w:hAnsi="Times New Roman" w:cs="Times New Roman"/>
          <w:sz w:val="24"/>
          <w:szCs w:val="24"/>
        </w:rPr>
        <w:lastRenderedPageBreak/>
        <w:t xml:space="preserve">rectilinear edges (objects for an adult) and motion following direct, physical contact (contact causality for an adult). 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52D58E9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it turns out that this is all that is needed to explain infants’ looking behaviors in studies that evaluate what, if anything, they know about people and object causal action; core knowledge systems are not necessary. Consider the Inanimate Object condition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I instantiated it in a connectionist computational model. These models—much like the human </w:t>
      </w:r>
      <w:r>
        <w:rPr>
          <w:rFonts w:ascii="Times New Roman" w:eastAsia="Times New Roman" w:hAnsi="Times New Roman" w:cs="Times New Roman"/>
          <w:sz w:val="24"/>
          <w:szCs w:val="24"/>
        </w:rPr>
        <w:lastRenderedPageBreak/>
        <w:t xml:space="preserve">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 xml:space="preserve">developmental (Benton, 2022, 2023, 2025; Benton et al., 2024; Mareschal &amp; Thomas, 2007;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5D417F9" wp14:editId="64A8A2D1">
            <wp:extent cx="5943600" cy="363347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3633470"/>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2BAC93BC"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different kinds of action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At the same time, the model had to predict the location of each person or object at the next moment in time based on their position at the current moment. Thus, if an entity was located </w:t>
      </w:r>
      <w:r>
        <w:rPr>
          <w:rFonts w:ascii="Times New Roman" w:eastAsia="Times New Roman" w:hAnsi="Times New Roman" w:cs="Times New Roman"/>
          <w:sz w:val="24"/>
          <w:szCs w:val="24"/>
        </w:rPr>
        <w:lastRenderedPageBreak/>
        <w:t>at 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 “middle” point of the motion group when the former stopped and the latter began moving. The two entities were separated by one position when one </w:t>
      </w:r>
      <w:proofErr w:type="gramStart"/>
      <w:r>
        <w:rPr>
          <w:rFonts w:ascii="Times New Roman" w:eastAsia="Times New Roman" w:hAnsi="Times New Roman" w:cs="Times New Roman"/>
          <w:sz w:val="24"/>
          <w:szCs w:val="24"/>
        </w:rPr>
        <w:t>stopped</w:t>
      </w:r>
      <w:proofErr w:type="gramEnd"/>
      <w:r>
        <w:rPr>
          <w:rFonts w:ascii="Times New Roman" w:eastAsia="Times New Roman" w:hAnsi="Times New Roman" w:cs="Times New Roman"/>
          <w:sz w:val="24"/>
          <w:szCs w:val="24"/>
        </w:rPr>
        <w:t xml:space="preserve">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To minimize the discrepancy between the actual state of the world at a given moment in time and the network’s prediction of it, the backpropagation algorithm gradually adjusted the connection weights throughout the network. These adjustments also allowed the network to acquire the requisite internal representations.  </w:t>
      </w:r>
    </w:p>
    <w:p w14:paraId="3605E62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(1995)—were assigned either to the Inanimate Object condition or to the People condition. Networks saw a different set of people and objects during this phase than those seen in </w:t>
      </w:r>
      <w:r>
        <w:rPr>
          <w:rFonts w:ascii="Times New Roman" w:eastAsia="Times New Roman" w:hAnsi="Times New Roman" w:cs="Times New Roman"/>
          <w:sz w:val="24"/>
          <w:szCs w:val="24"/>
        </w:rPr>
        <w:lastRenderedPageBreak/>
        <w:t xml:space="preserve">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associative learning is clearly sufficient. The second is that younger infants should demonstrate a qualitatively different looking pattern than did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How much younger these infants would need to be, of course, remains an open question. </w:t>
      </w:r>
    </w:p>
    <w:p w14:paraId="283A557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simply because they never encountered objects moving on their own in the real world. Infants, by comparison, have probably seen objects move in the absence of an identifiable source of contact, even if such events are less frequent than those in which objects (or agents) </w:t>
      </w:r>
      <w:r>
        <w:rPr>
          <w:rFonts w:ascii="Times New Roman" w:eastAsia="Times New Roman" w:hAnsi="Times New Roman" w:cs="Times New Roman"/>
          <w:sz w:val="24"/>
          <w:szCs w:val="24"/>
        </w:rPr>
        <w:lastRenderedPageBreak/>
        <w:t xml:space="preserve">cause other objects to move through contact. An infant who turns around just seconds after a wind-up toy has been set in motion, for example, would see the toy moving without having witnessed what caused it to begin moving in the first place. I addressed this concern in a subsequent simulation by manipulating how often objects moved on their own versus following contact in the real world. Networks continued to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was because the surface features that distinguished people from objects were specified in advance. Consequently, networks faced a markedly different task from that faced by infants in the real world: To develop robust associations between particular surface features and particular actions, infants must attend to those features in the first place. As I argued at the outset of this section, the features that infants are most likely to attend to are those that are inherently more perceptually salient. I addressed this concern in another simulation in which networks were presented with surface features that differed in their perceptual salience. Although all features occurred equally often with the different actions, the stronger associations nevertheless developed between the salient surface features and the patterns of causal action with which they covaried than between less salient features and those same patterns. In effect, networks identified the relevant features for themselves. </w:t>
      </w:r>
    </w:p>
    <w:p w14:paraId="156C2C5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w:t>
      </w:r>
      <w:r>
        <w:rPr>
          <w:rFonts w:ascii="Times New Roman" w:eastAsia="Times New Roman" w:hAnsi="Times New Roman" w:cs="Times New Roman"/>
          <w:sz w:val="24"/>
          <w:szCs w:val="24"/>
        </w:rPr>
        <w:lastRenderedPageBreak/>
        <w:t xml:space="preserve">from which a beanbag had previously emerged. It also replicated Saxe et al.’s (2007) finding that 7- and 10-month-olds looked longer when a bean bag emerged from behind a screen concealing a toy truck than from behind one concealing a human hand or puppet. Finally, the model reproduced Markson and </w:t>
      </w:r>
      <w:proofErr w:type="spellStart"/>
      <w:r>
        <w:rPr>
          <w:rFonts w:ascii="Times New Roman" w:eastAsia="Times New Roman" w:hAnsi="Times New Roman" w:cs="Times New Roman"/>
          <w:sz w:val="24"/>
          <w:szCs w:val="24"/>
        </w:rPr>
        <w:t>Spelke’s</w:t>
      </w:r>
      <w:proofErr w:type="spellEnd"/>
      <w:r>
        <w:rPr>
          <w:rFonts w:ascii="Times New Roman" w:eastAsia="Times New Roman" w:hAnsi="Times New Roman" w:cs="Times New Roman"/>
          <w:sz w:val="24"/>
          <w:szCs w:val="24"/>
        </w:rPr>
        <w:t xml:space="preserve"> (2006) finding that 7-month-olds looked longer at a previously self-propelled than previously made-to-move toy animal.</w:t>
      </w:r>
    </w:p>
    <w:p w14:paraId="71ED305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show looking patterns similar to those of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exhibit looking patterns more similar to those observed in the original Object condition if they are </w:t>
      </w:r>
      <w:proofErr w:type="gramStart"/>
      <w:r>
        <w:rPr>
          <w:rFonts w:ascii="Times New Roman" w:eastAsia="Times New Roman" w:hAnsi="Times New Roman" w:cs="Times New Roman"/>
          <w:sz w:val="24"/>
          <w:szCs w:val="24"/>
        </w:rPr>
        <w:t>habituated</w:t>
      </w:r>
      <w:proofErr w:type="gramEnd"/>
      <w:r>
        <w:rPr>
          <w:rFonts w:ascii="Times New Roman" w:eastAsia="Times New Roman" w:hAnsi="Times New Roman" w:cs="Times New Roman"/>
          <w:sz w:val="24"/>
          <w:szCs w:val="24"/>
        </w:rPr>
        <w:t xml:space="preserve"> to people that possess object parts (e.g., a person whose legs have been replaced with the base of a cylinder).  </w:t>
      </w:r>
    </w:p>
    <w:p w14:paraId="3364385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Presumably, each of these predictions is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learning—much like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vehicles—may be sufficient to explain infants’ looking behaviors in the corresponding studies. In the same way that the seemingly intelligent and autonomous behaviors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Putting </w:t>
      </w:r>
      <w:proofErr w:type="spellStart"/>
      <w:r>
        <w:rPr>
          <w:rFonts w:ascii="Times New Roman" w:eastAsia="Times New Roman" w:hAnsi="Times New Roman" w:cs="Times New Roman"/>
          <w:b/>
          <w:bCs/>
          <w:sz w:val="24"/>
          <w:szCs w:val="24"/>
        </w:rPr>
        <w:t>Braitenberg’s</w:t>
      </w:r>
      <w:proofErr w:type="spellEnd"/>
      <w:r>
        <w:rPr>
          <w:rFonts w:ascii="Times New Roman" w:eastAsia="Times New Roman" w:hAnsi="Times New Roman" w:cs="Times New Roman"/>
          <w:b/>
          <w:bCs/>
          <w:sz w:val="24"/>
          <w:szCs w:val="24"/>
        </w:rPr>
        <w:t xml:space="preserve"> deductive dictum into practice through computational modeling</w:t>
      </w:r>
    </w:p>
    <w:p w14:paraId="6DEB1164"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proofErr w:type="gramStart"/>
      <w:r>
        <w:rPr>
          <w:rFonts w:ascii="Times New Roman" w:eastAsia="Times New Roman" w:hAnsi="Times New Roman" w:cs="Times New Roman"/>
          <w:sz w:val="24"/>
          <w:szCs w:val="24"/>
        </w:rPr>
        <w:t>mechanism</w:t>
      </w:r>
      <w:proofErr w:type="gramEnd"/>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w:t>
      </w:r>
      <w:proofErr w:type="spellStart"/>
      <w:r>
        <w:rPr>
          <w:rFonts w:ascii="Times New Roman" w:eastAsia="Times New Roman" w:hAnsi="Times New Roman" w:cs="Times New Roman"/>
          <w:sz w:val="24"/>
          <w:szCs w:val="24"/>
        </w:rPr>
        <w:t>underconstrained</w:t>
      </w:r>
      <w:proofErr w:type="spellEnd"/>
      <w:r>
        <w:rPr>
          <w:rFonts w:ascii="Times New Roman" w:eastAsia="Times New Roman" w:hAnsi="Times New Roman" w:cs="Times New Roman"/>
          <w:sz w:val="24"/>
          <w:szCs w:val="24"/>
        </w:rPr>
        <w:t xml:space="preserve"> by behavior. The puzzle, then, is this: How can we identify the mechanisms that give rise to behavior if behavior alone cannot tell us what the mechanisms are? </w:t>
      </w:r>
    </w:p>
    <w:p w14:paraId="6E0728C7"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w:t>
      </w:r>
      <w:r>
        <w:rPr>
          <w:rFonts w:ascii="Times New Roman" w:eastAsia="Times New Roman" w:hAnsi="Times New Roman" w:cs="Times New Roman"/>
          <w:sz w:val="24"/>
          <w:szCs w:val="24"/>
        </w:rPr>
        <w:lastRenderedPageBreak/>
        <w:t xml:space="preserve">behavior in a novel situation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explain infants’ looking behaviors in studies that examined their knowledge about people and object causal action,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w:t>
      </w: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To illustrate, imagine that a child learns, on separate occasions, that a novel machine’s activation and a heart-shaped sticker are each associated with object A. If the child subsequently infers that a novel object that possesses one of those features (say the heart-shaped sticker) is more likely to produce the effect than an otherwise identical object that possesses a different feature, they would be said to have used </w:t>
      </w:r>
      <w:r>
        <w:rPr>
          <w:rFonts w:ascii="Times New Roman" w:eastAsia="Times New Roman" w:hAnsi="Times New Roman" w:cs="Times New Roman"/>
          <w:sz w:val="24"/>
          <w:szCs w:val="24"/>
        </w:rPr>
        <w:lastRenderedPageBreak/>
        <w:t xml:space="preserve">second-order correlation learning to make a causal inference. I showed, both in this study and in others (e.g., Benton et al., 2021; Rakison &amp; Benton, 2019), that children could do precisely this.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it is unresolved whether this is how sensitivity to second-order correlations arises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w:t>
      </w:r>
      <w:r>
        <w:rPr>
          <w:rFonts w:ascii="Times New Roman" w:eastAsia="Times New Roman" w:hAnsi="Times New Roman" w:cs="Times New Roman"/>
          <w:sz w:val="24"/>
          <w:szCs w:val="24"/>
        </w:rPr>
        <w:lastRenderedPageBreak/>
        <w:t>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At the same time, it is ultimately an empirical question whether domain-general mechanisms like associative learning provide a better explanation of this behavior than domain-specific core-knowledge systems. Researchers can gain traction on this question by instantiating their competing verbal theories in computational models, deriving discriminating predictions from those models, and evaluating those predictions in light of infants’ and children’s actual behavior. The status quo of working backward from behavior to mechanism alone will not suffice.</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2DF5872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8">
        <w:r w:rsidR="00F65544">
          <w:rPr>
            <w:rFonts w:ascii="Times New Roman" w:eastAsia="Times New Roman" w:hAnsi="Times New Roman" w:cs="Times New Roman"/>
            <w:color w:val="467886"/>
            <w:sz w:val="24"/>
            <w:szCs w:val="24"/>
            <w:u w:val="single"/>
          </w:rPr>
          <w:t>https://doi.org/10.1037/h0060064</w:t>
        </w:r>
      </w:hyperlink>
    </w:p>
    <w:p w14:paraId="3F4E533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Adolph, K. E., &amp; Joh, A. S. (2009). Multiple learning mechanisms in the development of action.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172-207.</w:t>
      </w:r>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9">
        <w:r w:rsidR="00F65544">
          <w:rPr>
            <w:rFonts w:ascii="Times New Roman" w:eastAsia="Times New Roman" w:hAnsi="Times New Roman" w:cs="Times New Roman"/>
            <w:color w:val="467886"/>
            <w:sz w:val="24"/>
            <w:szCs w:val="24"/>
            <w:u w:val="single"/>
          </w:rPr>
          <w:t>https://doi.org/10.1016/j.dr.2022.101034</w:t>
        </w:r>
      </w:hyperlink>
    </w:p>
    <w:p w14:paraId="7E4F5F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But what is the mechanism?’: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0">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1">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2">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3">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4">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5">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6">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7">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8">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19">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0">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1">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2">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37D9D1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Johnson, S. P. (2009). Developmental origins of object perception.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47-65.</w:t>
      </w:r>
    </w:p>
    <w:p w14:paraId="3A4431F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Kosugi, D., &amp; Fujita, K. (2002). How do 8-month-old infants recognize causality in object motion and that in human action? 1.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3">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4">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5">
        <w:r w:rsidR="00F65544">
          <w:rPr>
            <w:rFonts w:ascii="Times New Roman" w:eastAsia="Times New Roman" w:hAnsi="Times New Roman" w:cs="Times New Roman"/>
            <w:color w:val="467886"/>
            <w:sz w:val="24"/>
            <w:szCs w:val="24"/>
            <w:u w:val="single"/>
          </w:rPr>
          <w:t>https://doi.org/10.1037/0012-1649.36.5.635</w:t>
        </w:r>
      </w:hyperlink>
    </w:p>
    <w:p w14:paraId="0B609108"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6">
        <w:r w:rsidR="00F65544">
          <w:rPr>
            <w:rFonts w:ascii="Times New Roman" w:eastAsia="Times New Roman" w:hAnsi="Times New Roman" w:cs="Times New Roman"/>
            <w:color w:val="467886"/>
            <w:sz w:val="24"/>
            <w:szCs w:val="24"/>
            <w:u w:val="single"/>
          </w:rPr>
          <w:t>https://doi.org/10.1002/wcs.67</w:t>
        </w:r>
      </w:hyperlink>
    </w:p>
    <w:p w14:paraId="12A89C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Markson, L.,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(2006). Infants’ rapid learning about self-Propelled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7">
        <w:r w:rsidR="00F65544">
          <w:rPr>
            <w:rFonts w:ascii="Times New Roman" w:eastAsia="Times New Roman" w:hAnsi="Times New Roman" w:cs="Times New Roman"/>
            <w:color w:val="467886"/>
            <w:sz w:val="24"/>
            <w:szCs w:val="24"/>
            <w:u w:val="single"/>
          </w:rPr>
          <w:t>https://doi.org/10.1207/s15327078in0901_3</w:t>
        </w:r>
      </w:hyperlink>
    </w:p>
    <w:p w14:paraId="699517F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28">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29">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Mermier, J., </w:t>
      </w:r>
      <w:proofErr w:type="spellStart"/>
      <w:r>
        <w:rPr>
          <w:rFonts w:ascii="Times New Roman" w:eastAsia="Times New Roman" w:hAnsi="Times New Roman" w:cs="Times New Roman"/>
          <w:sz w:val="24"/>
          <w:szCs w:val="24"/>
        </w:rPr>
        <w:t>Quadrelli</w:t>
      </w:r>
      <w:proofErr w:type="spellEnd"/>
      <w:r>
        <w:rPr>
          <w:rFonts w:ascii="Times New Roman" w:eastAsia="Times New Roman" w:hAnsi="Times New Roman" w:cs="Times New Roman"/>
          <w:sz w:val="24"/>
          <w:szCs w:val="24"/>
        </w:rPr>
        <w:t xml:space="preserve">, E., Turati, C., &amp; </w:t>
      </w:r>
      <w:proofErr w:type="spellStart"/>
      <w:r>
        <w:rPr>
          <w:rFonts w:ascii="Times New Roman" w:eastAsia="Times New Roman" w:hAnsi="Times New Roman" w:cs="Times New Roman"/>
          <w:sz w:val="24"/>
          <w:szCs w:val="24"/>
        </w:rPr>
        <w:t>Bulf</w:t>
      </w:r>
      <w:proofErr w:type="spellEnd"/>
      <w:r>
        <w:rPr>
          <w:rFonts w:ascii="Times New Roman" w:eastAsia="Times New Roman" w:hAnsi="Times New Roman" w:cs="Times New Roman"/>
          <w:sz w:val="24"/>
          <w:szCs w:val="24"/>
        </w:rPr>
        <w:t xml:space="preserve">,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0">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Minsky, M.,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xml:space="preserve">, S. (1969). </w:t>
      </w:r>
      <w:proofErr w:type="spellStart"/>
      <w:r>
        <w:rPr>
          <w:rFonts w:ascii="Times New Roman" w:eastAsia="Times New Roman" w:hAnsi="Times New Roman" w:cs="Times New Roman"/>
          <w:sz w:val="24"/>
          <w:szCs w:val="24"/>
        </w:rPr>
        <w:t>Perceptrons</w:t>
      </w:r>
      <w:proofErr w:type="spellEnd"/>
      <w:r>
        <w:rPr>
          <w:rFonts w:ascii="Times New Roman" w:eastAsia="Times New Roman" w:hAnsi="Times New Roman" w:cs="Times New Roman"/>
          <w:sz w:val="24"/>
          <w:szCs w:val="24"/>
        </w:rPr>
        <w:t>: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1">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2">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3">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4">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5">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6">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–127. </w:t>
      </w:r>
      <w:hyperlink r:id="rId37">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Rescorla, R. A., &amp; Wagner, A. R. (1972). A theory of </w:t>
      </w:r>
      <w:proofErr w:type="spellStart"/>
      <w:r>
        <w:rPr>
          <w:rFonts w:ascii="Times New Roman" w:eastAsia="Times New Roman" w:hAnsi="Times New Roman" w:cs="Times New Roman"/>
          <w:sz w:val="24"/>
          <w:szCs w:val="24"/>
        </w:rPr>
        <w:t>pavlovian</w:t>
      </w:r>
      <w:proofErr w:type="spellEnd"/>
      <w:r>
        <w:rPr>
          <w:rFonts w:ascii="Times New Roman" w:eastAsia="Times New Roman" w:hAnsi="Times New Roman" w:cs="Times New Roman"/>
          <w:sz w:val="24"/>
          <w:szCs w:val="24"/>
        </w:rPr>
        <w:t xml:space="preserve"> conditioning: Variations in the effectiveness of reinforcement and nonreinforcement. In A. H. Black &amp; W. F. </w:t>
      </w:r>
      <w:proofErr w:type="spellStart"/>
      <w:r>
        <w:rPr>
          <w:rFonts w:ascii="Times New Roman" w:eastAsia="Times New Roman" w:hAnsi="Times New Roman" w:cs="Times New Roman"/>
          <w:sz w:val="24"/>
          <w:szCs w:val="24"/>
        </w:rPr>
        <w:t>Prokasy</w:t>
      </w:r>
      <w:proofErr w:type="spellEnd"/>
      <w:r>
        <w:rPr>
          <w:rFonts w:ascii="Times New Roman" w:eastAsia="Times New Roman" w:hAnsi="Times New Roman" w:cs="Times New Roman"/>
          <w:sz w:val="24"/>
          <w:szCs w:val="24"/>
        </w:rPr>
        <w:t xml:space="preserve">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38">
        <w:r w:rsidR="00F65544">
          <w:rPr>
            <w:rFonts w:ascii="Times New Roman" w:eastAsia="Times New Roman" w:hAnsi="Times New Roman" w:cs="Times New Roman"/>
            <w:color w:val="467886"/>
            <w:sz w:val="24"/>
            <w:szCs w:val="24"/>
            <w:u w:val="single"/>
          </w:rPr>
          <w:t>https://doi.org/10.1111/1467-8721.00019</w:t>
        </w:r>
      </w:hyperlink>
    </w:p>
    <w:p w14:paraId="5DD56D9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Vol. 1. Foundations (pp. 318–362).</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39">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w:t>
      </w:r>
      <w:proofErr w:type="spellStart"/>
      <w:r>
        <w:rPr>
          <w:rFonts w:ascii="Times New Roman" w:eastAsia="Times New Roman" w:hAnsi="Times New Roman" w:cs="Times New Roman"/>
          <w:sz w:val="24"/>
          <w:szCs w:val="24"/>
        </w:rPr>
        <w:t>Tzelnic</w:t>
      </w:r>
      <w:proofErr w:type="spellEnd"/>
      <w:r>
        <w:rPr>
          <w:rFonts w:ascii="Times New Roman" w:eastAsia="Times New Roman" w:hAnsi="Times New Roman" w:cs="Times New Roman"/>
          <w:sz w:val="24"/>
          <w:szCs w:val="24"/>
        </w:rPr>
        <w:t xml:space="preserve">, T., &amp; Carey, S. (2007). Knowing who </w:t>
      </w:r>
      <w:proofErr w:type="spellStart"/>
      <w:r>
        <w:rPr>
          <w:rFonts w:ascii="Times New Roman" w:eastAsia="Times New Roman" w:hAnsi="Times New Roman" w:cs="Times New Roman"/>
          <w:sz w:val="24"/>
          <w:szCs w:val="24"/>
        </w:rPr>
        <w:t>dunnit</w:t>
      </w:r>
      <w:proofErr w:type="spellEnd"/>
      <w:r>
        <w:rPr>
          <w:rFonts w:ascii="Times New Roman" w:eastAsia="Times New Roman" w:hAnsi="Times New Roman" w:cs="Times New Roman"/>
          <w:sz w:val="24"/>
          <w:szCs w:val="24"/>
        </w:rPr>
        <w:t xml:space="preserve">: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0">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1">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2">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3">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w:t>
      </w:r>
      <w:proofErr w:type="spellStart"/>
      <w:r>
        <w:rPr>
          <w:rFonts w:ascii="Times New Roman" w:eastAsia="Times New Roman" w:hAnsi="Times New Roman" w:cs="Times New Roman"/>
          <w:sz w:val="24"/>
          <w:szCs w:val="24"/>
        </w:rPr>
        <w:t>oedipus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4">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G., </w:t>
      </w:r>
      <w:proofErr w:type="spellStart"/>
      <w:r>
        <w:rPr>
          <w:rFonts w:ascii="Times New Roman" w:eastAsia="Times New Roman" w:hAnsi="Times New Roman" w:cs="Times New Roman"/>
          <w:sz w:val="24"/>
          <w:szCs w:val="24"/>
        </w:rPr>
        <w:t>Regolin</w:t>
      </w:r>
      <w:proofErr w:type="spellEnd"/>
      <w:r>
        <w:rPr>
          <w:rFonts w:ascii="Times New Roman" w:eastAsia="Times New Roman" w:hAnsi="Times New Roman" w:cs="Times New Roman"/>
          <w:sz w:val="24"/>
          <w:szCs w:val="24"/>
        </w:rPr>
        <w:t xml:space="preserve">, L., &amp; </w:t>
      </w:r>
      <w:proofErr w:type="spellStart"/>
      <w:r>
        <w:rPr>
          <w:rFonts w:ascii="Times New Roman" w:eastAsia="Times New Roman" w:hAnsi="Times New Roman" w:cs="Times New Roman"/>
          <w:sz w:val="24"/>
          <w:szCs w:val="24"/>
        </w:rPr>
        <w:t>Marconato</w:t>
      </w:r>
      <w:proofErr w:type="spellEnd"/>
      <w:r>
        <w:rPr>
          <w:rFonts w:ascii="Times New Roman" w:eastAsia="Times New Roman" w:hAnsi="Times New Roman" w:cs="Times New Roman"/>
          <w:sz w:val="24"/>
          <w:szCs w:val="24"/>
        </w:rPr>
        <w:t xml:space="preserve">, F. (2005). Visually inexperienced chicks exhibit spontaneous preference for biological motion patterns. </w:t>
      </w:r>
      <w:proofErr w:type="spellStart"/>
      <w:r>
        <w:rPr>
          <w:rFonts w:ascii="Times New Roman" w:eastAsia="Times New Roman" w:hAnsi="Times New Roman" w:cs="Times New Roman"/>
          <w:i/>
          <w:iCs/>
          <w:sz w:val="24"/>
          <w:szCs w:val="24"/>
        </w:rPr>
        <w:t>PLoS</w:t>
      </w:r>
      <w:proofErr w:type="spellEnd"/>
      <w:r>
        <w:rPr>
          <w:rFonts w:ascii="Times New Roman" w:eastAsia="Times New Roman" w:hAnsi="Times New Roman" w:cs="Times New Roman"/>
          <w:i/>
          <w:iCs/>
          <w:sz w:val="24"/>
          <w:szCs w:val="24"/>
        </w:rPr>
        <w:t xml:space="preserve">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5">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6">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7">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48">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49">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0">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1">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047EE" w14:textId="77777777" w:rsidR="0038619F" w:rsidRDefault="0038619F">
      <w:pPr>
        <w:spacing w:line="240" w:lineRule="auto"/>
      </w:pPr>
      <w:r>
        <w:separator/>
      </w:r>
    </w:p>
  </w:endnote>
  <w:endnote w:type="continuationSeparator" w:id="0">
    <w:p w14:paraId="52D8715D" w14:textId="77777777" w:rsidR="0038619F" w:rsidRDefault="003861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3551D61-1F4B-4A6A-81FF-26D576326F38}"/>
    <w:embedBold r:id="rId2" w:fontKey="{6AEE021E-3164-4B63-B612-5FC6A9FC675B}"/>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8D721DFE-7CE4-419C-A85C-CF11AB886873}"/>
    <w:embedItalic r:id="rId4" w:fontKey="{CADC9F3D-07FF-4FF8-B34A-D0C88939F32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264B8AEB-526F-4C87-9F73-2E4A0D0EDEA8}"/>
    <w:embedItalic r:id="rId6" w:fontKey="{808476D5-509B-485B-A91F-04F19D2D1368}"/>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3E9CE8A2-B4C0-4312-8270-387B494FAB5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5A5F3" w14:textId="77777777" w:rsidR="0038619F" w:rsidRDefault="0038619F">
      <w:pPr>
        <w:spacing w:line="240" w:lineRule="auto"/>
      </w:pPr>
      <w:r>
        <w:separator/>
      </w:r>
    </w:p>
  </w:footnote>
  <w:footnote w:type="continuationSeparator" w:id="0">
    <w:p w14:paraId="41167297" w14:textId="77777777" w:rsidR="0038619F" w:rsidRDefault="003861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B7388"/>
    <w:rsid w:val="002432E1"/>
    <w:rsid w:val="0038619F"/>
    <w:rsid w:val="003A35A2"/>
    <w:rsid w:val="004D4543"/>
    <w:rsid w:val="00643333"/>
    <w:rsid w:val="008074D4"/>
    <w:rsid w:val="008972CE"/>
    <w:rsid w:val="009A4812"/>
    <w:rsid w:val="00A31393"/>
    <w:rsid w:val="00A34AC9"/>
    <w:rsid w:val="00A3763F"/>
    <w:rsid w:val="00AD482C"/>
    <w:rsid w:val="00B26488"/>
    <w:rsid w:val="00C42618"/>
    <w:rsid w:val="00DB2EDD"/>
    <w:rsid w:val="00F65544"/>
    <w:rsid w:val="00F837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29</Pages>
  <Words>8040</Words>
  <Characters>45834</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13</cp:revision>
  <dcterms:created xsi:type="dcterms:W3CDTF">2026-10-12T14:47:00Z</dcterms:created>
  <dcterms:modified xsi:type="dcterms:W3CDTF">2026-10-12T15:07:00Z</dcterms:modified>
</cp:coreProperties>
</file>