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5F85" w14:textId="77777777" w:rsidR="00F65544" w:rsidRDefault="00F65544">
      <w:pPr>
        <w:rPr>
          <w:rFonts w:ascii="Times New Roman" w:eastAsia="Times New Roman" w:hAnsi="Times New Roman" w:cs="Times New Roman"/>
          <w:sz w:val="24"/>
          <w:szCs w:val="24"/>
        </w:rPr>
      </w:pPr>
    </w:p>
    <w:p w14:paraId="512E2012" w14:textId="77777777" w:rsidR="00F65544" w:rsidRDefault="00F65544">
      <w:pPr>
        <w:rPr>
          <w:rFonts w:ascii="Times New Roman" w:eastAsia="Times New Roman" w:hAnsi="Times New Roman" w:cs="Times New Roman"/>
          <w:sz w:val="24"/>
          <w:szCs w:val="24"/>
        </w:rPr>
      </w:pPr>
    </w:p>
    <w:p w14:paraId="71913990" w14:textId="77777777" w:rsidR="00F65544" w:rsidRDefault="00F65544">
      <w:pPr>
        <w:rPr>
          <w:rFonts w:ascii="Times New Roman" w:eastAsia="Times New Roman" w:hAnsi="Times New Roman" w:cs="Times New Roman"/>
          <w:sz w:val="24"/>
          <w:szCs w:val="24"/>
        </w:rPr>
      </w:pPr>
    </w:p>
    <w:p w14:paraId="6B5A4025" w14:textId="77777777" w:rsidR="00F65544" w:rsidRDefault="00F65544">
      <w:pPr>
        <w:rPr>
          <w:rFonts w:ascii="Times New Roman" w:eastAsia="Times New Roman" w:hAnsi="Times New Roman" w:cs="Times New Roman"/>
          <w:sz w:val="24"/>
          <w:szCs w:val="24"/>
        </w:rPr>
      </w:pPr>
    </w:p>
    <w:p w14:paraId="005BCEF2" w14:textId="77777777" w:rsidR="00F65544" w:rsidRDefault="00F65544">
      <w:pPr>
        <w:jc w:val="center"/>
        <w:rPr>
          <w:rFonts w:ascii="Times New Roman" w:eastAsia="Times New Roman" w:hAnsi="Times New Roman" w:cs="Times New Roman"/>
          <w:sz w:val="24"/>
          <w:szCs w:val="24"/>
        </w:rPr>
      </w:pPr>
    </w:p>
    <w:p w14:paraId="5D1EC4FF"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Associative learning: What it is and what it can explain</w:t>
      </w:r>
    </w:p>
    <w:p w14:paraId="0078557D"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Deon T. Benton</w:t>
      </w:r>
    </w:p>
    <w:p w14:paraId="23745F06"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Psychology and Human Development, Vanderbilt University</w:t>
      </w:r>
    </w:p>
    <w:p w14:paraId="426E2F04" w14:textId="77777777" w:rsidR="00F65544" w:rsidRDefault="00F65544">
      <w:pPr>
        <w:rPr>
          <w:rFonts w:ascii="Times New Roman" w:eastAsia="Times New Roman" w:hAnsi="Times New Roman" w:cs="Times New Roman"/>
          <w:sz w:val="24"/>
          <w:szCs w:val="24"/>
        </w:rPr>
      </w:pPr>
    </w:p>
    <w:p w14:paraId="180E7686" w14:textId="77777777" w:rsidR="00F65544" w:rsidRDefault="00F65544">
      <w:pPr>
        <w:rPr>
          <w:rFonts w:ascii="Times New Roman" w:eastAsia="Times New Roman" w:hAnsi="Times New Roman" w:cs="Times New Roman"/>
          <w:sz w:val="24"/>
          <w:szCs w:val="24"/>
        </w:rPr>
      </w:pPr>
    </w:p>
    <w:p w14:paraId="7DE5A82D" w14:textId="77777777" w:rsidR="00F65544" w:rsidRDefault="00F65544">
      <w:pPr>
        <w:rPr>
          <w:rFonts w:ascii="Times New Roman" w:eastAsia="Times New Roman" w:hAnsi="Times New Roman" w:cs="Times New Roman"/>
          <w:sz w:val="24"/>
          <w:szCs w:val="24"/>
        </w:rPr>
      </w:pPr>
    </w:p>
    <w:p w14:paraId="6E71BAB5" w14:textId="77777777" w:rsidR="00F65544" w:rsidRDefault="00F65544">
      <w:pPr>
        <w:rPr>
          <w:rFonts w:ascii="Times New Roman" w:eastAsia="Times New Roman" w:hAnsi="Times New Roman" w:cs="Times New Roman"/>
          <w:sz w:val="24"/>
          <w:szCs w:val="24"/>
        </w:rPr>
      </w:pPr>
    </w:p>
    <w:p w14:paraId="1C14B568" w14:textId="77777777" w:rsidR="00F65544" w:rsidRDefault="00F65544">
      <w:pPr>
        <w:rPr>
          <w:rFonts w:ascii="Times New Roman" w:eastAsia="Times New Roman" w:hAnsi="Times New Roman" w:cs="Times New Roman"/>
          <w:sz w:val="24"/>
          <w:szCs w:val="24"/>
        </w:rPr>
      </w:pPr>
    </w:p>
    <w:p w14:paraId="61800FCD" w14:textId="77777777" w:rsidR="00F65544" w:rsidRDefault="00F65544">
      <w:pPr>
        <w:rPr>
          <w:rFonts w:ascii="Times New Roman" w:eastAsia="Times New Roman" w:hAnsi="Times New Roman" w:cs="Times New Roman"/>
          <w:sz w:val="24"/>
          <w:szCs w:val="24"/>
        </w:rPr>
      </w:pPr>
    </w:p>
    <w:p w14:paraId="08EB0E15" w14:textId="77777777" w:rsidR="00F65544" w:rsidRDefault="00F65544">
      <w:pPr>
        <w:rPr>
          <w:rFonts w:ascii="Times New Roman" w:eastAsia="Times New Roman" w:hAnsi="Times New Roman" w:cs="Times New Roman"/>
          <w:sz w:val="24"/>
          <w:szCs w:val="24"/>
        </w:rPr>
      </w:pPr>
    </w:p>
    <w:p w14:paraId="3C87F09B"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46262DE5" w14:textId="77777777" w:rsidR="00F65544" w:rsidRDefault="00000000">
      <w:pPr>
        <w:ind w:firstLine="0"/>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Address correspondence to Deon T. Benton (</w:t>
      </w:r>
      <w:r>
        <w:rPr>
          <w:rFonts w:ascii="Times New Roman" w:eastAsia="Times New Roman" w:hAnsi="Times New Roman" w:cs="Times New Roman"/>
          <w:sz w:val="24"/>
          <w:szCs w:val="24"/>
        </w:rPr>
        <w:t>deon.benton@vanderbilt.edu),</w:t>
      </w:r>
      <w:r>
        <w:rPr>
          <w:rFonts w:ascii="Times New Roman" w:eastAsia="Times New Roman" w:hAnsi="Times New Roman" w:cs="Times New Roman"/>
          <w:color w:val="000000"/>
          <w:sz w:val="24"/>
          <w:szCs w:val="24"/>
        </w:rPr>
        <w:t xml:space="preserve"> Department of Psychology and Human Development, Vanderbilt University, Peabody College, 230 Appleton Place #552, Nashville, TN 37235.</w:t>
      </w:r>
    </w:p>
    <w:p w14:paraId="41BB7DE3" w14:textId="77777777" w:rsidR="00F65544" w:rsidRDefault="00F65544"/>
    <w:p w14:paraId="50D9432F" w14:textId="77777777" w:rsidR="00F65544" w:rsidRDefault="00000000">
      <w:pPr>
        <w:spacing w:after="160"/>
        <w:ind w:firstLine="0"/>
      </w:pPr>
      <w:r>
        <w:br w:type="page"/>
      </w:r>
    </w:p>
    <w:p w14:paraId="39F3341F" w14:textId="77777777" w:rsidR="00F65544" w:rsidRDefault="00000000">
      <w:pPr>
        <w:tabs>
          <w:tab w:val="left" w:pos="720"/>
        </w:tabs>
        <w:ind w:left="72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We have gathered evidence for what I would like to call the “law of uphill analysis and downhill invention.” What I mean is this</w:t>
      </w:r>
      <w:proofErr w:type="gramStart"/>
      <w:r>
        <w:rPr>
          <w:rFonts w:ascii="Times New Roman" w:eastAsia="Times New Roman" w:hAnsi="Times New Roman" w:cs="Times New Roman"/>
          <w:sz w:val="24"/>
          <w:szCs w:val="24"/>
        </w:rPr>
        <w:t>. . . .</w:t>
      </w:r>
      <w:proofErr w:type="gramEnd"/>
      <w:r>
        <w:rPr>
          <w:rFonts w:ascii="Times New Roman" w:eastAsia="Times New Roman" w:hAnsi="Times New Roman" w:cs="Times New Roman"/>
          <w:sz w:val="24"/>
          <w:szCs w:val="24"/>
        </w:rPr>
        <w:t xml:space="preserve"> Analysis is more difficult than invention in the sense in which, generally, induction takes more time to perform than deduction: in induction one has to search for the way, whereas in deduction one follows a straightforward path.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1986, p. 20) </w:t>
      </w:r>
    </w:p>
    <w:p w14:paraId="42235F21" w14:textId="77777777" w:rsidR="00F65544" w:rsidRDefault="00F65544">
      <w:pPr>
        <w:tabs>
          <w:tab w:val="left" w:pos="720"/>
        </w:tabs>
        <w:ind w:firstLine="0"/>
        <w:rPr>
          <w:rFonts w:ascii="Times New Roman" w:eastAsia="Times New Roman" w:hAnsi="Times New Roman" w:cs="Times New Roman"/>
          <w:sz w:val="24"/>
          <w:szCs w:val="24"/>
        </w:rPr>
      </w:pPr>
    </w:p>
    <w:p w14:paraId="620554F8" w14:textId="23A6A8E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book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neuroscientist and cyberneticist Valentino Braitenberg describes the behavior of a series of fictional vehicles. Some of them come to rest when they are next to other vehicles. Others accelerate toward vehicles in their vicinity. Still others move away from vehicles in their vicinity. The word “affection” or even “love” might be used to describe the first vehicle’s actions—after all, a desire for physical closeness seems to characterize its behavior. Different words might be used to describe the behavior of the remaining two vehicles. For example, “aggression” might be used to describe the second vehicle’s behavior—inflicting harm seems to be its motive. By </w:t>
      </w:r>
      <w:r w:rsidR="00F8377F">
        <w:rPr>
          <w:rFonts w:ascii="Times New Roman" w:eastAsia="Times New Roman" w:hAnsi="Times New Roman" w:cs="Times New Roman"/>
          <w:sz w:val="24"/>
          <w:szCs w:val="24"/>
        </w:rPr>
        <w:t>contrast</w:t>
      </w:r>
      <w:r>
        <w:rPr>
          <w:rFonts w:ascii="Times New Roman" w:eastAsia="Times New Roman" w:hAnsi="Times New Roman" w:cs="Times New Roman"/>
          <w:sz w:val="24"/>
          <w:szCs w:val="24"/>
        </w:rPr>
        <w:t xml:space="preserve">, “cowardice” might be used to describe the third vehicle’s behavior based, in part, on its apparent fear of other vehicles. </w:t>
      </w:r>
      <w:r>
        <w:rPr>
          <w:rFonts w:ascii="Times New Roman" w:eastAsia="Times New Roman" w:hAnsi="Times New Roman" w:cs="Times New Roman"/>
          <w:sz w:val="24"/>
          <w:szCs w:val="24"/>
        </w:rPr>
        <w:tab/>
      </w:r>
    </w:p>
    <w:p w14:paraId="0199A216" w14:textId="6C854EB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terms like “desire,” “want,” and “dread” </w:t>
      </w:r>
      <w:r>
        <w:rPr>
          <w:rFonts w:ascii="Times New Roman" w:eastAsia="Times New Roman" w:hAnsi="Times New Roman" w:cs="Times New Roman"/>
          <w:i/>
          <w:iCs/>
          <w:sz w:val="24"/>
          <w:szCs w:val="24"/>
        </w:rPr>
        <w:t xml:space="preserve">can </w:t>
      </w:r>
      <w:r>
        <w:rPr>
          <w:rFonts w:ascii="Times New Roman" w:eastAsia="Times New Roman" w:hAnsi="Times New Roman" w:cs="Times New Roman"/>
          <w:sz w:val="24"/>
          <w:szCs w:val="24"/>
        </w:rPr>
        <w:t xml:space="preserve">be used to describe each vehicle’s behavior, are they necessary? As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shows throughout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they are not: Simpler mechanisms and processes suffice. To understand why, consider the architecture and core components of one of these vehicles (shown in Figure 1). </w:t>
      </w:r>
    </w:p>
    <w:p w14:paraId="7DEBE05C" w14:textId="77777777" w:rsidR="00F65544" w:rsidRDefault="00F65544">
      <w:pPr>
        <w:tabs>
          <w:tab w:val="left" w:pos="720"/>
        </w:tabs>
        <w:ind w:firstLine="0"/>
        <w:rPr>
          <w:rFonts w:ascii="Times New Roman" w:eastAsia="Times New Roman" w:hAnsi="Times New Roman" w:cs="Times New Roman"/>
          <w:sz w:val="24"/>
          <w:szCs w:val="24"/>
        </w:rPr>
      </w:pPr>
    </w:p>
    <w:p w14:paraId="5D0B165E" w14:textId="77777777" w:rsidR="00F65544" w:rsidRDefault="00F65544">
      <w:pPr>
        <w:tabs>
          <w:tab w:val="left" w:pos="720"/>
        </w:tabs>
        <w:ind w:firstLine="0"/>
        <w:rPr>
          <w:rFonts w:ascii="Times New Roman" w:eastAsia="Times New Roman" w:hAnsi="Times New Roman" w:cs="Times New Roman"/>
          <w:sz w:val="24"/>
          <w:szCs w:val="24"/>
        </w:rPr>
      </w:pPr>
    </w:p>
    <w:p w14:paraId="0D65FD93"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Figure 1</w:t>
      </w:r>
    </w:p>
    <w:p w14:paraId="1CBDB9AF"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Basic architecture of a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w:t>
      </w:r>
    </w:p>
    <w:p w14:paraId="35893AC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10C2961" wp14:editId="1A9C3619">
            <wp:extent cx="4664215" cy="262362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664215" cy="2623621"/>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 xml:space="preserve">Note. </w:t>
      </w:r>
      <w:r>
        <w:rPr>
          <w:rFonts w:ascii="Times New Roman" w:eastAsia="Times New Roman" w:hAnsi="Times New Roman" w:cs="Times New Roman"/>
          <w:sz w:val="24"/>
          <w:szCs w:val="24"/>
        </w:rPr>
        <w:t>The double-tiered arrows correspond to the speed of the engine. Thicker arrows correspond to faster speed; thinner ones correspond to slower speed. The transparent trapezoids correspond to the sensor signals. The dotted arrowheads depict the direction of the vehicle. (A) The first vehicle is approaching the second one. (B) The first vehicle is moving away from the second one.</w:t>
      </w:r>
    </w:p>
    <w:p w14:paraId="6CA0B3B7" w14:textId="77777777" w:rsidR="00F65544" w:rsidRDefault="00F65544">
      <w:pPr>
        <w:tabs>
          <w:tab w:val="left" w:pos="720"/>
        </w:tabs>
        <w:ind w:firstLine="0"/>
        <w:rPr>
          <w:rFonts w:ascii="Times New Roman" w:eastAsia="Times New Roman" w:hAnsi="Times New Roman" w:cs="Times New Roman"/>
          <w:sz w:val="24"/>
          <w:szCs w:val="24"/>
        </w:rPr>
      </w:pPr>
    </w:p>
    <w:p w14:paraId="6C1B61F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As the figure shows, a typical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consists of a body, two motors, and two sensors. The motors—which are located on each side of the body—are connected to sensors that respond to different external stimuli (e.g., light, sound, temperature, or even another vehicle). If the sensors receive increasing amounts of that stimulation and their connections to the motors are positive (i.e., excitatory), then the vehicle will, as shown in the figure, move towards the stimulus. If, however, these connections are negative (i.e., inhibitory), then the vehicle will slow down as it gets closer to the stimulus. </w:t>
      </w:r>
    </w:p>
    <w:p w14:paraId="718B70D7" w14:textId="3547BB5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B10FD2">
        <w:rPr>
          <w:rFonts w:ascii="Times New Roman" w:eastAsia="Times New Roman" w:hAnsi="Times New Roman" w:cs="Times New Roman"/>
          <w:sz w:val="24"/>
          <w:szCs w:val="24"/>
        </w:rPr>
        <w:t>This is</w:t>
      </w:r>
      <w:r>
        <w:rPr>
          <w:rFonts w:ascii="Times New Roman" w:eastAsia="Times New Roman" w:hAnsi="Times New Roman" w:cs="Times New Roman"/>
          <w:sz w:val="24"/>
          <w:szCs w:val="24"/>
        </w:rPr>
        <w:t xml:space="preserve"> all that is needed to describe the behavior of </w:t>
      </w:r>
      <w:r>
        <w:rPr>
          <w:rFonts w:ascii="Times New Roman" w:eastAsia="Times New Roman" w:hAnsi="Times New Roman" w:cs="Times New Roman"/>
          <w:i/>
          <w:iCs/>
          <w:sz w:val="24"/>
          <w:szCs w:val="24"/>
        </w:rPr>
        <w:t xml:space="preserve">any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 that is, a </w:t>
      </w: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vehicle’s sensorimotor connections and physical distance from the nearest external </w:t>
      </w:r>
      <w:r>
        <w:rPr>
          <w:rFonts w:ascii="Times New Roman" w:eastAsia="Times New Roman" w:hAnsi="Times New Roman" w:cs="Times New Roman"/>
          <w:sz w:val="24"/>
          <w:szCs w:val="24"/>
        </w:rPr>
        <w:lastRenderedPageBreak/>
        <w:t>stimulus can fully account for its behavior. A vehicle with the pattern of sensorimotor connectivity depicted in Figure 1, for example, will move along a straight path towards an external stimulus located along its path until, at some point, it overtakes that stimulus, at which point it will begin to slow down as the distance between it and the stimulus increases (Figure 1A). In contrast, if that same stimulus is positioned to one side of the vehicle, it will turn away from the stimulus (Figure 1B). This is because the sensor closest to the offset stimulus receives more stimulation than the sensor further away. The right motor</w:t>
      </w:r>
      <w:r w:rsidR="004174A3">
        <w:rPr>
          <w:rFonts w:ascii="Times New Roman" w:eastAsia="Times New Roman" w:hAnsi="Times New Roman" w:cs="Times New Roman"/>
          <w:sz w:val="24"/>
          <w:szCs w:val="24"/>
        </w:rPr>
        <w:t xml:space="preserve"> will in turn</w:t>
      </w:r>
      <w:r>
        <w:rPr>
          <w:rFonts w:ascii="Times New Roman" w:eastAsia="Times New Roman" w:hAnsi="Times New Roman" w:cs="Times New Roman"/>
          <w:sz w:val="24"/>
          <w:szCs w:val="24"/>
        </w:rPr>
        <w:t xml:space="preserve"> move faster than the left one</w:t>
      </w:r>
      <w:r w:rsidR="004174A3">
        <w:rPr>
          <w:rFonts w:ascii="Times New Roman" w:eastAsia="Times New Roman" w:hAnsi="Times New Roman" w:cs="Times New Roman"/>
          <w:sz w:val="24"/>
          <w:szCs w:val="24"/>
        </w:rPr>
        <w:t xml:space="preserve">, thereby causing </w:t>
      </w:r>
      <w:r>
        <w:rPr>
          <w:rFonts w:ascii="Times New Roman" w:eastAsia="Times New Roman" w:hAnsi="Times New Roman" w:cs="Times New Roman"/>
          <w:sz w:val="24"/>
          <w:szCs w:val="24"/>
        </w:rPr>
        <w:t xml:space="preserve">the vehicle </w:t>
      </w:r>
      <w:r w:rsidR="004174A3">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turn away from the stimulus. Invoking cowardice to describe its behavior adds nothing to the description.</w:t>
      </w:r>
    </w:p>
    <w:p w14:paraId="0D74D607" w14:textId="1272FBB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reveals a deep, but perhaps unintuitive, insight: Behaviors that </w:t>
      </w:r>
      <w:r>
        <w:rPr>
          <w:rFonts w:ascii="Times New Roman" w:eastAsia="Times New Roman" w:hAnsi="Times New Roman" w:cs="Times New Roman"/>
          <w:i/>
          <w:iCs/>
          <w:sz w:val="24"/>
          <w:szCs w:val="24"/>
        </w:rPr>
        <w:t>look</w:t>
      </w:r>
      <w:r>
        <w:rPr>
          <w:rFonts w:ascii="Times New Roman" w:eastAsia="Times New Roman" w:hAnsi="Times New Roman" w:cs="Times New Roman"/>
          <w:sz w:val="24"/>
          <w:szCs w:val="24"/>
        </w:rPr>
        <w:t xml:space="preserve"> like they were generated by sophisticated mechanisms may, instead, be the product of </w:t>
      </w:r>
      <w:r w:rsidR="000B7388">
        <w:rPr>
          <w:rFonts w:ascii="Times New Roman" w:eastAsia="Times New Roman" w:hAnsi="Times New Roman" w:cs="Times New Roman"/>
          <w:sz w:val="24"/>
          <w:szCs w:val="24"/>
        </w:rPr>
        <w:t>much simpler ones</w:t>
      </w:r>
      <w:r>
        <w:rPr>
          <w:rFonts w:ascii="Times New Roman" w:eastAsia="Times New Roman" w:hAnsi="Times New Roman" w:cs="Times New Roman"/>
          <w:sz w:val="24"/>
          <w:szCs w:val="24"/>
        </w:rPr>
        <w:t xml:space="preserve">. This insight can be missed when inferring underlying mechanisms from observed behavior, not least because behavior radically underdetermines the mechanisms that produced it. In other words, because it is always possible that the same behavior is produced by different mechanisms, </w:t>
      </w:r>
      <w:r w:rsidR="00A3763F">
        <w:rPr>
          <w:rFonts w:ascii="Times New Roman" w:eastAsia="Times New Roman" w:hAnsi="Times New Roman" w:cs="Times New Roman"/>
          <w:sz w:val="24"/>
          <w:szCs w:val="24"/>
        </w:rPr>
        <w:t xml:space="preserve">identifying the one </w:t>
      </w:r>
      <w:r w:rsidR="00A3763F">
        <w:rPr>
          <w:rFonts w:ascii="Times New Roman" w:eastAsia="Times New Roman" w:hAnsi="Times New Roman" w:cs="Times New Roman"/>
          <w:i/>
          <w:iCs/>
          <w:sz w:val="24"/>
          <w:szCs w:val="24"/>
        </w:rPr>
        <w:t xml:space="preserve">true </w:t>
      </w:r>
      <w:r w:rsidR="00A3763F">
        <w:rPr>
          <w:rFonts w:ascii="Times New Roman" w:eastAsia="Times New Roman" w:hAnsi="Times New Roman" w:cs="Times New Roman"/>
          <w:sz w:val="24"/>
          <w:szCs w:val="24"/>
        </w:rPr>
        <w:t>generating mechanism may not be possible</w:t>
      </w:r>
      <w:r>
        <w:rPr>
          <w:rFonts w:ascii="Times New Roman" w:eastAsia="Times New Roman" w:hAnsi="Times New Roman" w:cs="Times New Roman"/>
          <w:sz w:val="24"/>
          <w:szCs w:val="24"/>
        </w:rPr>
        <w:t xml:space="preserve"> when working backwards from behavior to mechanism. Analysis being “more difficult than invention” and induction taking “more time than deduction” capture this difficulty quite nicely.  </w:t>
      </w:r>
    </w:p>
    <w:p w14:paraId="56439000" w14:textId="17308780"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One straightforward solution to this problem is to start with a mechanism and then work out its behavioral consequences. Yet this </w:t>
      </w:r>
      <w:r w:rsidR="006845BB">
        <w:rPr>
          <w:rFonts w:ascii="Times New Roman" w:eastAsia="Times New Roman" w:hAnsi="Times New Roman" w:cs="Times New Roman"/>
          <w:sz w:val="24"/>
          <w:szCs w:val="24"/>
        </w:rPr>
        <w:t xml:space="preserve">is a solution that is rarely implemented </w:t>
      </w:r>
      <w:r>
        <w:rPr>
          <w:rFonts w:ascii="Times New Roman" w:eastAsia="Times New Roman" w:hAnsi="Times New Roman" w:cs="Times New Roman"/>
          <w:sz w:val="24"/>
          <w:szCs w:val="24"/>
        </w:rPr>
        <w:t xml:space="preserve">in the human sciences. In the developmental cognitive sciences, for example, </w:t>
      </w:r>
      <w:r w:rsidR="000B7388">
        <w:rPr>
          <w:rFonts w:ascii="Times New Roman" w:eastAsia="Times New Roman" w:hAnsi="Times New Roman" w:cs="Times New Roman"/>
          <w:sz w:val="24"/>
          <w:szCs w:val="24"/>
        </w:rPr>
        <w:t>infancy researchers customarily</w:t>
      </w:r>
      <w:r>
        <w:rPr>
          <w:rFonts w:ascii="Times New Roman" w:eastAsia="Times New Roman" w:hAnsi="Times New Roman" w:cs="Times New Roman"/>
          <w:sz w:val="24"/>
          <w:szCs w:val="24"/>
        </w:rPr>
        <w:t xml:space="preserve"> try to intuit mechanisms from behaviors. This has led researchers to ascribe—wrongly in my view—sophisticated cognitive abilities, abstract knowledge, and specialized mechanisms to developing infants based, in part, on inherently impoverished measures like looking time (Mix, </w:t>
      </w:r>
      <w:r>
        <w:rPr>
          <w:rFonts w:ascii="Times New Roman" w:eastAsia="Times New Roman" w:hAnsi="Times New Roman" w:cs="Times New Roman"/>
          <w:sz w:val="24"/>
          <w:szCs w:val="24"/>
        </w:rPr>
        <w:lastRenderedPageBreak/>
        <w:t xml:space="preserve">2002). In the number domain, for example, some have interpreted 5-month-olds’ tendency to look longer at numerically incongruous outcomes (e.g., </w:t>
      </w:r>
      <m:oMath>
        <m:r>
          <w:rPr>
            <w:rFonts w:ascii="Cambria Math" w:eastAsia="Cambria Math" w:hAnsi="Cambria Math" w:cs="Cambria Math"/>
            <w:sz w:val="24"/>
            <w:szCs w:val="24"/>
          </w:rPr>
          <m:t>1+1=1</m:t>
        </m:r>
      </m:oMath>
      <w:r>
        <w:rPr>
          <w:rFonts w:ascii="Times New Roman" w:eastAsia="Times New Roman" w:hAnsi="Times New Roman" w:cs="Times New Roman"/>
          <w:sz w:val="24"/>
          <w:szCs w:val="24"/>
        </w:rPr>
        <w:t>) than at numerically congruous ones (</w:t>
      </w:r>
      <m:oMath>
        <m:r>
          <w:rPr>
            <w:rFonts w:ascii="Cambria Math" w:eastAsia="Cambria Math" w:hAnsi="Cambria Math" w:cs="Cambria Math"/>
            <w:sz w:val="24"/>
            <w:szCs w:val="24"/>
          </w:rPr>
          <m:t>1+1=2</m:t>
        </m:r>
      </m:oMath>
      <w:r>
        <w:rPr>
          <w:rFonts w:ascii="Times New Roman" w:eastAsia="Times New Roman" w:hAnsi="Times New Roman" w:cs="Times New Roman"/>
          <w:sz w:val="24"/>
          <w:szCs w:val="24"/>
        </w:rPr>
        <w:t xml:space="preserve">; e.g., McCrink &amp; Wynn, 2004; Wynn, 1992) to mean that “humans innately possess the capacity to perform simple arithmetical calculations, which may provide the foundations for the development of further arithmetical knowledge” (Wynn, 1992, p. 750), an ability </w:t>
      </w:r>
      <w:r w:rsidR="002432E1">
        <w:rPr>
          <w:rFonts w:ascii="Times New Roman" w:eastAsia="Times New Roman" w:hAnsi="Times New Roman" w:cs="Times New Roman"/>
          <w:sz w:val="24"/>
          <w:szCs w:val="24"/>
        </w:rPr>
        <w:t>believed to be</w:t>
      </w:r>
      <w:r>
        <w:rPr>
          <w:rFonts w:ascii="Times New Roman" w:eastAsia="Times New Roman" w:hAnsi="Times New Roman" w:cs="Times New Roman"/>
          <w:sz w:val="24"/>
          <w:szCs w:val="24"/>
        </w:rPr>
        <w:t xml:space="preserve"> grounded in an accumulator-like mechanism (e.g., Meck &amp; Church, 1983; Wynn, 1995). Based on converging evidence with cotton-top tamarins, Uller et al. (2001) similarly concluded that “it is likely that these numerical representations are spontaneously available to a variety of primate species and could provide a foundation on which humans’ number sense was constructed over evolution and development” (p. 248). The problem with this conclusion is that there may be other explanations for these putatively precocious findings. Cohen and Marks (2002), for example, showed that simple preferences for familiar stimulus configurations and displays containing more items could explain this looking pattern. </w:t>
      </w:r>
    </w:p>
    <w:p w14:paraId="78F83872" w14:textId="105A048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is a nice illustration of why it is problematic to take an inductive approach to identify underlying mechanisms: it is easy to overlook the possibility that simple operating principles and mechanisms can produce ostensibly complex behaviors. The goal of this chapter is to demonstrate how one such simple mechanism—associative learning—adequately accounts for infants’ looking behaviors in studies designed to evaluate their knowledge about the causal properties of people and objects. I will conclude the chapter with a brief discussion of how computational modeling can help researchers put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dictum—starting with a candidate mechanism and then evaluating the behaviors it produces—into practice.  </w:t>
      </w:r>
    </w:p>
    <w:p w14:paraId="659A758F" w14:textId="32101641"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much of the discussion in this chapter centers on my own research and on findings from a single cognitive domain, the arguments advanced here speak to two broader </w:t>
      </w:r>
      <w:r>
        <w:rPr>
          <w:rFonts w:ascii="Times New Roman" w:eastAsia="Times New Roman" w:hAnsi="Times New Roman" w:cs="Times New Roman"/>
          <w:sz w:val="24"/>
          <w:szCs w:val="24"/>
        </w:rPr>
        <w:lastRenderedPageBreak/>
        <w:t xml:space="preserve">theoretical points. The first should be well understood by now: The generative capacities of relatively simple mechanisms should not be overlooked or underestimated. The second point is that to the extent that associative learning can explain the findings described in this chapter, there is no reason to assume that the same cannot be true for other cognitive domains (for conceptually similar arguments, see Adolph &amp; Joh, 2009; Benton &amp; Lapan, 2021; Colunga &amp; Smith, 2005; Heyes &amp; Ray, 2000; Johnson, 2009; Mermier et al., 2022; Perner &amp; Ruffman, 2005; Quinn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1997;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2008; Scott &amp; Arcaro, 2023). </w:t>
      </w:r>
    </w:p>
    <w:p w14:paraId="719CCA6F" w14:textId="77777777" w:rsidR="00F65544" w:rsidRDefault="00F65544">
      <w:pPr>
        <w:tabs>
          <w:tab w:val="left" w:pos="720"/>
        </w:tabs>
        <w:ind w:firstLine="0"/>
        <w:rPr>
          <w:rFonts w:ascii="Times New Roman" w:eastAsia="Times New Roman" w:hAnsi="Times New Roman" w:cs="Times New Roman"/>
          <w:sz w:val="24"/>
          <w:szCs w:val="24"/>
        </w:rPr>
      </w:pPr>
    </w:p>
    <w:p w14:paraId="270EFC36"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Defining associative learning</w:t>
      </w:r>
    </w:p>
    <w:p w14:paraId="04EE6F13" w14:textId="145738C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Before infants’ looking responses in a task</w:t>
      </w:r>
      <w:r w:rsidR="007029A5">
        <w:rPr>
          <w:rFonts w:ascii="Times New Roman" w:eastAsia="Times New Roman" w:hAnsi="Times New Roman" w:cs="Times New Roman"/>
          <w:sz w:val="24"/>
          <w:szCs w:val="24"/>
        </w:rPr>
        <w:t xml:space="preserve"> can be argued to be</w:t>
      </w:r>
      <w:r>
        <w:rPr>
          <w:rFonts w:ascii="Times New Roman" w:eastAsia="Times New Roman" w:hAnsi="Times New Roman" w:cs="Times New Roman"/>
          <w:sz w:val="24"/>
          <w:szCs w:val="24"/>
        </w:rPr>
        <w:t xml:space="preserve"> underpinned by associative learning, </w:t>
      </w:r>
      <w:r w:rsidR="007029A5">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itself </w:t>
      </w:r>
      <w:r w:rsidR="007029A5">
        <w:rPr>
          <w:rFonts w:ascii="Times New Roman" w:eastAsia="Times New Roman" w:hAnsi="Times New Roman" w:cs="Times New Roman"/>
          <w:sz w:val="24"/>
          <w:szCs w:val="24"/>
        </w:rPr>
        <w:t xml:space="preserve">has </w:t>
      </w:r>
      <w:r>
        <w:rPr>
          <w:rFonts w:ascii="Times New Roman" w:eastAsia="Times New Roman" w:hAnsi="Times New Roman" w:cs="Times New Roman"/>
          <w:sz w:val="24"/>
          <w:szCs w:val="24"/>
        </w:rPr>
        <w:t xml:space="preserve">to be defined. Heyes (2018, p. 67) defined </w:t>
      </w:r>
      <w:r>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as any “learning in which an excitatory or inhibitory link is formed between representations of events.” Rakison (2003, p. 170) similarly defined associative learning as a process that establishes a “mental representation of correlations that exist between spatially and temporally co-occurring attributes objects [sic], properties, or events in the world.” Although both definitions are intuitive and likely capture what most people mean by the term, neither distinguishes between different </w:t>
      </w:r>
      <w:r>
        <w:rPr>
          <w:rFonts w:ascii="Times New Roman" w:eastAsia="Times New Roman" w:hAnsi="Times New Roman" w:cs="Times New Roman"/>
          <w:i/>
          <w:iCs/>
          <w:sz w:val="24"/>
          <w:szCs w:val="24"/>
        </w:rPr>
        <w:t>types</w:t>
      </w:r>
      <w:r>
        <w:rPr>
          <w:rFonts w:ascii="Times New Roman" w:eastAsia="Times New Roman" w:hAnsi="Times New Roman" w:cs="Times New Roman"/>
          <w:sz w:val="24"/>
          <w:szCs w:val="24"/>
        </w:rPr>
        <w:t xml:space="preserve"> of associative learning. One type involves forming associations between one’s behavior and the consequences that follow from it. This form of associative learning is called </w:t>
      </w:r>
      <w:r>
        <w:rPr>
          <w:rFonts w:ascii="Times New Roman" w:eastAsia="Times New Roman" w:hAnsi="Times New Roman" w:cs="Times New Roman"/>
          <w:i/>
          <w:iCs/>
          <w:sz w:val="24"/>
          <w:szCs w:val="24"/>
        </w:rPr>
        <w:t xml:space="preserve">operant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B. F. Skinner (Skinner, 1957). The other type involves forming associations between external stimuli. This form of associative learning is called </w:t>
      </w:r>
      <w:r>
        <w:rPr>
          <w:rFonts w:ascii="Times New Roman" w:eastAsia="Times New Roman" w:hAnsi="Times New Roman" w:cs="Times New Roman"/>
          <w:i/>
          <w:iCs/>
          <w:sz w:val="24"/>
          <w:szCs w:val="24"/>
        </w:rPr>
        <w:t xml:space="preserve">classical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Ivan Pavlov (Pavlov, 1927) and John Watson (Watson, 1924). Both types share the commonality that, for </w:t>
      </w:r>
      <w:r>
        <w:rPr>
          <w:rFonts w:ascii="Times New Roman" w:eastAsia="Times New Roman" w:hAnsi="Times New Roman" w:cs="Times New Roman"/>
          <w:sz w:val="24"/>
          <w:szCs w:val="24"/>
        </w:rPr>
        <w:lastRenderedPageBreak/>
        <w:t xml:space="preserve">sufficiently strong associations, the presence of one component of the relation will evoke a representation of the other component, even if that other component is absent. </w:t>
      </w:r>
    </w:p>
    <w:p w14:paraId="4A27DC02" w14:textId="7CF6CFF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developmental sciences, the Little Albert experiment is a paradigmatic example of classical conditioning (e.g., Watson &amp; Rayner, 1920), and Carolyn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-Collier’s </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mobile conjugate</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9E61FB">
        <w:rPr>
          <w:rFonts w:ascii="Times New Roman" w:eastAsia="Times New Roman" w:hAnsi="Times New Roman" w:cs="Times New Roman"/>
          <w:sz w:val="24"/>
          <w:szCs w:val="24"/>
        </w:rPr>
        <w:t>studies are</w:t>
      </w:r>
      <w:r>
        <w:rPr>
          <w:rFonts w:ascii="Times New Roman" w:eastAsia="Times New Roman" w:hAnsi="Times New Roman" w:cs="Times New Roman"/>
          <w:sz w:val="24"/>
          <w:szCs w:val="24"/>
        </w:rPr>
        <w:t xml:space="preserve"> a paradigmatic example of operant conditioning (e.g., </w:t>
      </w: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 1999). Although both types of learning operate throughout and play key roles in cognitive development, I focus </w:t>
      </w:r>
      <w:r w:rsidR="00AF515F">
        <w:rPr>
          <w:rFonts w:ascii="Times New Roman" w:eastAsia="Times New Roman" w:hAnsi="Times New Roman" w:cs="Times New Roman"/>
          <w:sz w:val="24"/>
          <w:szCs w:val="24"/>
        </w:rPr>
        <w:t xml:space="preserve">here </w:t>
      </w:r>
      <w:r>
        <w:rPr>
          <w:rFonts w:ascii="Times New Roman" w:eastAsia="Times New Roman" w:hAnsi="Times New Roman" w:cs="Times New Roman"/>
          <w:sz w:val="24"/>
          <w:szCs w:val="24"/>
        </w:rPr>
        <w:t>on classical conditioning. This is because</w:t>
      </w:r>
      <w:r w:rsidR="00A31393">
        <w:rPr>
          <w:rFonts w:ascii="Times New Roman" w:eastAsia="Times New Roman" w:hAnsi="Times New Roman" w:cs="Times New Roman"/>
          <w:sz w:val="24"/>
          <w:szCs w:val="24"/>
        </w:rPr>
        <w:t>, in all of the studies that will be described,</w:t>
      </w:r>
      <w:r>
        <w:rPr>
          <w:rFonts w:ascii="Times New Roman" w:eastAsia="Times New Roman" w:hAnsi="Times New Roman" w:cs="Times New Roman"/>
          <w:sz w:val="24"/>
          <w:szCs w:val="24"/>
        </w:rPr>
        <w:t xml:space="preserve"> infants were not required to learn about the consequences of their behaviors based on contingency and reinforcement schedules. At the same time, certain difficulties preclude even this type of learning from </w:t>
      </w:r>
      <w:r w:rsidR="00AF515F">
        <w:rPr>
          <w:rFonts w:ascii="Times New Roman" w:eastAsia="Times New Roman" w:hAnsi="Times New Roman" w:cs="Times New Roman"/>
          <w:sz w:val="24"/>
          <w:szCs w:val="24"/>
        </w:rPr>
        <w:t>capturing</w:t>
      </w:r>
      <w:r>
        <w:rPr>
          <w:rFonts w:ascii="Times New Roman" w:eastAsia="Times New Roman" w:hAnsi="Times New Roman" w:cs="Times New Roman"/>
          <w:sz w:val="24"/>
          <w:szCs w:val="24"/>
        </w:rPr>
        <w:t xml:space="preserve"> the kind of representation-based associative learning</w:t>
      </w:r>
      <w:r w:rsidR="00AF515F">
        <w:rPr>
          <w:rFonts w:ascii="Times New Roman" w:eastAsia="Times New Roman" w:hAnsi="Times New Roman" w:cs="Times New Roman"/>
          <w:sz w:val="24"/>
          <w:szCs w:val="24"/>
        </w:rPr>
        <w:t xml:space="preserve"> I think explains infants’ looking behaviors in those studies. </w:t>
      </w:r>
      <w:r>
        <w:rPr>
          <w:rFonts w:ascii="Times New Roman" w:eastAsia="Times New Roman" w:hAnsi="Times New Roman" w:cs="Times New Roman"/>
          <w:sz w:val="24"/>
          <w:szCs w:val="24"/>
        </w:rPr>
        <w:t xml:space="preserve"> </w:t>
      </w:r>
    </w:p>
    <w:p w14:paraId="763003BA" w14:textId="77777777" w:rsidR="00F65544" w:rsidRDefault="00000000">
      <w:pPr>
        <w:tabs>
          <w:tab w:val="left" w:pos="720"/>
        </w:tabs>
        <w:ind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ab/>
        <w:t xml:space="preserve">One especially notable difficulty—one that becomes evident only when classical conditioning is formalized mathematically (e.g., Rescorla &amp; Wagner, 1972;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1960)—is that this form of learning establishes direct associations between representations of external stimuli rather than associations mediated by learned internal representations. This limitation is severe and means that models that implement classical conditioning—such as the Rescorla-Wagner model (e.g., Rescorla &amp; Wagner, 1972) or the Delta rule (</w:t>
      </w: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&amp; Hoff, 1960)—are unable to solve so-called </w:t>
      </w:r>
      <w:r>
        <w:rPr>
          <w:rFonts w:ascii="Times New Roman" w:eastAsia="Times New Roman" w:hAnsi="Times New Roman" w:cs="Times New Roman"/>
          <w:i/>
          <w:iCs/>
          <w:sz w:val="24"/>
          <w:szCs w:val="24"/>
        </w:rPr>
        <w:t xml:space="preserve">linearly inseparable </w:t>
      </w:r>
      <w:r>
        <w:rPr>
          <w:rFonts w:ascii="Times New Roman" w:eastAsia="Times New Roman" w:hAnsi="Times New Roman" w:cs="Times New Roman"/>
          <w:sz w:val="24"/>
          <w:szCs w:val="24"/>
        </w:rPr>
        <w:t xml:space="preserve">problems. To illustrate, imagine a two-dimensional scatterplot with two “clouds” of points—one green and one red. Every green point lies to the left of the x-axis midpoint; every red point, to its right. This configuration is </w:t>
      </w:r>
      <w:r>
        <w:rPr>
          <w:rFonts w:ascii="Times New Roman" w:eastAsia="Times New Roman" w:hAnsi="Times New Roman" w:cs="Times New Roman"/>
          <w:i/>
          <w:iCs/>
          <w:sz w:val="24"/>
          <w:szCs w:val="24"/>
        </w:rPr>
        <w:t xml:space="preserve">linearly separable </w:t>
      </w:r>
      <w:r>
        <w:rPr>
          <w:rFonts w:ascii="Times New Roman" w:eastAsia="Times New Roman" w:hAnsi="Times New Roman" w:cs="Times New Roman"/>
          <w:sz w:val="24"/>
          <w:szCs w:val="24"/>
        </w:rPr>
        <w:t xml:space="preserve">because a </w:t>
      </w:r>
      <w:r>
        <w:rPr>
          <w:rFonts w:ascii="Times New Roman" w:eastAsia="Times New Roman" w:hAnsi="Times New Roman" w:cs="Times New Roman"/>
          <w:i/>
          <w:iCs/>
          <w:sz w:val="24"/>
          <w:szCs w:val="24"/>
        </w:rPr>
        <w:t>single</w:t>
      </w:r>
      <w:r>
        <w:rPr>
          <w:rFonts w:ascii="Times New Roman" w:eastAsia="Times New Roman" w:hAnsi="Times New Roman" w:cs="Times New Roman"/>
          <w:sz w:val="24"/>
          <w:szCs w:val="24"/>
        </w:rPr>
        <w:t xml:space="preserve"> vertical line can be drawn through the midpoint such that all green points are on one side of it, and all red points are on the other. Now imagine that the green points form a ring that completely encircles a cloud of red points at its center. In this configuration, </w:t>
      </w:r>
      <w:r>
        <w:rPr>
          <w:rFonts w:ascii="Times New Roman" w:eastAsia="Times New Roman" w:hAnsi="Times New Roman" w:cs="Times New Roman"/>
          <w:sz w:val="24"/>
          <w:szCs w:val="24"/>
        </w:rPr>
        <w:lastRenderedPageBreak/>
        <w:t xml:space="preserve">there is no single line—vertical, horizontal, or diagonal—that cleanly separates the clusters. As such, the two sets of points are </w:t>
      </w:r>
      <w:r>
        <w:rPr>
          <w:rFonts w:ascii="Times New Roman" w:eastAsia="Times New Roman" w:hAnsi="Times New Roman" w:cs="Times New Roman"/>
          <w:i/>
          <w:iCs/>
          <w:sz w:val="24"/>
          <w:szCs w:val="24"/>
        </w:rPr>
        <w:t>linearly inseparable.</w:t>
      </w:r>
    </w:p>
    <w:p w14:paraId="2B0BEFF5" w14:textId="2BFBD0A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More generally, a problem is linearly separable if representations associated with one class of stimuli (e.g., present-tense English regular verbs and their -</w:t>
      </w:r>
      <w:r>
        <w:rPr>
          <w:rFonts w:ascii="Times New Roman" w:eastAsia="Times New Roman" w:hAnsi="Times New Roman" w:cs="Times New Roman"/>
          <w:i/>
          <w:iCs/>
          <w:sz w:val="24"/>
          <w:szCs w:val="24"/>
        </w:rPr>
        <w:t xml:space="preserve">ed </w:t>
      </w:r>
      <w:r>
        <w:rPr>
          <w:rFonts w:ascii="Times New Roman" w:eastAsia="Times New Roman" w:hAnsi="Times New Roman" w:cs="Times New Roman"/>
          <w:sz w:val="24"/>
          <w:szCs w:val="24"/>
        </w:rPr>
        <w:t xml:space="preserve">past-tense forms; e.g., </w:t>
      </w:r>
      <w:r>
        <w:rPr>
          <w:rFonts w:ascii="Times New Roman" w:eastAsia="Times New Roman" w:hAnsi="Times New Roman" w:cs="Times New Roman"/>
          <w:i/>
          <w:iCs/>
          <w:sz w:val="24"/>
          <w:szCs w:val="24"/>
        </w:rPr>
        <w:t xml:space="preserve">jump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jumped</w:t>
      </w:r>
      <w:r>
        <w:rPr>
          <w:rFonts w:ascii="Times New Roman" w:eastAsia="Times New Roman" w:hAnsi="Times New Roman" w:cs="Times New Roman"/>
          <w:sz w:val="24"/>
          <w:szCs w:val="24"/>
        </w:rPr>
        <w:t>) can be distinguished, on the basis of their existing features, from representations associated with another class (e.g., present-tense English irregular verbs and their idiosyncratic past-tense</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forms; e.g., </w:t>
      </w:r>
      <w:r>
        <w:rPr>
          <w:rFonts w:ascii="Times New Roman" w:eastAsia="Times New Roman" w:hAnsi="Times New Roman" w:cs="Times New Roman"/>
          <w:i/>
          <w:iCs/>
          <w:sz w:val="24"/>
          <w:szCs w:val="24"/>
        </w:rPr>
        <w:t xml:space="preserve">go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went</w:t>
      </w:r>
      <w:r>
        <w:rPr>
          <w:rFonts w:ascii="Times New Roman" w:eastAsia="Times New Roman" w:hAnsi="Times New Roman" w:cs="Times New Roman"/>
          <w:sz w:val="24"/>
          <w:szCs w:val="24"/>
        </w:rPr>
        <w:t xml:space="preserve">). A problem is linearly </w:t>
      </w:r>
      <w:r>
        <w:rPr>
          <w:rFonts w:ascii="Times New Roman" w:eastAsia="Times New Roman" w:hAnsi="Times New Roman" w:cs="Times New Roman"/>
          <w:i/>
          <w:iCs/>
          <w:sz w:val="24"/>
          <w:szCs w:val="24"/>
        </w:rPr>
        <w:t>in</w:t>
      </w:r>
      <w:r>
        <w:rPr>
          <w:rFonts w:ascii="Times New Roman" w:eastAsia="Times New Roman" w:hAnsi="Times New Roman" w:cs="Times New Roman"/>
          <w:sz w:val="24"/>
          <w:szCs w:val="24"/>
        </w:rPr>
        <w:t xml:space="preserve">separable if this distinction is not possible. Although it was recognized fairly early on that solving linearly inseparable problems requires the introduction of internal representations (e.g., Minsky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1969), it was not until the 1970s and ‘80s that an algorithm—</w:t>
      </w:r>
      <w:r>
        <w:rPr>
          <w:rFonts w:ascii="Times New Roman" w:eastAsia="Times New Roman" w:hAnsi="Times New Roman" w:cs="Times New Roman"/>
          <w:i/>
          <w:iCs/>
          <w:sz w:val="24"/>
          <w:szCs w:val="24"/>
        </w:rPr>
        <w:t>backpropagation</w:t>
      </w:r>
      <w:r>
        <w:rPr>
          <w:rFonts w:ascii="Times New Roman" w:eastAsia="Times New Roman" w:hAnsi="Times New Roman" w:cs="Times New Roman"/>
          <w:sz w:val="24"/>
          <w:szCs w:val="24"/>
        </w:rPr>
        <w:t xml:space="preserve"> (e.g., Rumelhart et al., 1986; </w:t>
      </w: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xml:space="preserve">, 1974)—was developed that could learn such internal representations. </w:t>
      </w:r>
      <w:r w:rsidR="008972CE">
        <w:rPr>
          <w:rFonts w:ascii="Times New Roman" w:eastAsia="Times New Roman" w:hAnsi="Times New Roman" w:cs="Times New Roman"/>
          <w:sz w:val="24"/>
          <w:szCs w:val="24"/>
        </w:rPr>
        <w:t xml:space="preserve">These </w:t>
      </w:r>
      <w:r>
        <w:rPr>
          <w:rFonts w:ascii="Times New Roman" w:eastAsia="Times New Roman" w:hAnsi="Times New Roman" w:cs="Times New Roman"/>
          <w:sz w:val="24"/>
          <w:szCs w:val="24"/>
        </w:rPr>
        <w:t xml:space="preserve">representations are ideal because they can transform a problem that began as linearly inseparable into one that is linearly separable and therefore solvable. The discussion that follows is grounded in this representation-based conception of associative learning.  </w:t>
      </w:r>
    </w:p>
    <w:p w14:paraId="04014760" w14:textId="77777777" w:rsidR="00F65544" w:rsidRDefault="00F65544">
      <w:pPr>
        <w:tabs>
          <w:tab w:val="left" w:pos="720"/>
        </w:tabs>
        <w:ind w:firstLine="0"/>
        <w:rPr>
          <w:rFonts w:ascii="Times New Roman" w:eastAsia="Times New Roman" w:hAnsi="Times New Roman" w:cs="Times New Roman"/>
          <w:sz w:val="24"/>
          <w:szCs w:val="24"/>
        </w:rPr>
      </w:pPr>
    </w:p>
    <w:p w14:paraId="401BD849"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How infants learn about the causal action of people and objects</w:t>
      </w:r>
    </w:p>
    <w:p w14:paraId="07453B05" w14:textId="47CAE0C8" w:rsidR="00F65544" w:rsidRDefault="00000000">
      <w:pPr>
        <w:tabs>
          <w:tab w:val="left" w:pos="720"/>
        </w:tabs>
        <w:ind w:firstLine="0"/>
        <w:rPr>
          <w:rFonts w:ascii="Times New Roman" w:eastAsia="Times New Roman" w:hAnsi="Times New Roman" w:cs="Times New Roman"/>
          <w:sz w:val="24"/>
          <w:szCs w:val="24"/>
        </w:rPr>
      </w:pPr>
      <w:r>
        <w:rPr>
          <w:b/>
          <w:bCs/>
        </w:rPr>
        <w:tab/>
      </w:r>
      <w:r>
        <w:rPr>
          <w:rFonts w:ascii="Times New Roman" w:eastAsia="Times New Roman" w:hAnsi="Times New Roman" w:cs="Times New Roman"/>
          <w:sz w:val="24"/>
          <w:szCs w:val="24"/>
        </w:rPr>
        <w:t xml:space="preserve">Few challenges are more daunting for the developing infant than discovering how people differ from objects. </w:t>
      </w:r>
      <w:r w:rsidR="00C0708D">
        <w:rPr>
          <w:rFonts w:ascii="Times New Roman" w:eastAsia="Times New Roman" w:hAnsi="Times New Roman" w:cs="Times New Roman"/>
          <w:sz w:val="24"/>
          <w:szCs w:val="24"/>
        </w:rPr>
        <w:t xml:space="preserve">A key difference between both </w:t>
      </w:r>
      <w:r w:rsidR="00A344EE">
        <w:rPr>
          <w:rFonts w:ascii="Times New Roman" w:eastAsia="Times New Roman" w:hAnsi="Times New Roman" w:cs="Times New Roman"/>
          <w:sz w:val="24"/>
          <w:szCs w:val="24"/>
        </w:rPr>
        <w:t>categories</w:t>
      </w:r>
      <w:r w:rsidR="00C0708D">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that people can cause each other to act either through direct physical contact or at a distance</w:t>
      </w:r>
      <w:r w:rsidR="00871342">
        <w:rPr>
          <w:rFonts w:ascii="Times New Roman" w:eastAsia="Times New Roman" w:hAnsi="Times New Roman" w:cs="Times New Roman"/>
          <w:sz w:val="24"/>
          <w:szCs w:val="24"/>
        </w:rPr>
        <w:t>, whereas inanimate objects</w:t>
      </w:r>
      <w:r>
        <w:rPr>
          <w:rFonts w:ascii="Times New Roman" w:eastAsia="Times New Roman" w:hAnsi="Times New Roman" w:cs="Times New Roman"/>
          <w:sz w:val="24"/>
          <w:szCs w:val="24"/>
        </w:rPr>
        <w:t xml:space="preserve"> typically only move when other agents or objects contact them. An example of contact causality would be Lindsey pushing her daughter Alena </w:t>
      </w:r>
      <w:r w:rsidR="00A02DB6">
        <w:rPr>
          <w:rFonts w:ascii="Times New Roman" w:eastAsia="Times New Roman" w:hAnsi="Times New Roman" w:cs="Times New Roman"/>
          <w:sz w:val="24"/>
          <w:szCs w:val="24"/>
        </w:rPr>
        <w:t>out of the path of</w:t>
      </w:r>
      <w:r>
        <w:rPr>
          <w:rFonts w:ascii="Times New Roman" w:eastAsia="Times New Roman" w:hAnsi="Times New Roman" w:cs="Times New Roman"/>
          <w:sz w:val="24"/>
          <w:szCs w:val="24"/>
        </w:rPr>
        <w:t xml:space="preserve"> </w:t>
      </w:r>
      <w:r w:rsidR="00502F55">
        <w:rPr>
          <w:rFonts w:ascii="Times New Roman" w:eastAsia="Times New Roman" w:hAnsi="Times New Roman" w:cs="Times New Roman"/>
          <w:sz w:val="24"/>
          <w:szCs w:val="24"/>
        </w:rPr>
        <w:t>oncoming traffic</w:t>
      </w:r>
      <w:r>
        <w:rPr>
          <w:rFonts w:ascii="Times New Roman" w:eastAsia="Times New Roman" w:hAnsi="Times New Roman" w:cs="Times New Roman"/>
          <w:sz w:val="24"/>
          <w:szCs w:val="24"/>
        </w:rPr>
        <w:t>. Lindsey</w:t>
      </w:r>
      <w:r w:rsidR="000161E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exhorting Alena to “watch out</w:t>
      </w:r>
      <w:r w:rsidR="000161E2">
        <w:rPr>
          <w:rFonts w:ascii="Times New Roman" w:eastAsia="Times New Roman" w:hAnsi="Times New Roman" w:cs="Times New Roman"/>
          <w:sz w:val="24"/>
          <w:szCs w:val="24"/>
        </w:rPr>
        <w:t>!”</w:t>
      </w:r>
      <w:r w:rsidR="00C87B34">
        <w:rPr>
          <w:rFonts w:ascii="Times New Roman" w:eastAsia="Times New Roman" w:hAnsi="Times New Roman" w:cs="Times New Roman"/>
          <w:sz w:val="24"/>
          <w:szCs w:val="24"/>
        </w:rPr>
        <w:t xml:space="preserve"> </w:t>
      </w:r>
      <w:r w:rsidR="004B63B3">
        <w:rPr>
          <w:rFonts w:ascii="Times New Roman" w:eastAsia="Times New Roman" w:hAnsi="Times New Roman" w:cs="Times New Roman"/>
          <w:sz w:val="24"/>
          <w:szCs w:val="24"/>
        </w:rPr>
        <w:t xml:space="preserve">is </w:t>
      </w:r>
      <w:r w:rsidR="00C87B34">
        <w:rPr>
          <w:rFonts w:ascii="Times New Roman" w:eastAsia="Times New Roman" w:hAnsi="Times New Roman" w:cs="Times New Roman"/>
          <w:sz w:val="24"/>
          <w:szCs w:val="24"/>
        </w:rPr>
        <w:t>an example of action-at-a-distance causality.</w:t>
      </w:r>
      <w:r>
        <w:rPr>
          <w:rFonts w:ascii="Times New Roman" w:eastAsia="Times New Roman" w:hAnsi="Times New Roman" w:cs="Times New Roman"/>
          <w:sz w:val="24"/>
          <w:szCs w:val="24"/>
        </w:rPr>
        <w:t xml:space="preserve"> Successful navigation requires that we appreciate these fundamental differences. For instance, a person who </w:t>
      </w:r>
      <w:r>
        <w:rPr>
          <w:rFonts w:ascii="Times New Roman" w:eastAsia="Times New Roman" w:hAnsi="Times New Roman" w:cs="Times New Roman"/>
          <w:sz w:val="24"/>
          <w:szCs w:val="24"/>
        </w:rPr>
        <w:lastRenderedPageBreak/>
        <w:t xml:space="preserve">understands that people and objects possess different causal abilities would know that it is appropriate to request a favor from another person but incongruous to request one from a box. </w:t>
      </w:r>
    </w:p>
    <w:p w14:paraId="05F5E1C6" w14:textId="0561732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How do infants acquire this knowledge?</w:t>
      </w:r>
      <w:r>
        <w:t xml:space="preserve"> </w:t>
      </w:r>
      <w:r>
        <w:rPr>
          <w:rFonts w:ascii="Times New Roman" w:eastAsia="Times New Roman" w:hAnsi="Times New Roman" w:cs="Times New Roman"/>
          <w:sz w:val="24"/>
          <w:szCs w:val="24"/>
        </w:rPr>
        <w:t xml:space="preserve">The Core Knowledge perspective offers one intriguing answer (e.g.,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2022; for a related account, see Carey, 2009). This theory posits that infants are endowed with a small number of “core knowledge” systems. These domain-specific systems are argued to support reasoning about geometry and space, agents, inanimate objects, number, and social relationships. These systems are “domain specific” because they support learning in particular content domains and are triggered by particular kinds of input. Thus, each of the aforementioned domains has its own core-knowledge system. However, of these systems, the two core-knowledge systems that are most relevant to the question posed above are the agent and object systems. The core agent system enables infants to know that agents are goal-directed, self-propelled, and can cause action to occur in other agents both at a distance and through direct contact</w:t>
      </w:r>
      <w:r w:rsidR="00A376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A3763F">
        <w:rPr>
          <w:rFonts w:ascii="Times New Roman" w:eastAsia="Times New Roman" w:hAnsi="Times New Roman" w:cs="Times New Roman"/>
          <w:sz w:val="24"/>
          <w:szCs w:val="24"/>
        </w:rPr>
        <w:t>The core object system, in contrast,</w:t>
      </w:r>
      <w:r>
        <w:rPr>
          <w:rFonts w:ascii="Times New Roman" w:eastAsia="Times New Roman" w:hAnsi="Times New Roman" w:cs="Times New Roman"/>
          <w:sz w:val="24"/>
          <w:szCs w:val="24"/>
        </w:rPr>
        <w:t xml:space="preserve"> allows infants to know that objects require contact to move, are cohesive and bounded, and move along connected paths.</w:t>
      </w:r>
    </w:p>
    <w:p w14:paraId="44E309D3" w14:textId="14EEEFCC"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Some of the initial support for this theory came from a study by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see also Kosugi &amp; Fujita, 2002; Woodward et al., 1993). Seven-month-olds were assigned to one of two conditions</w:t>
      </w:r>
      <w:r w:rsidR="00AE5296">
        <w:rPr>
          <w:rFonts w:ascii="Times New Roman" w:eastAsia="Times New Roman" w:hAnsi="Times New Roman" w:cs="Times New Roman"/>
          <w:sz w:val="24"/>
          <w:szCs w:val="24"/>
        </w:rPr>
        <w:t xml:space="preserve">. Infants in the People condition were </w:t>
      </w:r>
      <w:r>
        <w:rPr>
          <w:rFonts w:ascii="Times New Roman" w:eastAsia="Times New Roman" w:hAnsi="Times New Roman" w:cs="Times New Roman"/>
          <w:sz w:val="24"/>
          <w:szCs w:val="24"/>
        </w:rPr>
        <w:t xml:space="preserve">habituated to an event in which a first person entered the stage from the left and traveled a short distance until it was fully blocked by an opaque screen located at center stage. A second, initially half-covered person then emerged from behind the right side of the screen and traveled a short distance until it exited the stage to the right. A red box with a jagged top edge and a blue cylinder replaced the two people in the Object condition. This condition was otherwise identical to the People condition. All infants were then shown two test events, both without screens. In the Contact test event, the first person </w:t>
      </w:r>
      <w:r>
        <w:rPr>
          <w:rFonts w:ascii="Times New Roman" w:eastAsia="Times New Roman" w:hAnsi="Times New Roman" w:cs="Times New Roman"/>
          <w:sz w:val="24"/>
          <w:szCs w:val="24"/>
        </w:rPr>
        <w:lastRenderedPageBreak/>
        <w:t>(or object) moved towards the other person (or object) until the first contacted the second at center stage. In the No Contact test event, the first person or object moved towards, but ultimately stopped short of, the other person or object, at which point the second person or object moved until it exited the stage.</w:t>
      </w:r>
    </w:p>
    <w:p w14:paraId="54FCB3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reasoned that if infants understand that people and objects possess distinct causal properties, then they should have different expectations about what occurred behind the screen during habituation. For example, if they understand that objects generally do not move in the absence of contact, then they should have inferred that the second object moved following contact from the first and thus look longer at the No Contact test event than at the Contact one. Because people’s causal actions are relatively unconstrained, infants’ expectations about how the people interacted with one another behind the screen should be more equivocal. As a consequence, both test events should elicit equivalent amounts of looking. </w:t>
      </w:r>
    </w:p>
    <w:p w14:paraId="7D800DA4" w14:textId="14EAD1E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is precisely what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found: The longest looking was observed for the No Contact test event in the Inanimate Object condition, but an equivalent amount of looking was observed for both test events in the People condition. This finding, </w:t>
      </w:r>
      <w:r w:rsidR="00AE5296">
        <w:rPr>
          <w:rFonts w:ascii="Times New Roman" w:eastAsia="Times New Roman" w:hAnsi="Times New Roman" w:cs="Times New Roman"/>
          <w:sz w:val="24"/>
          <w:szCs w:val="24"/>
        </w:rPr>
        <w:t>considered together</w:t>
      </w:r>
      <w:r>
        <w:rPr>
          <w:rFonts w:ascii="Times New Roman" w:eastAsia="Times New Roman" w:hAnsi="Times New Roman" w:cs="Times New Roman"/>
          <w:sz w:val="24"/>
          <w:szCs w:val="24"/>
        </w:rPr>
        <w:t xml:space="preserve"> with evidence demonstrating that infants between 7 and 10 months of age ostensibly are surprised when an inanimate object is revealed to have caused another object’s earlier motion and rapidly encode the motion characteristics of animates and inanimates (e.g., Markson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2006; Saxe et al., 2005; Saxe et al., 2007), would seem to support the Core Knowledge account. As the opening example made clear, however, such a conclusion may be unwarranted if a simpler mechanism and explanation can account for these findings. </w:t>
      </w:r>
    </w:p>
    <w:p w14:paraId="34985759" w14:textId="11C3E35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 offered one such explanation in a recent series of papers (Benton, 2023, 2025). The crux of my proposal is that domain-general associative learning, combined with a small number of </w:t>
      </w:r>
      <w:r>
        <w:rPr>
          <w:rFonts w:ascii="Times New Roman" w:eastAsia="Times New Roman" w:hAnsi="Times New Roman" w:cs="Times New Roman"/>
          <w:sz w:val="24"/>
          <w:szCs w:val="24"/>
        </w:rPr>
        <w:lastRenderedPageBreak/>
        <w:t>inherent perceptual biases, such as preferences for faces over non-faces (e.g., Morton &amp; Johnson, 1991</w:t>
      </w:r>
      <w:r w:rsidR="00403724">
        <w:rPr>
          <w:rFonts w:ascii="Times New Roman" w:eastAsia="Times New Roman" w:hAnsi="Times New Roman" w:cs="Times New Roman"/>
          <w:sz w:val="24"/>
          <w:szCs w:val="24"/>
        </w:rPr>
        <w:t>; cf., Wilkinson et al., 2026</w:t>
      </w:r>
      <w:r>
        <w:rPr>
          <w:rFonts w:ascii="Times New Roman" w:eastAsia="Times New Roman" w:hAnsi="Times New Roman" w:cs="Times New Roman"/>
          <w:sz w:val="24"/>
          <w:szCs w:val="24"/>
        </w:rPr>
        <w:t xml:space="preserve">) and movement over non-movement (e.g., Slater, 1989; </w:t>
      </w:r>
      <w:proofErr w:type="spellStart"/>
      <w:r>
        <w:rPr>
          <w:rFonts w:ascii="Times New Roman" w:eastAsia="Times New Roman" w:hAnsi="Times New Roman" w:cs="Times New Roman"/>
          <w:sz w:val="24"/>
          <w:szCs w:val="24"/>
        </w:rPr>
        <w:t>Vallortigara</w:t>
      </w:r>
      <w:proofErr w:type="spellEnd"/>
      <w:r>
        <w:rPr>
          <w:rFonts w:ascii="Times New Roman" w:eastAsia="Times New Roman" w:hAnsi="Times New Roman" w:cs="Times New Roman"/>
          <w:sz w:val="24"/>
          <w:szCs w:val="24"/>
        </w:rPr>
        <w:t xml:space="preserve"> et al., 2005), can explain infants’ looking behaviors in these studies. </w:t>
      </w:r>
    </w:p>
    <w:p w14:paraId="535BB418" w14:textId="1EE1D5B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 argued that this associative-learning process begins the moment that infants detect</w:t>
      </w:r>
      <w:r w:rsidR="00CA1EA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a correlation exists between certain salient low-level features (e.g., elongated appendage-like extensions [e.g., adult-defined legs or arms]) and the surface-based kinematics that characterize different causal actions (e.g.,</w:t>
      </w:r>
      <w:r w:rsidR="0047277D">
        <w:rPr>
          <w:rFonts w:ascii="Times New Roman" w:eastAsia="Times New Roman" w:hAnsi="Times New Roman" w:cs="Times New Roman"/>
          <w:sz w:val="24"/>
          <w:szCs w:val="24"/>
        </w:rPr>
        <w:t xml:space="preserve"> motion without or on contact</w:t>
      </w:r>
      <w:r>
        <w:rPr>
          <w:rFonts w:ascii="Times New Roman" w:eastAsia="Times New Roman" w:hAnsi="Times New Roman" w:cs="Times New Roman"/>
          <w:sz w:val="24"/>
          <w:szCs w:val="24"/>
        </w:rPr>
        <w:t xml:space="preserve"> </w:t>
      </w:r>
      <w:r w:rsidR="0047277D">
        <w:rPr>
          <w:rFonts w:ascii="Times New Roman" w:eastAsia="Times New Roman" w:hAnsi="Times New Roman" w:cs="Times New Roman"/>
          <w:sz w:val="24"/>
          <w:szCs w:val="24"/>
        </w:rPr>
        <w:t xml:space="preserve">[i.e., adult-defined </w:t>
      </w:r>
      <w:r>
        <w:rPr>
          <w:rFonts w:ascii="Times New Roman" w:eastAsia="Times New Roman" w:hAnsi="Times New Roman" w:cs="Times New Roman"/>
          <w:sz w:val="24"/>
          <w:szCs w:val="24"/>
        </w:rPr>
        <w:t>action-at-a-distance causality and contact causality</w:t>
      </w:r>
      <w:r w:rsidR="0047277D">
        <w:rPr>
          <w:rFonts w:ascii="Times New Roman" w:eastAsia="Times New Roman" w:hAnsi="Times New Roman" w:cs="Times New Roman"/>
          <w:sz w:val="24"/>
          <w:szCs w:val="24"/>
        </w:rPr>
        <w:t>, respectively]</w:t>
      </w:r>
      <w:r>
        <w:rPr>
          <w:rFonts w:ascii="Times New Roman" w:eastAsia="Times New Roman" w:hAnsi="Times New Roman" w:cs="Times New Roman"/>
          <w:sz w:val="24"/>
          <w:szCs w:val="24"/>
        </w:rPr>
        <w:t xml:space="preserve">). This naming convention reflects my assumption that infants represent these features and actions in purely perceptual terms. </w:t>
      </w:r>
      <w:r w:rsidR="0047277D">
        <w:rPr>
          <w:rFonts w:ascii="Times New Roman" w:eastAsia="Times New Roman" w:hAnsi="Times New Roman" w:cs="Times New Roman"/>
          <w:sz w:val="24"/>
          <w:szCs w:val="24"/>
        </w:rPr>
        <w:t xml:space="preserve">What enables infants to detect this correlation (and others like it) at all is </w:t>
      </w:r>
      <w:r>
        <w:rPr>
          <w:rFonts w:ascii="Times New Roman" w:eastAsia="Times New Roman" w:hAnsi="Times New Roman" w:cs="Times New Roman"/>
          <w:sz w:val="24"/>
          <w:szCs w:val="24"/>
        </w:rPr>
        <w:t xml:space="preserve">that some perceptual features covary regularly with the kinematics of different actions. For example, infants may learn that entities with </w:t>
      </w:r>
      <w:r w:rsidR="00B65775">
        <w:rPr>
          <w:rFonts w:ascii="Times New Roman" w:eastAsia="Times New Roman" w:hAnsi="Times New Roman" w:cs="Times New Roman"/>
          <w:sz w:val="24"/>
          <w:szCs w:val="24"/>
        </w:rPr>
        <w:t>legs</w:t>
      </w:r>
      <w:r>
        <w:rPr>
          <w:rFonts w:ascii="Times New Roman" w:eastAsia="Times New Roman" w:hAnsi="Times New Roman" w:cs="Times New Roman"/>
          <w:sz w:val="24"/>
          <w:szCs w:val="24"/>
        </w:rPr>
        <w:t xml:space="preserve"> sometimes move in the absence of physical contact </w:t>
      </w:r>
      <w:r w:rsidR="00B26488">
        <w:rPr>
          <w:rFonts w:ascii="Times New Roman" w:eastAsia="Times New Roman" w:hAnsi="Times New Roman" w:cs="Times New Roman"/>
          <w:sz w:val="24"/>
          <w:szCs w:val="24"/>
        </w:rPr>
        <w:t xml:space="preserve">from </w:t>
      </w:r>
      <w:r>
        <w:rPr>
          <w:rFonts w:ascii="Times New Roman" w:eastAsia="Times New Roman" w:hAnsi="Times New Roman" w:cs="Times New Roman"/>
          <w:sz w:val="24"/>
          <w:szCs w:val="24"/>
        </w:rPr>
        <w:t xml:space="preserve">other </w:t>
      </w:r>
      <w:r w:rsidR="00B65775">
        <w:rPr>
          <w:rFonts w:ascii="Times New Roman" w:eastAsia="Times New Roman" w:hAnsi="Times New Roman" w:cs="Times New Roman"/>
          <w:sz w:val="24"/>
          <w:szCs w:val="24"/>
        </w:rPr>
        <w:t xml:space="preserve">legged </w:t>
      </w:r>
      <w:r>
        <w:rPr>
          <w:rFonts w:ascii="Times New Roman" w:eastAsia="Times New Roman" w:hAnsi="Times New Roman" w:cs="Times New Roman"/>
          <w:sz w:val="24"/>
          <w:szCs w:val="24"/>
        </w:rPr>
        <w:t xml:space="preserve">entities but move following direct contact with those same entities on other occasions. </w:t>
      </w:r>
    </w:p>
    <w:p w14:paraId="0018D07E" w14:textId="2FDBACB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Infants</w:t>
      </w:r>
      <w:r w:rsidR="00B65775">
        <w:rPr>
          <w:rFonts w:ascii="Times New Roman" w:eastAsia="Times New Roman" w:hAnsi="Times New Roman" w:cs="Times New Roman"/>
          <w:sz w:val="24"/>
          <w:szCs w:val="24"/>
        </w:rPr>
        <w:t xml:space="preserve">’ attention may be directed towards this relation and away from </w:t>
      </w:r>
      <w:r w:rsidR="00DF0716">
        <w:rPr>
          <w:rFonts w:ascii="Times New Roman" w:eastAsia="Times New Roman" w:hAnsi="Times New Roman" w:cs="Times New Roman"/>
          <w:sz w:val="24"/>
          <w:szCs w:val="24"/>
        </w:rPr>
        <w:t>others</w:t>
      </w:r>
      <w:r w:rsidR="00B65775">
        <w:rPr>
          <w:rFonts w:ascii="Times New Roman" w:eastAsia="Times New Roman" w:hAnsi="Times New Roman" w:cs="Times New Roman"/>
          <w:sz w:val="24"/>
          <w:szCs w:val="24"/>
        </w:rPr>
        <w:t xml:space="preserve"> in the first place</w:t>
      </w:r>
      <w:r>
        <w:rPr>
          <w:rFonts w:ascii="Times New Roman" w:eastAsia="Times New Roman" w:hAnsi="Times New Roman" w:cs="Times New Roman"/>
          <w:sz w:val="24"/>
          <w:szCs w:val="24"/>
        </w:rPr>
        <w:t xml:space="preserve"> </w:t>
      </w:r>
      <w:r w:rsidR="00B65775">
        <w:rPr>
          <w:rFonts w:ascii="Times New Roman" w:eastAsia="Times New Roman" w:hAnsi="Times New Roman" w:cs="Times New Roman"/>
          <w:sz w:val="24"/>
          <w:szCs w:val="24"/>
        </w:rPr>
        <w:t>due to</w:t>
      </w:r>
      <w:r>
        <w:rPr>
          <w:rFonts w:ascii="Times New Roman" w:eastAsia="Times New Roman" w:hAnsi="Times New Roman" w:cs="Times New Roman"/>
          <w:sz w:val="24"/>
          <w:szCs w:val="24"/>
        </w:rPr>
        <w:t xml:space="preserve"> an early-emerging, perhaps even innate, bias to attend to the inherently attention-grabbing motion depicted on the action side of the relation. Whatever the reason, once infants have </w:t>
      </w:r>
      <w:r w:rsidR="00A34AC9">
        <w:rPr>
          <w:rFonts w:ascii="Times New Roman" w:eastAsia="Times New Roman" w:hAnsi="Times New Roman" w:cs="Times New Roman"/>
          <w:sz w:val="24"/>
          <w:szCs w:val="24"/>
        </w:rPr>
        <w:t xml:space="preserve">trained </w:t>
      </w:r>
      <w:r>
        <w:rPr>
          <w:rFonts w:ascii="Times New Roman" w:eastAsia="Times New Roman" w:hAnsi="Times New Roman" w:cs="Times New Roman"/>
          <w:sz w:val="24"/>
          <w:szCs w:val="24"/>
        </w:rPr>
        <w:t xml:space="preserve">their attention to this relation, they may notice that elongated appendages tend to be present during these movement events. Consequently, a nascent link may be established between these appendages and both actions’ kinematics. </w:t>
      </w:r>
      <w:r w:rsidR="003B669B">
        <w:rPr>
          <w:rFonts w:ascii="Times New Roman" w:eastAsia="Times New Roman" w:hAnsi="Times New Roman" w:cs="Times New Roman"/>
          <w:sz w:val="24"/>
          <w:szCs w:val="24"/>
        </w:rPr>
        <w:t>A third link may</w:t>
      </w:r>
      <w:r w:rsidR="00503144">
        <w:rPr>
          <w:rFonts w:ascii="Times New Roman" w:eastAsia="Times New Roman" w:hAnsi="Times New Roman" w:cs="Times New Roman"/>
          <w:sz w:val="24"/>
          <w:szCs w:val="24"/>
        </w:rPr>
        <w:t xml:space="preserve"> also be established between things with smooth rectilinear edges (objects for an adult) and motion following direct contact given that</w:t>
      </w:r>
      <w:r>
        <w:rPr>
          <w:rFonts w:ascii="Times New Roman" w:eastAsia="Times New Roman" w:hAnsi="Times New Roman" w:cs="Times New Roman"/>
          <w:sz w:val="24"/>
          <w:szCs w:val="24"/>
        </w:rPr>
        <w:t xml:space="preserve"> objects </w:t>
      </w:r>
      <w:r w:rsidR="00503144">
        <w:rPr>
          <w:rFonts w:ascii="Times New Roman" w:eastAsia="Times New Roman" w:hAnsi="Times New Roman" w:cs="Times New Roman"/>
          <w:sz w:val="24"/>
          <w:szCs w:val="24"/>
        </w:rPr>
        <w:t xml:space="preserve">generally </w:t>
      </w:r>
      <w:r>
        <w:rPr>
          <w:rFonts w:ascii="Times New Roman" w:eastAsia="Times New Roman" w:hAnsi="Times New Roman" w:cs="Times New Roman"/>
          <w:sz w:val="24"/>
          <w:szCs w:val="24"/>
        </w:rPr>
        <w:t xml:space="preserve">only move </w:t>
      </w:r>
      <w:r w:rsidR="00503144">
        <w:rPr>
          <w:rFonts w:ascii="Times New Roman" w:eastAsia="Times New Roman" w:hAnsi="Times New Roman" w:cs="Times New Roman"/>
          <w:sz w:val="24"/>
          <w:szCs w:val="24"/>
        </w:rPr>
        <w:t>after contact</w:t>
      </w:r>
      <w:r w:rsidR="00A3221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argued that these associative relations will grow in strength each time infants encounter them in the real world. </w:t>
      </w:r>
    </w:p>
    <w:p w14:paraId="5303281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Once these associations have been established, the presence of one component of an association will activate a representation of the other. Thus, seeing action at a distance will activate a representation of elongated appendages. Crucially, this process is very likely bidirectional. This means that the presence of elongated appendages will activate a representation of movement through physical contact and action at a distance. This process has important implications for how infants should treat different action events. For example, if one component of a learned relation is present (e.g., smooth, rectilinear edges) but the other is not (e.g., motion through contact), this may cause infants to show heightened looking time, as if they are actively searching for the missing component. </w:t>
      </w:r>
    </w:p>
    <w:p w14:paraId="3B261502" w14:textId="35A2145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with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this is all that is needed to explain infants’ looking behaviors in studies that evaluate what, if anything, they know about people and object causal action; core knowledge systems are not necessary. Consider the Inanimate Object condition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for example. </w:t>
      </w:r>
      <w:r w:rsidR="00A34AC9">
        <w:rPr>
          <w:rFonts w:ascii="Times New Roman" w:eastAsia="Times New Roman" w:hAnsi="Times New Roman" w:cs="Times New Roman"/>
          <w:sz w:val="24"/>
          <w:szCs w:val="24"/>
        </w:rPr>
        <w:t xml:space="preserve">Infants may </w:t>
      </w:r>
      <w:r>
        <w:rPr>
          <w:rFonts w:ascii="Times New Roman" w:eastAsia="Times New Roman" w:hAnsi="Times New Roman" w:cs="Times New Roman"/>
          <w:sz w:val="24"/>
          <w:szCs w:val="24"/>
        </w:rPr>
        <w:t xml:space="preserve">look longer at the No Contact test event than at the Contact event because the depicted action-at-a-distance triggered an unfulfilled expectation for elongated appendages; the Contact event elicited less looking because the depicted action-feature relation was consistent with that observed in the real world. </w:t>
      </w:r>
      <w:r w:rsidR="00A34AC9">
        <w:rPr>
          <w:rFonts w:ascii="Times New Roman" w:eastAsia="Times New Roman" w:hAnsi="Times New Roman" w:cs="Times New Roman"/>
          <w:sz w:val="24"/>
          <w:szCs w:val="24"/>
        </w:rPr>
        <w:t>By co</w:t>
      </w:r>
      <w:r w:rsidR="004D4543">
        <w:rPr>
          <w:rFonts w:ascii="Times New Roman" w:eastAsia="Times New Roman" w:hAnsi="Times New Roman" w:cs="Times New Roman"/>
          <w:sz w:val="24"/>
          <w:szCs w:val="24"/>
        </w:rPr>
        <w:t>mparison</w:t>
      </w:r>
      <w:r w:rsidR="00A34AC9">
        <w:rPr>
          <w:rFonts w:ascii="Times New Roman" w:eastAsia="Times New Roman" w:hAnsi="Times New Roman" w:cs="Times New Roman"/>
          <w:sz w:val="24"/>
          <w:szCs w:val="24"/>
        </w:rPr>
        <w:t xml:space="preserve">, infants may look </w:t>
      </w:r>
      <w:r>
        <w:rPr>
          <w:rFonts w:ascii="Times New Roman" w:eastAsia="Times New Roman" w:hAnsi="Times New Roman" w:cs="Times New Roman"/>
          <w:sz w:val="24"/>
          <w:szCs w:val="24"/>
        </w:rPr>
        <w:t xml:space="preserve">equally long at both test events because the depicted motion-feature relations were consistent with those experienced in the real world. </w:t>
      </w:r>
    </w:p>
    <w:p w14:paraId="3F00D19B" w14:textId="56A4161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demonstrate that this account could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I instantiated it in a connectionist computational model. These models—much like the human brain—consist of simple “neuron-like” processing units that are organized into layers. Units in one layer interact with units in adjacent layers via a set of interconnected, synapse-like, real-valued, weighted connections. Thus, units in the bottommost, or </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input,</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layer interact with units </w:t>
      </w:r>
      <w:r>
        <w:rPr>
          <w:rFonts w:ascii="Times New Roman" w:eastAsia="Times New Roman" w:hAnsi="Times New Roman" w:cs="Times New Roman"/>
          <w:sz w:val="24"/>
          <w:szCs w:val="24"/>
        </w:rPr>
        <w:lastRenderedPageBreak/>
        <w:t xml:space="preserve">in an intermediate, or “hidden,” layer via one set of weighted connections, whereas units in the hidden layer interact with units in the final, or “output,” layer via a second set of connections. A system’s “knowledge” is stored in these interconnections. </w:t>
      </w:r>
    </w:p>
    <w:p w14:paraId="1D760605" w14:textId="05270DD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There are many reasons to adopt this formalism, but here I focus on four. First, compared to other modeling formalisms (e.g., Bayesian inference), connectionist models at their core </w:t>
      </w:r>
      <w:r w:rsidR="00643333">
        <w:rPr>
          <w:rFonts w:ascii="Times New Roman" w:eastAsia="Times New Roman" w:hAnsi="Times New Roman" w:cs="Times New Roman"/>
          <w:sz w:val="24"/>
          <w:szCs w:val="24"/>
        </w:rPr>
        <w:t xml:space="preserve">are </w:t>
      </w:r>
      <w:r>
        <w:rPr>
          <w:rFonts w:ascii="Times New Roman" w:eastAsia="Times New Roman" w:hAnsi="Times New Roman" w:cs="Times New Roman"/>
          <w:sz w:val="24"/>
          <w:szCs w:val="24"/>
        </w:rPr>
        <w:t xml:space="preserve">developmental (Benton, 2022, 2023, 2025; Benton et al., 2024; Mareschal &amp; Thomas, 2007; Rakison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2008). As is true for human infants and children, learning occurs through gradual adjustments to the weights throughout the network. Second, connectionist models are constructive</w:t>
      </w:r>
      <w:r w:rsidR="00643333">
        <w:rPr>
          <w:rFonts w:ascii="Times New Roman" w:eastAsia="Times New Roman" w:hAnsi="Times New Roman" w:cs="Times New Roman"/>
          <w:sz w:val="24"/>
          <w:szCs w:val="24"/>
        </w:rPr>
        <w:t>: they</w:t>
      </w:r>
      <w:r>
        <w:rPr>
          <w:rFonts w:ascii="Times New Roman" w:eastAsia="Times New Roman" w:hAnsi="Times New Roman" w:cs="Times New Roman"/>
          <w:sz w:val="24"/>
          <w:szCs w:val="24"/>
        </w:rPr>
        <w:t xml:space="preserve"> combine simpler components into more complex components (e.g., Cohen et al., 2002) and can even expand their architecture based on experience (e.g., Shultz, 2013). </w:t>
      </w:r>
    </w:p>
    <w:p w14:paraId="53D1B812" w14:textId="769BA44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Third, connectionist models </w:t>
      </w:r>
      <w:r w:rsidR="00643333">
        <w:rPr>
          <w:rFonts w:ascii="Times New Roman" w:eastAsia="Times New Roman" w:hAnsi="Times New Roman" w:cs="Times New Roman"/>
          <w:sz w:val="24"/>
          <w:szCs w:val="24"/>
        </w:rPr>
        <w:t>are fundamentally</w:t>
      </w:r>
      <w:r>
        <w:rPr>
          <w:rFonts w:ascii="Times New Roman" w:eastAsia="Times New Roman" w:hAnsi="Times New Roman" w:cs="Times New Roman"/>
          <w:sz w:val="24"/>
          <w:szCs w:val="24"/>
        </w:rPr>
        <w:t xml:space="preserve"> associative-learning devices. Given the central role that associative learning plays in the current account, it was essential that this be a feature of the model that implements it. Finally, connectionist models are mechanistic (Benton, 2026</w:t>
      </w:r>
      <w:r w:rsidR="003A35A2">
        <w:rPr>
          <w:rFonts w:ascii="Times New Roman" w:eastAsia="Times New Roman" w:hAnsi="Times New Roman" w:cs="Times New Roman"/>
          <w:sz w:val="24"/>
          <w:szCs w:val="24"/>
        </w:rPr>
        <w:t xml:space="preserve">); that is, </w:t>
      </w:r>
      <w:r>
        <w:rPr>
          <w:rFonts w:ascii="Times New Roman" w:eastAsia="Times New Roman" w:hAnsi="Times New Roman" w:cs="Times New Roman"/>
          <w:sz w:val="24"/>
          <w:szCs w:val="24"/>
        </w:rPr>
        <w:t xml:space="preserve">it is possible to show </w:t>
      </w:r>
      <w:r>
        <w:rPr>
          <w:rFonts w:ascii="Times New Roman" w:eastAsia="Times New Roman" w:hAnsi="Times New Roman" w:cs="Times New Roman"/>
          <w:i/>
          <w:iCs/>
          <w:sz w:val="24"/>
          <w:szCs w:val="24"/>
        </w:rPr>
        <w:t xml:space="preserve">how </w:t>
      </w:r>
      <w:r>
        <w:rPr>
          <w:rFonts w:ascii="Times New Roman" w:eastAsia="Times New Roman" w:hAnsi="Times New Roman" w:cs="Times New Roman"/>
          <w:sz w:val="24"/>
          <w:szCs w:val="24"/>
        </w:rPr>
        <w:t>a connectionist model that reproduced a target finding was able to do so. I will return to this</w:t>
      </w:r>
      <w:r w:rsidR="003A35A2">
        <w:rPr>
          <w:rFonts w:ascii="Times New Roman" w:eastAsia="Times New Roman" w:hAnsi="Times New Roman" w:cs="Times New Roman"/>
          <w:sz w:val="24"/>
          <w:szCs w:val="24"/>
        </w:rPr>
        <w:t xml:space="preserve"> point</w:t>
      </w:r>
      <w:r>
        <w:rPr>
          <w:rFonts w:ascii="Times New Roman" w:eastAsia="Times New Roman" w:hAnsi="Times New Roman" w:cs="Times New Roman"/>
          <w:sz w:val="24"/>
          <w:szCs w:val="24"/>
        </w:rPr>
        <w:t xml:space="preserve"> in the next section.  </w:t>
      </w:r>
    </w:p>
    <w:p w14:paraId="2F8F649B" w14:textId="77777777" w:rsidR="00F65544" w:rsidRDefault="00F65544">
      <w:pPr>
        <w:tabs>
          <w:tab w:val="left" w:pos="720"/>
        </w:tabs>
        <w:ind w:firstLine="0"/>
        <w:rPr>
          <w:rFonts w:ascii="Times New Roman" w:eastAsia="Times New Roman" w:hAnsi="Times New Roman" w:cs="Times New Roman"/>
          <w:sz w:val="24"/>
          <w:szCs w:val="24"/>
        </w:rPr>
      </w:pPr>
    </w:p>
    <w:p w14:paraId="2B134E86"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Figure 2</w:t>
      </w:r>
    </w:p>
    <w:p w14:paraId="1EB837B5"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Schematic of Benton’s (2025) network architecture </w:t>
      </w:r>
    </w:p>
    <w:p w14:paraId="1C3DEA1B" w14:textId="1025E1B6" w:rsidR="00F65544" w:rsidRDefault="00F84AF5">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850C7D4" wp14:editId="4734E788">
            <wp:extent cx="5943600" cy="3633470"/>
            <wp:effectExtent l="0" t="0" r="0" b="5080"/>
            <wp:docPr id="12853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92347" name="Picture 1285392347"/>
                    <pic:cNvPicPr/>
                  </pic:nvPicPr>
                  <pic:blipFill>
                    <a:blip r:embed="rId7">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Note</w:t>
      </w:r>
      <w:r>
        <w:rPr>
          <w:rFonts w:ascii="Times New Roman" w:eastAsia="Times New Roman" w:hAnsi="Times New Roman" w:cs="Times New Roman"/>
          <w:sz w:val="24"/>
          <w:szCs w:val="24"/>
        </w:rPr>
        <w:t xml:space="preserve">. The semi-transparent shape represents an absent object surface feature. </w:t>
      </w:r>
    </w:p>
    <w:p w14:paraId="40D4D26F" w14:textId="77777777" w:rsidR="00F8377F"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E4ACF00" w14:textId="2BAC93BC" w:rsidR="00F65544" w:rsidRDefault="00F8377F">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shown in Figure 2, the model consisted of three layers—input, hidden, and output. The input and output layers consisted of five different groups. Two of these groups captured a person’s or object’s perceptual identity, two of them captured their surface features (i.e., whether they possessed adult-defined legs or object parts), and the final group represented different kinds of action (i.e., adult-defined contact causality or action-at-a-distance). 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66F3E786" w14:textId="775562B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7643E">
        <w:rPr>
          <w:rFonts w:ascii="Times New Roman" w:eastAsia="Times New Roman" w:hAnsi="Times New Roman" w:cs="Times New Roman"/>
          <w:sz w:val="24"/>
          <w:szCs w:val="24"/>
        </w:rPr>
        <w:t>Simultaneously</w:t>
      </w:r>
      <w:r>
        <w:rPr>
          <w:rFonts w:ascii="Times New Roman" w:eastAsia="Times New Roman" w:hAnsi="Times New Roman" w:cs="Times New Roman"/>
          <w:sz w:val="24"/>
          <w:szCs w:val="24"/>
        </w:rPr>
        <w:t xml:space="preserve">, the model had to predict the location of each person or object at the next moment in time based on their position at the current moment. Thus, if an entity was located at </w:t>
      </w:r>
      <w:r>
        <w:rPr>
          <w:rFonts w:ascii="Times New Roman" w:eastAsia="Times New Roman" w:hAnsi="Times New Roman" w:cs="Times New Roman"/>
          <w:sz w:val="24"/>
          <w:szCs w:val="24"/>
        </w:rPr>
        <w:lastRenderedPageBreak/>
        <w:t>the far left of the motion group at the beginning of an action event (T</w:t>
      </w:r>
      <w:r>
        <w:rPr>
          <w:rFonts w:ascii="Times New Roman" w:eastAsia="Times New Roman" w:hAnsi="Times New Roman" w:cs="Times New Roman"/>
          <w:sz w:val="24"/>
          <w:szCs w:val="24"/>
          <w:vertAlign w:val="subscript"/>
        </w:rPr>
        <w:t>1</w:t>
      </w:r>
      <w:r>
        <w:rPr>
          <w:rFonts w:ascii="Times New Roman" w:eastAsia="Times New Roman" w:hAnsi="Times New Roman" w:cs="Times New Roman"/>
          <w:sz w:val="24"/>
          <w:szCs w:val="24"/>
        </w:rPr>
        <w:t xml:space="preserve"> in Figure 2), networks had to learn that it would be located one position over at the next point in time (T</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in Figure 2). During contact events, the first entity was spatially contiguous with the second entity at the</w:t>
      </w:r>
      <w:r w:rsidR="008922E3">
        <w:rPr>
          <w:rFonts w:ascii="Times New Roman" w:eastAsia="Times New Roman" w:hAnsi="Times New Roman" w:cs="Times New Roman"/>
          <w:sz w:val="24"/>
          <w:szCs w:val="24"/>
        </w:rPr>
        <w:t xml:space="preserve"> “center” of the motion group </w:t>
      </w:r>
      <w:r>
        <w:rPr>
          <w:rFonts w:ascii="Times New Roman" w:eastAsia="Times New Roman" w:hAnsi="Times New Roman" w:cs="Times New Roman"/>
          <w:sz w:val="24"/>
          <w:szCs w:val="24"/>
        </w:rPr>
        <w:t xml:space="preserve">when the former stopped and the latter began moving. The two entities were separated by one position when one </w:t>
      </w:r>
      <w:proofErr w:type="gramStart"/>
      <w:r>
        <w:rPr>
          <w:rFonts w:ascii="Times New Roman" w:eastAsia="Times New Roman" w:hAnsi="Times New Roman" w:cs="Times New Roman"/>
          <w:sz w:val="24"/>
          <w:szCs w:val="24"/>
        </w:rPr>
        <w:t>stopped</w:t>
      </w:r>
      <w:proofErr w:type="gramEnd"/>
      <w:r>
        <w:rPr>
          <w:rFonts w:ascii="Times New Roman" w:eastAsia="Times New Roman" w:hAnsi="Times New Roman" w:cs="Times New Roman"/>
          <w:sz w:val="24"/>
          <w:szCs w:val="24"/>
        </w:rPr>
        <w:t xml:space="preserve"> and the other began moving during action-at-a-distance events. To achieve the copying and prediction goals, networks needed to develop hidden representations that captured the most essential aspects of the input while also encoding each action’s sequential regularities as different events unfolded. </w:t>
      </w:r>
      <w:r w:rsidR="00335D98">
        <w:rPr>
          <w:rFonts w:ascii="Times New Roman" w:eastAsia="Times New Roman" w:hAnsi="Times New Roman" w:cs="Times New Roman"/>
          <w:sz w:val="24"/>
          <w:szCs w:val="24"/>
        </w:rPr>
        <w:t xml:space="preserve">Both goals were achieved via the backpropagation algorithm. </w:t>
      </w:r>
    </w:p>
    <w:p w14:paraId="3605E62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implement the theoretical assumption about infants’ real-world action experience, networks learned, during a phase that approximated the real-world, that entities possessing features typical of inanimate objects moved only when contacted. For things that possessed features typical of people, networks learned that they moved either when contacted or at a distance. Developmental differences were implemented by exposing “older” networks to a greater number of action events than “younger” networks. Older networks also differed from younger ones in their learning rate (i.e., learning speed) values, weight decay (i.e., rate of forgetting) values, and number of hidden units (i.e., information-storage capacity). </w:t>
      </w:r>
    </w:p>
    <w:p w14:paraId="1B5C5F2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 briefer habituation phase followed this “real world” phase. Networks—like the infants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(1995)—were assigned either to the Inanimate Object condition or to the People condition. Networks saw a different set of people and objects during this phase than those seen in the “real world.” To simulate the fact that infants were not provided specific motion information during habituation, motion information was omitted during habituation. This meant that the network’s only task was to copy the input-layer activity to the output layer. </w:t>
      </w:r>
    </w:p>
    <w:p w14:paraId="41BA6ED2" w14:textId="23A4D7C6"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All networks were then shown Contact and No Contact events during a subsequent test phase. The discrepancy (or “error”) mentioned earlier served as a proxy for looking time; the greater this discrepancy, the longer networks were assumed to have looked at an event. This operationalization is consistent with that used in developmental models like this one (e.g., Benton &amp; Hoch, 2026; Benton &amp; Lapan, 2022; Mareschal et al., 2000). As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older networks in the People condition produced an equivalent amount of error in response to the No Contact and Contact test events, whereas networks in the Inanimate Object condition produced more errors in response to the former than the latter event. Younger networks showed a different pattern of results altogether: They produced comparable errors in response to both test events irrespective of their assigned condition. The first implication of these results is that innate knowledge about people’s and objects’ causal behaviors—knowledge that is grounded in core systems—is not necessary to explain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associative learning is clearly sufficient. The second is that younger infants should demonstrate a qualitatively different looking pattern than did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How much younger these infants would need to be, </w:t>
      </w:r>
      <w:r w:rsidR="00634186">
        <w:rPr>
          <w:rFonts w:ascii="Times New Roman" w:eastAsia="Times New Roman" w:hAnsi="Times New Roman" w:cs="Times New Roman"/>
          <w:sz w:val="24"/>
          <w:szCs w:val="24"/>
        </w:rPr>
        <w:t>however</w:t>
      </w:r>
      <w:r>
        <w:rPr>
          <w:rFonts w:ascii="Times New Roman" w:eastAsia="Times New Roman" w:hAnsi="Times New Roman" w:cs="Times New Roman"/>
          <w:sz w:val="24"/>
          <w:szCs w:val="24"/>
        </w:rPr>
        <w:t xml:space="preserve">, remains an open question. </w:t>
      </w:r>
    </w:p>
    <w:p w14:paraId="283A5578" w14:textId="3458CDD0"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Two potential objections to these findings are nonetheless worth considering. One is that the older networks might have exhibited the same looking patterns as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simply because they never encountered objects moving on their own in the real world. Infants, by comparison, have probably seen objects move in the absence of an identifiable source of contact, even if such events are less frequent than those in which objects (or agents) cause other objects to move through contact. An infant who turns around just seconds after a wind-up toy has been set in motion, for example, would see the toy moving without having </w:t>
      </w:r>
      <w:r w:rsidR="006A7E0C">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t xml:space="preserve">witnessed what </w:t>
      </w:r>
      <w:r w:rsidR="002D6B91">
        <w:rPr>
          <w:rFonts w:ascii="Times New Roman" w:eastAsia="Times New Roman" w:hAnsi="Times New Roman" w:cs="Times New Roman"/>
          <w:sz w:val="24"/>
          <w:szCs w:val="24"/>
        </w:rPr>
        <w:t>instigated its motion</w:t>
      </w:r>
      <w:r>
        <w:rPr>
          <w:rFonts w:ascii="Times New Roman" w:eastAsia="Times New Roman" w:hAnsi="Times New Roman" w:cs="Times New Roman"/>
          <w:sz w:val="24"/>
          <w:szCs w:val="24"/>
        </w:rPr>
        <w:t xml:space="preserve">. I addressed this concern in a subsequent simulation by </w:t>
      </w:r>
      <w:r>
        <w:rPr>
          <w:rFonts w:ascii="Times New Roman" w:eastAsia="Times New Roman" w:hAnsi="Times New Roman" w:cs="Times New Roman"/>
          <w:sz w:val="24"/>
          <w:szCs w:val="24"/>
        </w:rPr>
        <w:lastRenderedPageBreak/>
        <w:t xml:space="preserve">manipulating how often objects moved </w:t>
      </w:r>
      <w:r w:rsidR="006A7E0C">
        <w:rPr>
          <w:rFonts w:ascii="Times New Roman" w:eastAsia="Times New Roman" w:hAnsi="Times New Roman" w:cs="Times New Roman"/>
          <w:sz w:val="24"/>
          <w:szCs w:val="24"/>
        </w:rPr>
        <w:t>unaided</w:t>
      </w:r>
      <w:r>
        <w:rPr>
          <w:rFonts w:ascii="Times New Roman" w:eastAsia="Times New Roman" w:hAnsi="Times New Roman" w:cs="Times New Roman"/>
          <w:sz w:val="24"/>
          <w:szCs w:val="24"/>
        </w:rPr>
        <w:t xml:space="preserve"> versus </w:t>
      </w:r>
      <w:r w:rsidR="006A7E0C">
        <w:rPr>
          <w:rFonts w:ascii="Times New Roman" w:eastAsia="Times New Roman" w:hAnsi="Times New Roman" w:cs="Times New Roman"/>
          <w:sz w:val="24"/>
          <w:szCs w:val="24"/>
        </w:rPr>
        <w:t xml:space="preserve">after </w:t>
      </w:r>
      <w:r>
        <w:rPr>
          <w:rFonts w:ascii="Times New Roman" w:eastAsia="Times New Roman" w:hAnsi="Times New Roman" w:cs="Times New Roman"/>
          <w:sz w:val="24"/>
          <w:szCs w:val="24"/>
        </w:rPr>
        <w:t xml:space="preserve">contact in the real world. Networks continued to replicate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al.’s (1995) findings even when exposed to many instances of objects moving on their own. These results suggest that the older networks’ initial success did not depend on a perfect correspondence between inanimate objects and contact causality. </w:t>
      </w:r>
    </w:p>
    <w:p w14:paraId="60ED94A3" w14:textId="247B3ED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Another potential objection is that the only reason older networks replicated infants’ looking patterns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was because the surface features that distinguished people from objects were specified in advance. Consequently, networks faced a markedly different task from that faced by infants in the real world: </w:t>
      </w:r>
      <w:r w:rsidR="00AC48F3">
        <w:rPr>
          <w:rFonts w:ascii="Times New Roman" w:eastAsia="Times New Roman" w:hAnsi="Times New Roman" w:cs="Times New Roman"/>
          <w:sz w:val="24"/>
          <w:szCs w:val="24"/>
        </w:rPr>
        <w:t>Developing</w:t>
      </w:r>
      <w:r>
        <w:rPr>
          <w:rFonts w:ascii="Times New Roman" w:eastAsia="Times New Roman" w:hAnsi="Times New Roman" w:cs="Times New Roman"/>
          <w:sz w:val="24"/>
          <w:szCs w:val="24"/>
        </w:rPr>
        <w:t xml:space="preserve"> robust associations between particular surface features and particular actions</w:t>
      </w:r>
      <w:r w:rsidR="00AC48F3">
        <w:rPr>
          <w:rFonts w:ascii="Times New Roman" w:eastAsia="Times New Roman" w:hAnsi="Times New Roman" w:cs="Times New Roman"/>
          <w:sz w:val="24"/>
          <w:szCs w:val="24"/>
        </w:rPr>
        <w:t xml:space="preserve"> requires that</w:t>
      </w:r>
      <w:r>
        <w:rPr>
          <w:rFonts w:ascii="Times New Roman" w:eastAsia="Times New Roman" w:hAnsi="Times New Roman" w:cs="Times New Roman"/>
          <w:sz w:val="24"/>
          <w:szCs w:val="24"/>
        </w:rPr>
        <w:t xml:space="preserve"> infants </w:t>
      </w:r>
      <w:r w:rsidR="00AC48F3">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t xml:space="preserve">attend to those features. As I argued at the outset of this section, </w:t>
      </w:r>
      <w:r w:rsidR="00AC48F3">
        <w:rPr>
          <w:rFonts w:ascii="Times New Roman" w:eastAsia="Times New Roman" w:hAnsi="Times New Roman" w:cs="Times New Roman"/>
          <w:sz w:val="24"/>
          <w:szCs w:val="24"/>
        </w:rPr>
        <w:t xml:space="preserve">the features that </w:t>
      </w:r>
      <w:r w:rsidR="00BB5618">
        <w:rPr>
          <w:rFonts w:ascii="Times New Roman" w:eastAsia="Times New Roman" w:hAnsi="Times New Roman" w:cs="Times New Roman"/>
          <w:sz w:val="24"/>
          <w:szCs w:val="24"/>
        </w:rPr>
        <w:t>infants are mo</w:t>
      </w:r>
      <w:r w:rsidR="00D164F4">
        <w:rPr>
          <w:rFonts w:ascii="Times New Roman" w:eastAsia="Times New Roman" w:hAnsi="Times New Roman" w:cs="Times New Roman"/>
          <w:sz w:val="24"/>
          <w:szCs w:val="24"/>
        </w:rPr>
        <w:t>st likely to attend to</w:t>
      </w:r>
      <w:r w:rsidR="00AC48F3">
        <w:rPr>
          <w:rFonts w:ascii="Times New Roman" w:eastAsia="Times New Roman" w:hAnsi="Times New Roman" w:cs="Times New Roman"/>
          <w:sz w:val="24"/>
          <w:szCs w:val="24"/>
        </w:rPr>
        <w:t xml:space="preserve"> are the</w:t>
      </w:r>
      <w:r w:rsidR="00D164F4">
        <w:rPr>
          <w:rFonts w:ascii="Times New Roman" w:eastAsia="Times New Roman" w:hAnsi="Times New Roman" w:cs="Times New Roman"/>
          <w:sz w:val="24"/>
          <w:szCs w:val="24"/>
        </w:rPr>
        <w:t xml:space="preserve"> perceptually salient </w:t>
      </w:r>
      <w:r w:rsidR="00AC48F3">
        <w:rPr>
          <w:rFonts w:ascii="Times New Roman" w:eastAsia="Times New Roman" w:hAnsi="Times New Roman" w:cs="Times New Roman"/>
          <w:sz w:val="24"/>
          <w:szCs w:val="24"/>
        </w:rPr>
        <w:t>ones</w:t>
      </w:r>
      <w:r w:rsidR="00D164F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addressed this concern in another simulation in which networks were presented with surface features that differed in their perceptual salience. Although all features occurred equally often with the different actions, the stronger associations nevertheless developed between the salient surface features and the patterns of causal action with which they covaried than between less salient features and those same patterns. In effect, networks identified the relevant features for themselves. </w:t>
      </w:r>
    </w:p>
    <w:p w14:paraId="156C2C53"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model also succeeded in reproducing key findings from other classic studies on this topic. For example, the model captured Saxe et al.’s (2005) finding that 10- and 12-month-olds looked longer when a human hand, but not a toy truck, appeared on the opposite side of the stage from which a beanbag had previously emerged. It also replicated Saxe et al.’s (2007) finding that 7- and 10-month-olds looked longer when a bean bag emerged from behind a screen concealing a toy truck than from behind one concealing a human hand or puppet. Finally, the model </w:t>
      </w:r>
      <w:r>
        <w:rPr>
          <w:rFonts w:ascii="Times New Roman" w:eastAsia="Times New Roman" w:hAnsi="Times New Roman" w:cs="Times New Roman"/>
          <w:sz w:val="24"/>
          <w:szCs w:val="24"/>
        </w:rPr>
        <w:lastRenderedPageBreak/>
        <w:t xml:space="preserve">reproduced Markson and </w:t>
      </w:r>
      <w:proofErr w:type="spellStart"/>
      <w:r>
        <w:rPr>
          <w:rFonts w:ascii="Times New Roman" w:eastAsia="Times New Roman" w:hAnsi="Times New Roman" w:cs="Times New Roman"/>
          <w:sz w:val="24"/>
          <w:szCs w:val="24"/>
        </w:rPr>
        <w:t>Spelke’s</w:t>
      </w:r>
      <w:proofErr w:type="spellEnd"/>
      <w:r>
        <w:rPr>
          <w:rFonts w:ascii="Times New Roman" w:eastAsia="Times New Roman" w:hAnsi="Times New Roman" w:cs="Times New Roman"/>
          <w:sz w:val="24"/>
          <w:szCs w:val="24"/>
        </w:rPr>
        <w:t xml:space="preserve"> (2006) finding that 7-month-olds looked longer at a previously self-propelled than previously made-to-move toy animal.</w:t>
      </w:r>
    </w:p>
    <w:p w14:paraId="71ED305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addition to capturing existing findings, the model generated several testable predictions. One is that infants younger than 7 months of age should show looking patterns similar to those of the 7-month-olds in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et al. (1995). Another is that these looking patterns should depend on the perceptual features of the objects and entities involved. For example, infants should exhibit looking patterns similar to those observed in the original People condition if they are habituated to objects that possess people parts (e.g., a cylinder with legs appended to its base). By contrast, infants should exhibit looking patterns more similar to those observed in the original Object condition if they are </w:t>
      </w:r>
      <w:proofErr w:type="gramStart"/>
      <w:r>
        <w:rPr>
          <w:rFonts w:ascii="Times New Roman" w:eastAsia="Times New Roman" w:hAnsi="Times New Roman" w:cs="Times New Roman"/>
          <w:sz w:val="24"/>
          <w:szCs w:val="24"/>
        </w:rPr>
        <w:t>habituated</w:t>
      </w:r>
      <w:proofErr w:type="gramEnd"/>
      <w:r>
        <w:rPr>
          <w:rFonts w:ascii="Times New Roman" w:eastAsia="Times New Roman" w:hAnsi="Times New Roman" w:cs="Times New Roman"/>
          <w:sz w:val="24"/>
          <w:szCs w:val="24"/>
        </w:rPr>
        <w:t xml:space="preserve"> to people that possess object parts (e.g., a person whose legs have been replaced with the base of a cylinder).  </w:t>
      </w:r>
    </w:p>
    <w:p w14:paraId="3364385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Presumably, each of these predictions is at odds with what would be predicted under the Core Knowledge account. For one thing, the Core Knowledge account provides no obvious reason to expect the particular developmental progression predicted by the model, given its assumption that infants possess innate knowledge about the causal behavior of people and objects. For another, a person’s or object’s surface features should have little, if any, bearing on how infants perceive their causal actions. This is because this account assumes that infants represent people and objects at a deeper, more abstract, and more conceptual level. Superficial changes to their surface features should therefore do very little to disrupt these representations. </w:t>
      </w:r>
    </w:p>
    <w:p w14:paraId="26D17CF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it remains to be seen whether associative learning subserves how infants perceive, process, encode, and represent the causal actions of people and objects, the fact that the current associative-learning account can capture findings previously interpreted as evidence of innate core knowledge provides a proof of principle that simple domain-general associative </w:t>
      </w:r>
      <w:proofErr w:type="gramStart"/>
      <w:r>
        <w:rPr>
          <w:rFonts w:ascii="Times New Roman" w:eastAsia="Times New Roman" w:hAnsi="Times New Roman" w:cs="Times New Roman"/>
          <w:sz w:val="24"/>
          <w:szCs w:val="24"/>
        </w:rPr>
        <w:lastRenderedPageBreak/>
        <w:t>learning—</w:t>
      </w:r>
      <w:proofErr w:type="gramEnd"/>
      <w:r>
        <w:rPr>
          <w:rFonts w:ascii="Times New Roman" w:eastAsia="Times New Roman" w:hAnsi="Times New Roman" w:cs="Times New Roman"/>
          <w:sz w:val="24"/>
          <w:szCs w:val="24"/>
        </w:rPr>
        <w:t xml:space="preserve">much like the sensorimotor connections in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vehicles—may be sufficient to explain infants’ looking behaviors in the corresponding studies. In the same way that the seemingly intelligent and autonomous behaviors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vehicles can be explained without invoking the psychologically sophisticated mechanisms that a naïve observer might attribute to them, infants’ looking behaviors may be explained without invoking cognitively sophisticated, inborn core knowledge systems for representing people and objects. </w:t>
      </w:r>
    </w:p>
    <w:p w14:paraId="4DB45ED5" w14:textId="77777777" w:rsidR="00F65544" w:rsidRDefault="00F65544">
      <w:pPr>
        <w:tabs>
          <w:tab w:val="left" w:pos="720"/>
        </w:tabs>
        <w:ind w:firstLine="0"/>
        <w:rPr>
          <w:rFonts w:ascii="Times New Roman" w:eastAsia="Times New Roman" w:hAnsi="Times New Roman" w:cs="Times New Roman"/>
          <w:sz w:val="24"/>
          <w:szCs w:val="24"/>
        </w:rPr>
      </w:pPr>
    </w:p>
    <w:p w14:paraId="1BA6ED52"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Putting </w:t>
      </w:r>
      <w:proofErr w:type="spellStart"/>
      <w:r>
        <w:rPr>
          <w:rFonts w:ascii="Times New Roman" w:eastAsia="Times New Roman" w:hAnsi="Times New Roman" w:cs="Times New Roman"/>
          <w:b/>
          <w:bCs/>
          <w:sz w:val="24"/>
          <w:szCs w:val="24"/>
        </w:rPr>
        <w:t>Braitenberg’s</w:t>
      </w:r>
      <w:proofErr w:type="spellEnd"/>
      <w:r>
        <w:rPr>
          <w:rFonts w:ascii="Times New Roman" w:eastAsia="Times New Roman" w:hAnsi="Times New Roman" w:cs="Times New Roman"/>
          <w:b/>
          <w:bCs/>
          <w:sz w:val="24"/>
          <w:szCs w:val="24"/>
        </w:rPr>
        <w:t xml:space="preserve"> deductive dictum into practice through computational modeling</w:t>
      </w:r>
    </w:p>
    <w:p w14:paraId="6DEB1164"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chief goal of science is to describe, predict, and explain (Allport, 1940). Achieving this goal in the human sciences is tantamount to identifying the mechanisms and processes that underlie behavior and cognition. Yet because these mechanisms cannot be directly observed and therefore must be inferred, identifying them in practice is no easy feat. The standard developmental-science approach of inferring underlying </w:t>
      </w:r>
      <w:proofErr w:type="gramStart"/>
      <w:r>
        <w:rPr>
          <w:rFonts w:ascii="Times New Roman" w:eastAsia="Times New Roman" w:hAnsi="Times New Roman" w:cs="Times New Roman"/>
          <w:sz w:val="24"/>
          <w:szCs w:val="24"/>
        </w:rPr>
        <w:t>mechanism</w:t>
      </w:r>
      <w:proofErr w:type="gramEnd"/>
      <w:r>
        <w:rPr>
          <w:rFonts w:ascii="Times New Roman" w:eastAsia="Times New Roman" w:hAnsi="Times New Roman" w:cs="Times New Roman"/>
          <w:sz w:val="24"/>
          <w:szCs w:val="24"/>
        </w:rPr>
        <w:t xml:space="preserve"> from observed behavior is insufficient because, as was previously discussed, the space of possible generating mechanisms is woefully </w:t>
      </w:r>
      <w:proofErr w:type="spellStart"/>
      <w:r>
        <w:rPr>
          <w:rFonts w:ascii="Times New Roman" w:eastAsia="Times New Roman" w:hAnsi="Times New Roman" w:cs="Times New Roman"/>
          <w:sz w:val="24"/>
          <w:szCs w:val="24"/>
        </w:rPr>
        <w:t>underconstrained</w:t>
      </w:r>
      <w:proofErr w:type="spellEnd"/>
      <w:r>
        <w:rPr>
          <w:rFonts w:ascii="Times New Roman" w:eastAsia="Times New Roman" w:hAnsi="Times New Roman" w:cs="Times New Roman"/>
          <w:sz w:val="24"/>
          <w:szCs w:val="24"/>
        </w:rPr>
        <w:t xml:space="preserve"> by behavior. The puzzle, then, is this: How can we identify the mechanisms that give rise to behavior if behavior alone cannot tell us what the mechanisms are? </w:t>
      </w:r>
    </w:p>
    <w:p w14:paraId="6E0728C7"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suggest that computational modeling is the answer. There are several reasons why this is the case. First, computational modeling enables researchers to establish whether a candidate mechanism is sufficient to produce the target behavior. Second, a computational model’s behavior in a novel situation </w:t>
      </w:r>
      <w:proofErr w:type="gramStart"/>
      <w:r>
        <w:rPr>
          <w:rFonts w:ascii="Times New Roman" w:eastAsia="Times New Roman" w:hAnsi="Times New Roman" w:cs="Times New Roman"/>
          <w:sz w:val="24"/>
          <w:szCs w:val="24"/>
        </w:rPr>
        <w:t>can</w:t>
      </w:r>
      <w:proofErr w:type="gramEnd"/>
      <w:r>
        <w:rPr>
          <w:rFonts w:ascii="Times New Roman" w:eastAsia="Times New Roman" w:hAnsi="Times New Roman" w:cs="Times New Roman"/>
          <w:sz w:val="24"/>
          <w:szCs w:val="24"/>
        </w:rPr>
        <w:t xml:space="preserve"> serve as a prediction for how people might perform in a similar situation </w:t>
      </w:r>
      <w:r>
        <w:rPr>
          <w:rFonts w:ascii="Times New Roman" w:eastAsia="Times New Roman" w:hAnsi="Times New Roman" w:cs="Times New Roman"/>
          <w:i/>
          <w:iCs/>
          <w:sz w:val="24"/>
          <w:szCs w:val="24"/>
        </w:rPr>
        <w:t xml:space="preserve">if the mechanism implemented by the model is the one that underlies participants’ behaviors. </w:t>
      </w:r>
      <w:r>
        <w:rPr>
          <w:rFonts w:ascii="Times New Roman" w:eastAsia="Times New Roman" w:hAnsi="Times New Roman" w:cs="Times New Roman"/>
          <w:sz w:val="24"/>
          <w:szCs w:val="24"/>
        </w:rPr>
        <w:t xml:space="preserve">The computational model discussed in the previous section provided an illustration of both of these virtues. The model not only demonstrated that associative learning was sufficient to </w:t>
      </w:r>
      <w:r>
        <w:rPr>
          <w:rFonts w:ascii="Times New Roman" w:eastAsia="Times New Roman" w:hAnsi="Times New Roman" w:cs="Times New Roman"/>
          <w:sz w:val="24"/>
          <w:szCs w:val="24"/>
        </w:rPr>
        <w:lastRenderedPageBreak/>
        <w:t xml:space="preserve">explain infants’ looking behaviors in studies that examined their knowledge about people and object causal action, but it generated several testable predictions. </w:t>
      </w:r>
    </w:p>
    <w:p w14:paraId="23B45973"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virtues are not new and have been discussed at length elsewhere (e.g., Mareschal &amp; Thomas, 2007; </w:t>
      </w:r>
      <w:proofErr w:type="spellStart"/>
      <w:r>
        <w:rPr>
          <w:rFonts w:ascii="Times New Roman" w:eastAsia="Times New Roman" w:hAnsi="Times New Roman" w:cs="Times New Roman"/>
          <w:sz w:val="24"/>
          <w:szCs w:val="24"/>
        </w:rPr>
        <w:t>Yermolayeva</w:t>
      </w:r>
      <w:proofErr w:type="spellEnd"/>
      <w:r>
        <w:rPr>
          <w:rFonts w:ascii="Times New Roman" w:eastAsia="Times New Roman" w:hAnsi="Times New Roman" w:cs="Times New Roman"/>
          <w:sz w:val="24"/>
          <w:szCs w:val="24"/>
        </w:rPr>
        <w:t xml:space="preserve"> &amp; Rakison, 2014). A virtue that arguably has not been discussed to the same degree is that computational models can reveal how—or through what mechanisms and processes—their behavior is generated. In connectionist models like the one discussed in the previous section, for example, this can be accomplished through careful analysis of either the network’s connection weights (e.g., Endress &amp; Johnson, 2021), learned internal representations (e.g., Colunga &amp; Smith, 2005; Munakata et al., 1997), or internal components and processing dynamics (e.g., Rogers &amp; McClelland, 2004). Such analyses, in turn, can provide valuable insight into the potential mechanistic basis of infants’ and children’s own behavior.  </w:t>
      </w:r>
    </w:p>
    <w:p w14:paraId="58D84DB1" w14:textId="13A48CEB"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 did not conduct any of these analyses in Benton (2025), I did examine the processing dynamics of a connectionist model in Benton (2026). This study investigated whether 2-, 3-, and 4-year-olds could use a more advanced form of associative learning, called </w:t>
      </w:r>
      <w:r>
        <w:rPr>
          <w:rFonts w:ascii="Times New Roman" w:eastAsia="Times New Roman" w:hAnsi="Times New Roman" w:cs="Times New Roman"/>
          <w:i/>
          <w:iCs/>
          <w:sz w:val="24"/>
          <w:szCs w:val="24"/>
        </w:rPr>
        <w:t>second-order correlation learning</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to make causal inferences. </w:t>
      </w:r>
      <w:r w:rsidR="00201D78">
        <w:rPr>
          <w:rFonts w:ascii="Times New Roman" w:eastAsia="Times New Roman" w:hAnsi="Times New Roman" w:cs="Times New Roman"/>
          <w:sz w:val="24"/>
          <w:szCs w:val="24"/>
        </w:rPr>
        <w:t>As an illustration</w:t>
      </w:r>
      <w:r>
        <w:rPr>
          <w:rFonts w:ascii="Times New Roman" w:eastAsia="Times New Roman" w:hAnsi="Times New Roman" w:cs="Times New Roman"/>
          <w:sz w:val="24"/>
          <w:szCs w:val="24"/>
        </w:rPr>
        <w:t xml:space="preserve">, imagine that a child learns, on separate occasions, that a novel machine’s activation and a heart-shaped sticker are each associated with object A. If the child subsequently infers that a novel object that possesses one of those features (say the heart-shaped sticker) is more likely to produce the effect than an otherwise identical object that possesses a different feature, they would be said to have used second-order correlation learning to make a causal inference. I showed, both in this study and in others (e.g., Benton et al., 2021; Rakison &amp; Benton, 2019), that children could do precisely this. </w:t>
      </w:r>
    </w:p>
    <w:p w14:paraId="7D2972FD"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critical feature of this task is that success in it requires that children first be able to detect the trained second-order correlations. How was this achieved? My approach to answering </w:t>
      </w:r>
      <w:r>
        <w:rPr>
          <w:rFonts w:ascii="Times New Roman" w:eastAsia="Times New Roman" w:hAnsi="Times New Roman" w:cs="Times New Roman"/>
          <w:sz w:val="24"/>
          <w:szCs w:val="24"/>
        </w:rPr>
        <w:lastRenderedPageBreak/>
        <w:t xml:space="preserve">this question was twofold. First, I trained a connectionist model on a computational analogue of the behavioral task. Second, I examined the model’s processing dynamics to ascertain how sensitivity to second-order correlations emerged. The analyses suggested that such sensitivity was the consequence of features presented in two separate learning phases becoming linked to a common internal representation. A consequence of this arrangement is that when the common representation is activated by one of the features, so too is the other feature, and this is true despite the fact that the two features never occurred together during training. </w:t>
      </w:r>
    </w:p>
    <w:p w14:paraId="3A2D3F22" w14:textId="55483099"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w:t>
      </w:r>
      <w:r w:rsidR="0026581D">
        <w:rPr>
          <w:rFonts w:ascii="Times New Roman" w:eastAsia="Times New Roman" w:hAnsi="Times New Roman" w:cs="Times New Roman"/>
          <w:sz w:val="24"/>
          <w:szCs w:val="24"/>
        </w:rPr>
        <w:t>the mechanistic basis of this sensitivity remains unsettled</w:t>
      </w:r>
      <w:r>
        <w:rPr>
          <w:rFonts w:ascii="Times New Roman" w:eastAsia="Times New Roman" w:hAnsi="Times New Roman" w:cs="Times New Roman"/>
          <w:sz w:val="24"/>
          <w:szCs w:val="24"/>
        </w:rPr>
        <w:t xml:space="preserve"> (for other accounts, see Kumaran &amp; McClelland, 2012; Unger et al., 2023; Zhou et al., 2023), analyzing the model’s dynamics in this way offered something that inferences from behavior alone cannot: a computationally explicit account of how a particular mechanism generates a target behavior. More generally, computational modeling provides a means of putting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dictum into practice. By allowing researchers to instantiate their verbal theories in explicit and computational terms, computational modeling makes it possible to determine whether seemingly sophisticated behaviors can be produced by relatively simple processes. </w:t>
      </w:r>
    </w:p>
    <w:p w14:paraId="74DBD27E" w14:textId="77777777" w:rsidR="00F65544" w:rsidRDefault="00F65544">
      <w:pPr>
        <w:tabs>
          <w:tab w:val="left" w:pos="720"/>
        </w:tabs>
        <w:ind w:firstLine="0"/>
        <w:rPr>
          <w:rFonts w:ascii="Times New Roman" w:eastAsia="Times New Roman" w:hAnsi="Times New Roman" w:cs="Times New Roman"/>
          <w:sz w:val="24"/>
          <w:szCs w:val="24"/>
        </w:rPr>
      </w:pPr>
    </w:p>
    <w:p w14:paraId="30270F21"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Conclusions</w:t>
      </w:r>
    </w:p>
    <w:p w14:paraId="657C396E" w14:textId="421E1CA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central lesson of </w:t>
      </w:r>
      <w:proofErr w:type="spellStart"/>
      <w:r>
        <w:rPr>
          <w:rFonts w:ascii="Times New Roman" w:eastAsia="Times New Roman" w:hAnsi="Times New Roman" w:cs="Times New Roman"/>
          <w:sz w:val="24"/>
          <w:szCs w:val="24"/>
        </w:rPr>
        <w:t>Braitenberg’s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is as simple as it is profound: Behaviors that appear to be generated by cognitively sophisticated mechanisms may, in fact, arise from relatively simple ones. The goal of this chapter was to demonstrate the explanatory power of one such mechanism: associative learning. I showed that this mechanism, in conjunction with certain inherent perceptual biases, can generate behavioral patterns previously attributed to innate core knowledge systems. These findings demonstrate that infants need not be endowed with domain-</w:t>
      </w:r>
      <w:r>
        <w:rPr>
          <w:rFonts w:ascii="Times New Roman" w:eastAsia="Times New Roman" w:hAnsi="Times New Roman" w:cs="Times New Roman"/>
          <w:sz w:val="24"/>
          <w:szCs w:val="24"/>
        </w:rPr>
        <w:lastRenderedPageBreak/>
        <w:t xml:space="preserve">specific mechanisms to explain their behavior. </w:t>
      </w:r>
      <w:r w:rsidR="0047643E">
        <w:rPr>
          <w:rFonts w:ascii="Times New Roman" w:eastAsia="Times New Roman" w:hAnsi="Times New Roman" w:cs="Times New Roman"/>
          <w:sz w:val="24"/>
          <w:szCs w:val="24"/>
        </w:rPr>
        <w:t>Whether</w:t>
      </w:r>
      <w:r>
        <w:rPr>
          <w:rFonts w:ascii="Times New Roman" w:eastAsia="Times New Roman" w:hAnsi="Times New Roman" w:cs="Times New Roman"/>
          <w:sz w:val="24"/>
          <w:szCs w:val="24"/>
        </w:rPr>
        <w:t xml:space="preserve"> domain-general mechanisms like associative learning provide a better explanation of this behavior than domain-specific core-knowledge systems</w:t>
      </w:r>
      <w:r w:rsidR="0047643E">
        <w:rPr>
          <w:rFonts w:ascii="Times New Roman" w:eastAsia="Times New Roman" w:hAnsi="Times New Roman" w:cs="Times New Roman"/>
          <w:sz w:val="24"/>
          <w:szCs w:val="24"/>
        </w:rPr>
        <w:t xml:space="preserve"> is nevertheless an empirical question</w:t>
      </w:r>
      <w:r>
        <w:rPr>
          <w:rFonts w:ascii="Times New Roman" w:eastAsia="Times New Roman" w:hAnsi="Times New Roman" w:cs="Times New Roman"/>
          <w:sz w:val="24"/>
          <w:szCs w:val="24"/>
        </w:rPr>
        <w:t>.</w:t>
      </w:r>
      <w:r w:rsidR="0047643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Researchers can </w:t>
      </w:r>
      <w:r w:rsidR="006025AA">
        <w:rPr>
          <w:rFonts w:ascii="Times New Roman" w:eastAsia="Times New Roman" w:hAnsi="Times New Roman" w:cs="Times New Roman"/>
          <w:sz w:val="24"/>
          <w:szCs w:val="24"/>
        </w:rPr>
        <w:t xml:space="preserve">begin to make headway on this issue </w:t>
      </w:r>
      <w:r>
        <w:rPr>
          <w:rFonts w:ascii="Times New Roman" w:eastAsia="Times New Roman" w:hAnsi="Times New Roman" w:cs="Times New Roman"/>
          <w:sz w:val="24"/>
          <w:szCs w:val="24"/>
        </w:rPr>
        <w:t>by instantiating their competing verbal theories in computational models, deriving discriminating predictions from those models, and evaluating those predictions in light of infants’ and children’s actual behavior. The status quo of working backward from behavior to mechanism alone will not suffice.</w:t>
      </w:r>
    </w:p>
    <w:p w14:paraId="69B425FF" w14:textId="77777777" w:rsidR="00F65544" w:rsidRDefault="00000000">
      <w:pPr>
        <w:spacing w:after="160" w:line="278" w:lineRule="auto"/>
        <w:ind w:firstLine="0"/>
        <w:rPr>
          <w:rFonts w:ascii="Times New Roman" w:eastAsia="Times New Roman" w:hAnsi="Times New Roman" w:cs="Times New Roman"/>
          <w:sz w:val="24"/>
          <w:szCs w:val="24"/>
        </w:rPr>
      </w:pPr>
      <w:r>
        <w:br w:type="page"/>
      </w:r>
    </w:p>
    <w:p w14:paraId="3F229D33" w14:textId="77777777" w:rsidR="00F65544" w:rsidRDefault="00000000">
      <w:pPr>
        <w:tabs>
          <w:tab w:val="left" w:pos="720"/>
        </w:tabs>
        <w:ind w:firstLin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2DF5872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Allport, G. W. (1940). The psychologist's frame of reference. </w:t>
      </w:r>
      <w:r>
        <w:rPr>
          <w:rFonts w:ascii="Times New Roman" w:eastAsia="Times New Roman" w:hAnsi="Times New Roman" w:cs="Times New Roman"/>
          <w:i/>
          <w:iCs/>
          <w:sz w:val="24"/>
          <w:szCs w:val="24"/>
        </w:rPr>
        <w:t>Psychological Bulletin, 37</w:t>
      </w:r>
      <w:r>
        <w:rPr>
          <w:rFonts w:ascii="Times New Roman" w:eastAsia="Times New Roman" w:hAnsi="Times New Roman" w:cs="Times New Roman"/>
          <w:sz w:val="24"/>
          <w:szCs w:val="24"/>
        </w:rPr>
        <w:t xml:space="preserve">(1), 1–28. </w:t>
      </w:r>
      <w:hyperlink r:id="rId8">
        <w:r w:rsidR="00F65544">
          <w:rPr>
            <w:rFonts w:ascii="Times New Roman" w:eastAsia="Times New Roman" w:hAnsi="Times New Roman" w:cs="Times New Roman"/>
            <w:color w:val="467886"/>
            <w:sz w:val="24"/>
            <w:szCs w:val="24"/>
            <w:u w:val="single"/>
          </w:rPr>
          <w:t>https://doi.org/10.1037/h0060064</w:t>
        </w:r>
      </w:hyperlink>
    </w:p>
    <w:p w14:paraId="3F4E533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Adolph, K. E., &amp; Joh, A. S. (2009). Multiple learning mechanisms in the development of action.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172-207.</w:t>
      </w:r>
    </w:p>
    <w:p w14:paraId="3ADAFE0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(2022). The elusive “Developmental Mechanism”: What they are and how to study and test them. </w:t>
      </w:r>
      <w:r>
        <w:rPr>
          <w:rFonts w:ascii="Times New Roman" w:eastAsia="Times New Roman" w:hAnsi="Times New Roman" w:cs="Times New Roman"/>
          <w:i/>
          <w:iCs/>
          <w:sz w:val="24"/>
          <w:szCs w:val="24"/>
        </w:rPr>
        <w:t>Developmental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65</w:t>
      </w:r>
      <w:r>
        <w:rPr>
          <w:rFonts w:ascii="Times New Roman" w:eastAsia="Times New Roman" w:hAnsi="Times New Roman" w:cs="Times New Roman"/>
          <w:sz w:val="24"/>
          <w:szCs w:val="24"/>
        </w:rPr>
        <w:t xml:space="preserve">, 101034. </w:t>
      </w:r>
      <w:hyperlink r:id="rId9">
        <w:r w:rsidR="00F65544">
          <w:rPr>
            <w:rFonts w:ascii="Times New Roman" w:eastAsia="Times New Roman" w:hAnsi="Times New Roman" w:cs="Times New Roman"/>
            <w:color w:val="467886"/>
            <w:sz w:val="24"/>
            <w:szCs w:val="24"/>
            <w:u w:val="single"/>
          </w:rPr>
          <w:t>https://doi.org/10.1016/j.dr.2022.101034</w:t>
        </w:r>
      </w:hyperlink>
    </w:p>
    <w:p w14:paraId="7E4F5F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(2023). But what is the mechanism?’: Demystifying the ever elusive ‘developmental mechanism’. </w:t>
      </w:r>
      <w:r>
        <w:rPr>
          <w:rFonts w:ascii="Times New Roman" w:eastAsia="Times New Roman" w:hAnsi="Times New Roman" w:cs="Times New Roman"/>
          <w:i/>
          <w:iCs/>
          <w:sz w:val="24"/>
          <w:szCs w:val="24"/>
        </w:rPr>
        <w:t>Infant and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32</w:t>
      </w:r>
      <w:r>
        <w:rPr>
          <w:rFonts w:ascii="Times New Roman" w:eastAsia="Times New Roman" w:hAnsi="Times New Roman" w:cs="Times New Roman"/>
          <w:sz w:val="24"/>
          <w:szCs w:val="24"/>
        </w:rPr>
        <w:t xml:space="preserve">(6), e2355. </w:t>
      </w:r>
      <w:hyperlink r:id="rId10">
        <w:r w:rsidR="00F65544">
          <w:rPr>
            <w:rFonts w:ascii="Times New Roman" w:eastAsia="Times New Roman" w:hAnsi="Times New Roman" w:cs="Times New Roman"/>
            <w:color w:val="467886"/>
            <w:sz w:val="24"/>
            <w:szCs w:val="24"/>
            <w:u w:val="single"/>
          </w:rPr>
          <w:t>https://doi.org/10.1002/icd.2355</w:t>
        </w:r>
      </w:hyperlink>
    </w:p>
    <w:p w14:paraId="461C1E5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154</w:t>
      </w:r>
      <w:r>
        <w:rPr>
          <w:rFonts w:ascii="Times New Roman" w:eastAsia="Times New Roman" w:hAnsi="Times New Roman" w:cs="Times New Roman"/>
          <w:sz w:val="24"/>
          <w:szCs w:val="24"/>
        </w:rPr>
        <w:t xml:space="preserve">(2), 497–521. </w:t>
      </w:r>
      <w:hyperlink r:id="rId11">
        <w:r w:rsidR="00F65544">
          <w:rPr>
            <w:rFonts w:ascii="Times New Roman" w:eastAsia="Times New Roman" w:hAnsi="Times New Roman" w:cs="Times New Roman"/>
            <w:color w:val="467886"/>
            <w:sz w:val="24"/>
            <w:szCs w:val="24"/>
            <w:u w:val="single"/>
          </w:rPr>
          <w:t>https://doi.org/10.1037/xge0001656</w:t>
        </w:r>
      </w:hyperlink>
    </w:p>
    <w:p w14:paraId="3FC4864F" w14:textId="77777777" w:rsidR="00F65544" w:rsidRDefault="00000000">
      <w:pPr>
        <w:tabs>
          <w:tab w:val="left" w:pos="720"/>
        </w:tabs>
        <w:ind w:hanging="720"/>
      </w:pPr>
      <w:r>
        <w:rPr>
          <w:rFonts w:ascii="Times New Roman" w:eastAsia="Times New Roman" w:hAnsi="Times New Roman" w:cs="Times New Roman"/>
          <w:sz w:val="24"/>
          <w:szCs w:val="24"/>
        </w:rPr>
        <w:t xml:space="preserve">Benton, D. T. (2026). Second-order correlation learning in 2- to 4-year-old children, and its underlying mechanism.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267</w:t>
      </w:r>
      <w:r>
        <w:rPr>
          <w:rFonts w:ascii="Times New Roman" w:eastAsia="Times New Roman" w:hAnsi="Times New Roman" w:cs="Times New Roman"/>
          <w:sz w:val="24"/>
          <w:szCs w:val="24"/>
        </w:rPr>
        <w:t xml:space="preserve">, 106494. </w:t>
      </w:r>
      <w:hyperlink r:id="rId12">
        <w:r w:rsidR="00F65544">
          <w:rPr>
            <w:rFonts w:ascii="Times New Roman" w:eastAsia="Times New Roman" w:hAnsi="Times New Roman" w:cs="Times New Roman"/>
            <w:color w:val="467886"/>
            <w:sz w:val="24"/>
            <w:szCs w:val="24"/>
            <w:u w:val="single"/>
          </w:rPr>
          <w:t>https://doi.org/10.1016/j.jecp.2026.106494</w:t>
        </w:r>
      </w:hyperlink>
    </w:p>
    <w:p w14:paraId="71615FF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&amp; Hoch, J. E. (2026). An associative learning account of how saliva becomes a cue for comfort. </w:t>
      </w:r>
      <w:r>
        <w:rPr>
          <w:rFonts w:ascii="Times New Roman" w:eastAsia="Times New Roman" w:hAnsi="Times New Roman" w:cs="Times New Roman"/>
          <w:i/>
          <w:iCs/>
          <w:sz w:val="24"/>
          <w:szCs w:val="24"/>
        </w:rPr>
        <w:t>Child Development</w:t>
      </w:r>
      <w:r>
        <w:rPr>
          <w:rFonts w:ascii="Times New Roman" w:eastAsia="Times New Roman" w:hAnsi="Times New Roman" w:cs="Times New Roman"/>
          <w:sz w:val="24"/>
          <w:szCs w:val="24"/>
        </w:rPr>
        <w:t xml:space="preserve">, aacag119. </w:t>
      </w:r>
      <w:hyperlink r:id="rId13">
        <w:r w:rsidR="00F65544">
          <w:rPr>
            <w:rFonts w:ascii="Times New Roman" w:eastAsia="Times New Roman" w:hAnsi="Times New Roman" w:cs="Times New Roman"/>
            <w:color w:val="467886"/>
            <w:sz w:val="24"/>
            <w:szCs w:val="24"/>
            <w:u w:val="single"/>
          </w:rPr>
          <w:t>https://doi.org/10.1093/chidev/aacag119</w:t>
        </w:r>
      </w:hyperlink>
    </w:p>
    <w:p w14:paraId="3FAB4359"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e13464. </w:t>
      </w:r>
      <w:hyperlink r:id="rId14">
        <w:r w:rsidR="00F65544">
          <w:rPr>
            <w:rFonts w:ascii="Times New Roman" w:eastAsia="Times New Roman" w:hAnsi="Times New Roman" w:cs="Times New Roman"/>
            <w:color w:val="467886"/>
            <w:sz w:val="24"/>
            <w:szCs w:val="24"/>
            <w:u w:val="single"/>
          </w:rPr>
          <w:t>https://doi.org/10.1111/desc.13464</w:t>
        </w:r>
      </w:hyperlink>
    </w:p>
    <w:p w14:paraId="284385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Benton, D. T., &amp; Lapan, C. (2022). Moral masters or moral apprentices? A connectionist account of sociomoral evaluation in preverbal infants.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62</w:t>
      </w:r>
      <w:r>
        <w:rPr>
          <w:rFonts w:ascii="Times New Roman" w:eastAsia="Times New Roman" w:hAnsi="Times New Roman" w:cs="Times New Roman"/>
          <w:sz w:val="24"/>
          <w:szCs w:val="24"/>
        </w:rPr>
        <w:t xml:space="preserve">, 101164. </w:t>
      </w:r>
      <w:hyperlink r:id="rId15">
        <w:r w:rsidR="00F65544">
          <w:rPr>
            <w:rFonts w:ascii="Times New Roman" w:eastAsia="Times New Roman" w:hAnsi="Times New Roman" w:cs="Times New Roman"/>
            <w:color w:val="467886"/>
            <w:sz w:val="24"/>
            <w:szCs w:val="24"/>
            <w:u w:val="single"/>
          </w:rPr>
          <w:t>https://doi.org/10.1016/j.cogdev.2022.101164</w:t>
        </w:r>
      </w:hyperlink>
    </w:p>
    <w:p w14:paraId="415AB80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Rakison, D. H., &amp; Sobel, D. M. (2021). When correlation equals causation: A behavioral and computational account of second-order correlation learning in children.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202</w:t>
      </w:r>
      <w:r>
        <w:rPr>
          <w:rFonts w:ascii="Times New Roman" w:eastAsia="Times New Roman" w:hAnsi="Times New Roman" w:cs="Times New Roman"/>
          <w:sz w:val="24"/>
          <w:szCs w:val="24"/>
        </w:rPr>
        <w:t xml:space="preserve">, 105008. </w:t>
      </w:r>
      <w:hyperlink r:id="rId16">
        <w:r w:rsidR="00F65544">
          <w:rPr>
            <w:rFonts w:ascii="Times New Roman" w:eastAsia="Times New Roman" w:hAnsi="Times New Roman" w:cs="Times New Roman"/>
            <w:color w:val="467886"/>
            <w:sz w:val="24"/>
            <w:szCs w:val="24"/>
            <w:u w:val="single"/>
          </w:rPr>
          <w:t>https://doi.org/10.1016/j.jecp.2020.105008</w:t>
        </w:r>
      </w:hyperlink>
    </w:p>
    <w:p w14:paraId="50526943"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Braitenberg</w:t>
      </w:r>
      <w:proofErr w:type="spellEnd"/>
      <w:r>
        <w:rPr>
          <w:rFonts w:ascii="Times New Roman" w:eastAsia="Times New Roman" w:hAnsi="Times New Roman" w:cs="Times New Roman"/>
          <w:sz w:val="24"/>
          <w:szCs w:val="24"/>
        </w:rPr>
        <w:t xml:space="preserve">, V. (1986). </w:t>
      </w:r>
      <w:r>
        <w:rPr>
          <w:rFonts w:ascii="Times New Roman" w:eastAsia="Times New Roman" w:hAnsi="Times New Roman" w:cs="Times New Roman"/>
          <w:i/>
          <w:iCs/>
          <w:sz w:val="24"/>
          <w:szCs w:val="24"/>
        </w:rPr>
        <w:t>Vehicles: Experiments in synthetic psychology</w:t>
      </w:r>
      <w:r>
        <w:rPr>
          <w:rFonts w:ascii="Times New Roman" w:eastAsia="Times New Roman" w:hAnsi="Times New Roman" w:cs="Times New Roman"/>
          <w:sz w:val="24"/>
          <w:szCs w:val="24"/>
        </w:rPr>
        <w:t>. MIT Press.</w:t>
      </w:r>
    </w:p>
    <w:p w14:paraId="049D1A3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Carey, S. (2009). </w:t>
      </w:r>
      <w:r>
        <w:rPr>
          <w:rFonts w:ascii="Times New Roman" w:eastAsia="Times New Roman" w:hAnsi="Times New Roman" w:cs="Times New Roman"/>
          <w:i/>
          <w:iCs/>
          <w:sz w:val="24"/>
          <w:szCs w:val="24"/>
        </w:rPr>
        <w:t>The origin of concepts.</w:t>
      </w:r>
      <w:r>
        <w:rPr>
          <w:rFonts w:ascii="Times New Roman" w:eastAsia="Times New Roman" w:hAnsi="Times New Roman" w:cs="Times New Roman"/>
          <w:sz w:val="24"/>
          <w:szCs w:val="24"/>
        </w:rPr>
        <w:t xml:space="preserve"> Oxford University Press. </w:t>
      </w:r>
      <w:hyperlink r:id="rId17">
        <w:r w:rsidR="00F65544">
          <w:rPr>
            <w:rFonts w:ascii="Times New Roman" w:eastAsia="Times New Roman" w:hAnsi="Times New Roman" w:cs="Times New Roman"/>
            <w:color w:val="467886"/>
            <w:sz w:val="24"/>
            <w:szCs w:val="24"/>
            <w:u w:val="single"/>
          </w:rPr>
          <w:t>https://doi.org/10.1093/acprof:oso/9780195367638.001.0001</w:t>
        </w:r>
      </w:hyperlink>
    </w:p>
    <w:p w14:paraId="1A027E0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Chaput, H. H., &amp; Cashon, C. H. (2002). A constructivist model of infant cognition.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1323-1343. </w:t>
      </w:r>
      <w:hyperlink r:id="rId18">
        <w:r w:rsidR="00F65544">
          <w:rPr>
            <w:rFonts w:ascii="Times New Roman" w:eastAsia="Times New Roman" w:hAnsi="Times New Roman" w:cs="Times New Roman"/>
            <w:color w:val="467886"/>
            <w:sz w:val="24"/>
            <w:szCs w:val="24"/>
            <w:u w:val="single"/>
          </w:rPr>
          <w:t>https://doi.org/10.1016/S0885-2014(02)00124-7</w:t>
        </w:r>
      </w:hyperlink>
    </w:p>
    <w:p w14:paraId="6CA99D2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&amp; Marks, K. S. (2002). How infants process addition and subtraction events.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5</w:t>
      </w:r>
      <w:r>
        <w:rPr>
          <w:rFonts w:ascii="Times New Roman" w:eastAsia="Times New Roman" w:hAnsi="Times New Roman" w:cs="Times New Roman"/>
          <w:sz w:val="24"/>
          <w:szCs w:val="24"/>
        </w:rPr>
        <w:t xml:space="preserve">(2), 186-201. </w:t>
      </w:r>
      <w:hyperlink r:id="rId19">
        <w:r w:rsidR="00F65544">
          <w:rPr>
            <w:rFonts w:ascii="Times New Roman" w:eastAsia="Times New Roman" w:hAnsi="Times New Roman" w:cs="Times New Roman"/>
            <w:color w:val="467886"/>
            <w:sz w:val="24"/>
            <w:szCs w:val="24"/>
            <w:u w:val="single"/>
          </w:rPr>
          <w:t>https://doi.org/10.1111/1467-7687.00220</w:t>
        </w:r>
      </w:hyperlink>
    </w:p>
    <w:p w14:paraId="41FF778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Colunga, E., &amp; Smith, L. B. (2005). From the lexicon to expectations about kinds: A role for associative learning.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112</w:t>
      </w:r>
      <w:r>
        <w:rPr>
          <w:rFonts w:ascii="Times New Roman" w:eastAsia="Times New Roman" w:hAnsi="Times New Roman" w:cs="Times New Roman"/>
          <w:sz w:val="24"/>
          <w:szCs w:val="24"/>
        </w:rPr>
        <w:t xml:space="preserve">(2), 347–382. </w:t>
      </w:r>
      <w:hyperlink r:id="rId20">
        <w:r w:rsidR="00F65544">
          <w:rPr>
            <w:rFonts w:ascii="Times New Roman" w:eastAsia="Times New Roman" w:hAnsi="Times New Roman" w:cs="Times New Roman"/>
            <w:color w:val="467886"/>
            <w:sz w:val="24"/>
            <w:szCs w:val="24"/>
            <w:u w:val="single"/>
          </w:rPr>
          <w:t>https://doi.org/10.1037/0033-295X.112.2.347</w:t>
        </w:r>
      </w:hyperlink>
    </w:p>
    <w:p w14:paraId="00994818" w14:textId="77777777" w:rsidR="00F65544" w:rsidRDefault="00000000">
      <w:pPr>
        <w:tabs>
          <w:tab w:val="left" w:pos="720"/>
        </w:tabs>
        <w:ind w:hanging="720"/>
      </w:pPr>
      <w:r>
        <w:rPr>
          <w:rFonts w:ascii="Times New Roman" w:eastAsia="Times New Roman" w:hAnsi="Times New Roman" w:cs="Times New Roman"/>
          <w:sz w:val="24"/>
          <w:szCs w:val="24"/>
        </w:rPr>
        <w:t xml:space="preserve">Endress, A. D., &amp; Johnson, S. P. (2021). When forgetting fosters learning: A neural network model for statistical learning. </w:t>
      </w:r>
      <w:r>
        <w:rPr>
          <w:rFonts w:ascii="Times New Roman" w:eastAsia="Times New Roman" w:hAnsi="Times New Roman" w:cs="Times New Roman"/>
          <w:i/>
          <w:iCs/>
          <w:sz w:val="24"/>
          <w:szCs w:val="24"/>
        </w:rPr>
        <w:t>Cognition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213</w:t>
      </w:r>
      <w:r>
        <w:rPr>
          <w:rFonts w:ascii="Times New Roman" w:eastAsia="Times New Roman" w:hAnsi="Times New Roman" w:cs="Times New Roman"/>
          <w:sz w:val="24"/>
          <w:szCs w:val="24"/>
        </w:rPr>
        <w:t xml:space="preserve">, 104621. </w:t>
      </w:r>
      <w:hyperlink r:id="rId21">
        <w:r w:rsidR="00F65544">
          <w:rPr>
            <w:rFonts w:ascii="Times New Roman" w:eastAsia="Times New Roman" w:hAnsi="Times New Roman" w:cs="Times New Roman"/>
            <w:color w:val="467886"/>
            <w:sz w:val="24"/>
            <w:szCs w:val="24"/>
            <w:u w:val="single"/>
          </w:rPr>
          <w:t>https://doi.org/10.1016/j.cognition.2021.104621</w:t>
        </w:r>
      </w:hyperlink>
    </w:p>
    <w:p w14:paraId="136F70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(2018). </w:t>
      </w:r>
      <w:r>
        <w:rPr>
          <w:rFonts w:ascii="Times New Roman" w:eastAsia="Times New Roman" w:hAnsi="Times New Roman" w:cs="Times New Roman"/>
          <w:i/>
          <w:iCs/>
          <w:sz w:val="24"/>
          <w:szCs w:val="24"/>
        </w:rPr>
        <w:t>Cognitive gadgets: The cultural evolution of thinking</w:t>
      </w:r>
      <w:r>
        <w:rPr>
          <w:rFonts w:ascii="Times New Roman" w:eastAsia="Times New Roman" w:hAnsi="Times New Roman" w:cs="Times New Roman"/>
          <w:sz w:val="24"/>
          <w:szCs w:val="24"/>
        </w:rPr>
        <w:t xml:space="preserve">. Harvard University Press. </w:t>
      </w:r>
      <w:hyperlink r:id="rId22">
        <w:r w:rsidR="00F65544">
          <w:rPr>
            <w:rFonts w:ascii="Times New Roman" w:eastAsia="Times New Roman" w:hAnsi="Times New Roman" w:cs="Times New Roman"/>
            <w:color w:val="467886"/>
            <w:sz w:val="24"/>
            <w:szCs w:val="24"/>
            <w:u w:val="single"/>
          </w:rPr>
          <w:t>https://doi.org/10.4159/9780674985155</w:t>
        </w:r>
      </w:hyperlink>
    </w:p>
    <w:p w14:paraId="35311AB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M., &amp; Ray, E. D. (2000). What is the significance of imitation in animals? </w:t>
      </w:r>
      <w:r>
        <w:rPr>
          <w:rFonts w:ascii="Times New Roman" w:eastAsia="Times New Roman" w:hAnsi="Times New Roman" w:cs="Times New Roman"/>
          <w:i/>
          <w:iCs/>
          <w:sz w:val="24"/>
          <w:szCs w:val="24"/>
        </w:rPr>
        <w:t xml:space="preserve">In Advances in the Study of Behavior </w:t>
      </w:r>
      <w:r>
        <w:rPr>
          <w:rFonts w:ascii="Times New Roman" w:eastAsia="Times New Roman" w:hAnsi="Times New Roman" w:cs="Times New Roman"/>
          <w:sz w:val="24"/>
          <w:szCs w:val="24"/>
        </w:rPr>
        <w:t>(Vol. 29, pp. 215-245). Academic Press.</w:t>
      </w:r>
    </w:p>
    <w:p w14:paraId="37D9D1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Johnson, S. P. (2009). Developmental origins of object perception. </w:t>
      </w:r>
      <w:r>
        <w:rPr>
          <w:rFonts w:ascii="Times New Roman" w:eastAsia="Times New Roman" w:hAnsi="Times New Roman" w:cs="Times New Roman"/>
          <w:i/>
          <w:iCs/>
          <w:sz w:val="24"/>
          <w:szCs w:val="24"/>
        </w:rPr>
        <w:t>Learning and the Infant Mind</w:t>
      </w:r>
      <w:r>
        <w:rPr>
          <w:rFonts w:ascii="Times New Roman" w:eastAsia="Times New Roman" w:hAnsi="Times New Roman" w:cs="Times New Roman"/>
          <w:sz w:val="24"/>
          <w:szCs w:val="24"/>
        </w:rPr>
        <w:t>, 47-65.</w:t>
      </w:r>
    </w:p>
    <w:p w14:paraId="3A4431F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Kosugi, D., &amp; Fujita, K. (2002). How do 8-month-old infants recognize causality in object motion and that in human action? 1. </w:t>
      </w:r>
      <w:r>
        <w:rPr>
          <w:rFonts w:ascii="Times New Roman" w:eastAsia="Times New Roman" w:hAnsi="Times New Roman" w:cs="Times New Roman"/>
          <w:i/>
          <w:iCs/>
          <w:sz w:val="24"/>
          <w:szCs w:val="24"/>
        </w:rPr>
        <w:t>Japanese Psychological Research</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44(</w:t>
      </w:r>
      <w:r>
        <w:rPr>
          <w:rFonts w:ascii="Times New Roman" w:eastAsia="Times New Roman" w:hAnsi="Times New Roman" w:cs="Times New Roman"/>
          <w:sz w:val="24"/>
          <w:szCs w:val="24"/>
        </w:rPr>
        <w:t xml:space="preserve">2), 66-78. </w:t>
      </w:r>
      <w:hyperlink r:id="rId23">
        <w:r w:rsidR="00F65544">
          <w:rPr>
            <w:rFonts w:ascii="Times New Roman" w:eastAsia="Times New Roman" w:hAnsi="Times New Roman" w:cs="Times New Roman"/>
            <w:color w:val="467886"/>
            <w:sz w:val="24"/>
            <w:szCs w:val="24"/>
            <w:u w:val="single"/>
          </w:rPr>
          <w:t>https://doi.org/10.1111/1468-5884.00008</w:t>
        </w:r>
      </w:hyperlink>
    </w:p>
    <w:p w14:paraId="653E313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Kumaran, D., &amp; McClelland, J. L. (2012). Generalization through the recurrent interaction of episodic memories: A model of the hippocampal system.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119</w:t>
      </w:r>
      <w:r>
        <w:rPr>
          <w:rFonts w:ascii="Times New Roman" w:eastAsia="Times New Roman" w:hAnsi="Times New Roman" w:cs="Times New Roman"/>
          <w:sz w:val="24"/>
          <w:szCs w:val="24"/>
        </w:rPr>
        <w:t xml:space="preserve">(3), 573–616. </w:t>
      </w:r>
      <w:hyperlink r:id="rId24">
        <w:r w:rsidR="00F65544">
          <w:rPr>
            <w:rFonts w:ascii="Times New Roman" w:eastAsia="Times New Roman" w:hAnsi="Times New Roman" w:cs="Times New Roman"/>
            <w:color w:val="467886"/>
            <w:sz w:val="24"/>
            <w:szCs w:val="24"/>
            <w:u w:val="single"/>
          </w:rPr>
          <w:t>https://doi.org/10.1037/a0028681</w:t>
        </w:r>
      </w:hyperlink>
    </w:p>
    <w:p w14:paraId="1DF2EC51" w14:textId="77777777" w:rsidR="00F65544" w:rsidRDefault="00000000">
      <w:pPr>
        <w:tabs>
          <w:tab w:val="left" w:pos="720"/>
        </w:tabs>
        <w:ind w:hanging="720"/>
      </w:pPr>
      <w:r>
        <w:rPr>
          <w:rFonts w:ascii="Times New Roman" w:eastAsia="Times New Roman" w:hAnsi="Times New Roman" w:cs="Times New Roman"/>
          <w:sz w:val="24"/>
          <w:szCs w:val="24"/>
        </w:rPr>
        <w:t xml:space="preserve">Mareschal, D., French, R. M., &amp; Quinn, P. C. (2000). A connectionist account of asymmetric category learning in early infancy.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36</w:t>
      </w:r>
      <w:r>
        <w:rPr>
          <w:rFonts w:ascii="Times New Roman" w:eastAsia="Times New Roman" w:hAnsi="Times New Roman" w:cs="Times New Roman"/>
          <w:sz w:val="24"/>
          <w:szCs w:val="24"/>
        </w:rPr>
        <w:t xml:space="preserve">(5), 635–645. </w:t>
      </w:r>
      <w:hyperlink r:id="rId25">
        <w:r w:rsidR="00F65544">
          <w:rPr>
            <w:rFonts w:ascii="Times New Roman" w:eastAsia="Times New Roman" w:hAnsi="Times New Roman" w:cs="Times New Roman"/>
            <w:color w:val="467886"/>
            <w:sz w:val="24"/>
            <w:szCs w:val="24"/>
            <w:u w:val="single"/>
          </w:rPr>
          <w:t>https://doi.org/10.1037/0012-1649.36.5.635</w:t>
        </w:r>
      </w:hyperlink>
    </w:p>
    <w:p w14:paraId="0B609108"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Mareschal, D., &amp; Thomas, M. S. C. (2007). Computational modelling in developmental psychology. </w:t>
      </w:r>
      <w:r>
        <w:rPr>
          <w:rFonts w:ascii="Times New Roman" w:eastAsia="Times New Roman" w:hAnsi="Times New Roman" w:cs="Times New Roman"/>
          <w:i/>
          <w:iCs/>
          <w:sz w:val="24"/>
          <w:szCs w:val="24"/>
        </w:rPr>
        <w:t>IEEE Transactions on Evolutionary Computation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w:t>
      </w:r>
      <w:r>
        <w:rPr>
          <w:rFonts w:ascii="Times New Roman" w:eastAsia="Times New Roman" w:hAnsi="Times New Roman" w:cs="Times New Roman"/>
          <w:sz w:val="24"/>
          <w:szCs w:val="24"/>
        </w:rPr>
        <w:t>(2), 137–150.</w:t>
      </w:r>
      <w:r>
        <w:t xml:space="preserve"> </w:t>
      </w:r>
      <w:hyperlink r:id="rId26">
        <w:r w:rsidR="00F65544">
          <w:rPr>
            <w:rFonts w:ascii="Times New Roman" w:eastAsia="Times New Roman" w:hAnsi="Times New Roman" w:cs="Times New Roman"/>
            <w:color w:val="467886"/>
            <w:sz w:val="24"/>
            <w:szCs w:val="24"/>
            <w:u w:val="single"/>
          </w:rPr>
          <w:t>https://doi.org/10.1002/wcs.67</w:t>
        </w:r>
      </w:hyperlink>
    </w:p>
    <w:p w14:paraId="12A89CD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Markson, L.,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(2006). Infants’ rapid learning about self-Propelled objects.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(1), 45–71. </w:t>
      </w:r>
      <w:hyperlink r:id="rId27">
        <w:r w:rsidR="00F65544">
          <w:rPr>
            <w:rFonts w:ascii="Times New Roman" w:eastAsia="Times New Roman" w:hAnsi="Times New Roman" w:cs="Times New Roman"/>
            <w:color w:val="467886"/>
            <w:sz w:val="24"/>
            <w:szCs w:val="24"/>
            <w:u w:val="single"/>
          </w:rPr>
          <w:t>https://doi.org/10.1207/s15327078in0901_3</w:t>
        </w:r>
      </w:hyperlink>
    </w:p>
    <w:p w14:paraId="699517F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McCrink, K., &amp; Wynn, K. (2004). Large-number addition and subtraction by 9-month-old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w:t>
      </w:r>
      <w:r>
        <w:rPr>
          <w:rFonts w:ascii="Times New Roman" w:eastAsia="Times New Roman" w:hAnsi="Times New Roman" w:cs="Times New Roman"/>
          <w:sz w:val="24"/>
          <w:szCs w:val="24"/>
        </w:rPr>
        <w:t xml:space="preserve">(11), 776-781. </w:t>
      </w:r>
      <w:hyperlink r:id="rId28">
        <w:r w:rsidR="00F65544">
          <w:rPr>
            <w:rFonts w:ascii="Times New Roman" w:eastAsia="Times New Roman" w:hAnsi="Times New Roman" w:cs="Times New Roman"/>
            <w:color w:val="467886"/>
            <w:sz w:val="24"/>
            <w:szCs w:val="24"/>
            <w:u w:val="single"/>
          </w:rPr>
          <w:t>https://doi.org/10.1111/j.0956-7976.2004.00755.x</w:t>
        </w:r>
      </w:hyperlink>
    </w:p>
    <w:p w14:paraId="17C5BD0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Meck, W. H., &amp; Church, R. M. (1983). A mode control model of counting and timing processes. </w:t>
      </w:r>
      <w:r>
        <w:rPr>
          <w:rFonts w:ascii="Times New Roman" w:eastAsia="Times New Roman" w:hAnsi="Times New Roman" w:cs="Times New Roman"/>
          <w:i/>
          <w:iCs/>
          <w:sz w:val="24"/>
          <w:szCs w:val="24"/>
        </w:rPr>
        <w:t>Journal of Experimental Psychology: Animal Behavior Processes,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(3), 320–334. </w:t>
      </w:r>
      <w:hyperlink r:id="rId29">
        <w:r w:rsidR="00F65544">
          <w:rPr>
            <w:rFonts w:ascii="Times New Roman" w:eastAsia="Times New Roman" w:hAnsi="Times New Roman" w:cs="Times New Roman"/>
            <w:color w:val="467886"/>
            <w:sz w:val="24"/>
            <w:szCs w:val="24"/>
            <w:u w:val="single"/>
          </w:rPr>
          <w:t>https://doi.org/10.1037/0097-7403.9.3.320</w:t>
        </w:r>
      </w:hyperlink>
    </w:p>
    <w:p w14:paraId="17F2261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Mermier, J., </w:t>
      </w:r>
      <w:proofErr w:type="spellStart"/>
      <w:r>
        <w:rPr>
          <w:rFonts w:ascii="Times New Roman" w:eastAsia="Times New Roman" w:hAnsi="Times New Roman" w:cs="Times New Roman"/>
          <w:sz w:val="24"/>
          <w:szCs w:val="24"/>
        </w:rPr>
        <w:t>Quadrelli</w:t>
      </w:r>
      <w:proofErr w:type="spellEnd"/>
      <w:r>
        <w:rPr>
          <w:rFonts w:ascii="Times New Roman" w:eastAsia="Times New Roman" w:hAnsi="Times New Roman" w:cs="Times New Roman"/>
          <w:sz w:val="24"/>
          <w:szCs w:val="24"/>
        </w:rPr>
        <w:t xml:space="preserve">, E., Turati, C., &amp; </w:t>
      </w:r>
      <w:proofErr w:type="spellStart"/>
      <w:r>
        <w:rPr>
          <w:rFonts w:ascii="Times New Roman" w:eastAsia="Times New Roman" w:hAnsi="Times New Roman" w:cs="Times New Roman"/>
          <w:sz w:val="24"/>
          <w:szCs w:val="24"/>
        </w:rPr>
        <w:t>Bulf</w:t>
      </w:r>
      <w:proofErr w:type="spellEnd"/>
      <w:r>
        <w:rPr>
          <w:rFonts w:ascii="Times New Roman" w:eastAsia="Times New Roman" w:hAnsi="Times New Roman" w:cs="Times New Roman"/>
          <w:sz w:val="24"/>
          <w:szCs w:val="24"/>
        </w:rPr>
        <w:t xml:space="preserve">, H. (2022). Sequential learning of emotional faces is statistical at 12 months of age.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479-491. </w:t>
      </w:r>
      <w:hyperlink r:id="rId30">
        <w:r w:rsidR="00F65544">
          <w:rPr>
            <w:rFonts w:ascii="Times New Roman" w:eastAsia="Times New Roman" w:hAnsi="Times New Roman" w:cs="Times New Roman"/>
            <w:color w:val="467886"/>
            <w:sz w:val="24"/>
            <w:szCs w:val="24"/>
            <w:u w:val="single"/>
          </w:rPr>
          <w:t>https://doi.org/10.1111/infa.12463</w:t>
        </w:r>
      </w:hyperlink>
    </w:p>
    <w:p w14:paraId="3FAB103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Minsky, M., &amp; </w:t>
      </w:r>
      <w:proofErr w:type="spellStart"/>
      <w:r>
        <w:rPr>
          <w:rFonts w:ascii="Times New Roman" w:eastAsia="Times New Roman" w:hAnsi="Times New Roman" w:cs="Times New Roman"/>
          <w:sz w:val="24"/>
          <w:szCs w:val="24"/>
        </w:rPr>
        <w:t>Papert</w:t>
      </w:r>
      <w:proofErr w:type="spellEnd"/>
      <w:r>
        <w:rPr>
          <w:rFonts w:ascii="Times New Roman" w:eastAsia="Times New Roman" w:hAnsi="Times New Roman" w:cs="Times New Roman"/>
          <w:sz w:val="24"/>
          <w:szCs w:val="24"/>
        </w:rPr>
        <w:t xml:space="preserve">, S. (1969). </w:t>
      </w:r>
      <w:proofErr w:type="spellStart"/>
      <w:r>
        <w:rPr>
          <w:rFonts w:ascii="Times New Roman" w:eastAsia="Times New Roman" w:hAnsi="Times New Roman" w:cs="Times New Roman"/>
          <w:sz w:val="24"/>
          <w:szCs w:val="24"/>
        </w:rPr>
        <w:t>Perceptrons</w:t>
      </w:r>
      <w:proofErr w:type="spellEnd"/>
      <w:r>
        <w:rPr>
          <w:rFonts w:ascii="Times New Roman" w:eastAsia="Times New Roman" w:hAnsi="Times New Roman" w:cs="Times New Roman"/>
          <w:sz w:val="24"/>
          <w:szCs w:val="24"/>
        </w:rPr>
        <w:t>: An introduction to computational geometry. M.I.T. Press.</w:t>
      </w:r>
    </w:p>
    <w:p w14:paraId="20994CF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Mix, K. S. (2002). The construction of number concepts.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1345-1363. </w:t>
      </w:r>
      <w:hyperlink r:id="rId31">
        <w:r w:rsidR="00F65544">
          <w:rPr>
            <w:rFonts w:ascii="Times New Roman" w:eastAsia="Times New Roman" w:hAnsi="Times New Roman" w:cs="Times New Roman"/>
            <w:color w:val="467886"/>
            <w:sz w:val="24"/>
            <w:szCs w:val="24"/>
            <w:u w:val="single"/>
          </w:rPr>
          <w:t>https://doi.org/10.1016/S0885-2014(02)00123-5</w:t>
        </w:r>
      </w:hyperlink>
    </w:p>
    <w:p w14:paraId="3429A04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Morton, J., &amp; Johnson, M. H. (1991). CONSPEC and CONLERN: A two-process theory of infant face recognition.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98</w:t>
      </w:r>
      <w:r>
        <w:rPr>
          <w:rFonts w:ascii="Times New Roman" w:eastAsia="Times New Roman" w:hAnsi="Times New Roman" w:cs="Times New Roman"/>
          <w:sz w:val="24"/>
          <w:szCs w:val="24"/>
        </w:rPr>
        <w:t xml:space="preserve">(2), 164–181. </w:t>
      </w:r>
      <w:hyperlink r:id="rId32">
        <w:r w:rsidR="00F65544">
          <w:rPr>
            <w:rFonts w:ascii="Times New Roman" w:eastAsia="Times New Roman" w:hAnsi="Times New Roman" w:cs="Times New Roman"/>
            <w:color w:val="467886"/>
            <w:sz w:val="24"/>
            <w:szCs w:val="24"/>
            <w:u w:val="single"/>
          </w:rPr>
          <w:t>https://doi.org/10.1037/0033-295X.98.2.164</w:t>
        </w:r>
      </w:hyperlink>
    </w:p>
    <w:p w14:paraId="3BF69EC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104</w:t>
      </w:r>
      <w:r>
        <w:rPr>
          <w:rFonts w:ascii="Times New Roman" w:eastAsia="Times New Roman" w:hAnsi="Times New Roman" w:cs="Times New Roman"/>
          <w:sz w:val="24"/>
          <w:szCs w:val="24"/>
        </w:rPr>
        <w:t xml:space="preserve">(4), 686–713. </w:t>
      </w:r>
      <w:hyperlink r:id="rId33">
        <w:r w:rsidR="00F65544">
          <w:rPr>
            <w:rFonts w:ascii="Times New Roman" w:eastAsia="Times New Roman" w:hAnsi="Times New Roman" w:cs="Times New Roman"/>
            <w:color w:val="467886"/>
            <w:sz w:val="24"/>
            <w:szCs w:val="24"/>
            <w:u w:val="single"/>
          </w:rPr>
          <w:t>https://doi.org/10.1037/0033-295X.104.4.686</w:t>
        </w:r>
      </w:hyperlink>
    </w:p>
    <w:p w14:paraId="7F353F94"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Pavlov, I. P. (1927). Conditioned reflexes: An investigation of the physiological activity of the cerebral cortex (G. V. Anrep, Trans.). Oxford University Press.</w:t>
      </w:r>
    </w:p>
    <w:p w14:paraId="38D51F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Perner, J., &amp; Ruffman, T. (2005). Infants' insight into the mind: How deep? </w:t>
      </w:r>
      <w:r>
        <w:rPr>
          <w:rFonts w:ascii="Times New Roman" w:eastAsia="Times New Roman" w:hAnsi="Times New Roman" w:cs="Times New Roman"/>
          <w:i/>
          <w:iCs/>
          <w:sz w:val="24"/>
          <w:szCs w:val="24"/>
        </w:rPr>
        <w:t>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308</w:t>
      </w:r>
      <w:r>
        <w:rPr>
          <w:rFonts w:ascii="Times New Roman" w:eastAsia="Times New Roman" w:hAnsi="Times New Roman" w:cs="Times New Roman"/>
          <w:sz w:val="24"/>
          <w:szCs w:val="24"/>
        </w:rPr>
        <w:t xml:space="preserve">(5719), 214-216. </w:t>
      </w:r>
      <w:hyperlink r:id="rId34">
        <w:r w:rsidR="00F65544">
          <w:rPr>
            <w:rFonts w:ascii="Times New Roman" w:eastAsia="Times New Roman" w:hAnsi="Times New Roman" w:cs="Times New Roman"/>
            <w:color w:val="467886"/>
            <w:sz w:val="24"/>
            <w:szCs w:val="24"/>
            <w:u w:val="single"/>
          </w:rPr>
          <w:t>https://doi.org/10.1126/science.1111656</w:t>
        </w:r>
      </w:hyperlink>
    </w:p>
    <w:p w14:paraId="632392CE" w14:textId="77777777" w:rsidR="00F65544" w:rsidRDefault="00000000">
      <w:pPr>
        <w:tabs>
          <w:tab w:val="left" w:pos="720"/>
        </w:tabs>
        <w:ind w:hanging="720"/>
      </w:pPr>
      <w:r>
        <w:rPr>
          <w:rFonts w:ascii="Times New Roman" w:eastAsia="Times New Roman" w:hAnsi="Times New Roman" w:cs="Times New Roman"/>
          <w:sz w:val="24"/>
          <w:szCs w:val="24"/>
        </w:rPr>
        <w:t xml:space="preserve">Quinn, P. C., &amp; </w:t>
      </w:r>
      <w:proofErr w:type="spellStart"/>
      <w:r>
        <w:rPr>
          <w:rFonts w:ascii="Times New Roman" w:eastAsia="Times New Roman" w:hAnsi="Times New Roman" w:cs="Times New Roman"/>
          <w:sz w:val="24"/>
          <w:szCs w:val="24"/>
        </w:rPr>
        <w:t>Eimas</w:t>
      </w:r>
      <w:proofErr w:type="spellEnd"/>
      <w:r>
        <w:rPr>
          <w:rFonts w:ascii="Times New Roman" w:eastAsia="Times New Roman" w:hAnsi="Times New Roman" w:cs="Times New Roman"/>
          <w:sz w:val="24"/>
          <w:szCs w:val="24"/>
        </w:rPr>
        <w:t xml:space="preserve">, P. D. (1997). A reexamination of the perceptual-to-conceptual shift in mental representations. </w:t>
      </w:r>
      <w:r>
        <w:rPr>
          <w:rFonts w:ascii="Times New Roman" w:eastAsia="Times New Roman" w:hAnsi="Times New Roman" w:cs="Times New Roman"/>
          <w:i/>
          <w:iCs/>
          <w:sz w:val="24"/>
          <w:szCs w:val="24"/>
        </w:rPr>
        <w:t>Review of General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w:t>
      </w:r>
      <w:r>
        <w:rPr>
          <w:rFonts w:ascii="Times New Roman" w:eastAsia="Times New Roman" w:hAnsi="Times New Roman" w:cs="Times New Roman"/>
          <w:sz w:val="24"/>
          <w:szCs w:val="24"/>
        </w:rPr>
        <w:t xml:space="preserve">(3), 271-287. </w:t>
      </w:r>
      <w:hyperlink r:id="rId35">
        <w:r w:rsidR="00F65544">
          <w:rPr>
            <w:rFonts w:ascii="Times New Roman" w:eastAsia="Times New Roman" w:hAnsi="Times New Roman" w:cs="Times New Roman"/>
            <w:color w:val="467886"/>
            <w:sz w:val="24"/>
            <w:szCs w:val="24"/>
            <w:u w:val="single"/>
          </w:rPr>
          <w:t>https://doi.org/10.1037/1089-2680.1.3.271</w:t>
        </w:r>
      </w:hyperlink>
    </w:p>
    <w:p w14:paraId="66C3CC7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(2003). Parts, motion, and the development of the animate-inanimate distinction in infancy. In D. H. Rakison &amp; L. M. Oakes (Eds.), </w:t>
      </w:r>
      <w:r>
        <w:rPr>
          <w:rFonts w:ascii="Times New Roman" w:eastAsia="Times New Roman" w:hAnsi="Times New Roman" w:cs="Times New Roman"/>
          <w:i/>
          <w:iCs/>
          <w:sz w:val="24"/>
          <w:szCs w:val="24"/>
        </w:rPr>
        <w:t>Early category and concept development: Making sense of the blooming, buzzing confusion</w:t>
      </w:r>
      <w:r>
        <w:rPr>
          <w:rFonts w:ascii="Times New Roman" w:eastAsia="Times New Roman" w:hAnsi="Times New Roman" w:cs="Times New Roman"/>
          <w:sz w:val="24"/>
          <w:szCs w:val="24"/>
        </w:rPr>
        <w:t xml:space="preserve"> (pp. 159–192). Oxford University Press.</w:t>
      </w:r>
    </w:p>
    <w:p w14:paraId="0088C79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Benton, D. T. (2019). Second-order correlation learning of dynamic stimuli: Evidence from infants and computational modeling.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24</w:t>
      </w:r>
      <w:r>
        <w:rPr>
          <w:rFonts w:ascii="Times New Roman" w:eastAsia="Times New Roman" w:hAnsi="Times New Roman" w:cs="Times New Roman"/>
          <w:sz w:val="24"/>
          <w:szCs w:val="24"/>
        </w:rPr>
        <w:t xml:space="preserve">(1), 57-78. </w:t>
      </w:r>
      <w:hyperlink r:id="rId36">
        <w:r w:rsidR="00F65544">
          <w:rPr>
            <w:rFonts w:ascii="Times New Roman" w:eastAsia="Times New Roman" w:hAnsi="Times New Roman" w:cs="Times New Roman"/>
            <w:color w:val="467886"/>
            <w:sz w:val="24"/>
            <w:szCs w:val="24"/>
            <w:u w:val="single"/>
          </w:rPr>
          <w:t>https://doi.org/10.1111/infa.12274</w:t>
        </w:r>
      </w:hyperlink>
    </w:p>
    <w:p w14:paraId="1A5D4F6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w:t>
      </w:r>
      <w:proofErr w:type="spellStart"/>
      <w:r>
        <w:rPr>
          <w:rFonts w:ascii="Times New Roman" w:eastAsia="Times New Roman" w:hAnsi="Times New Roman" w:cs="Times New Roman"/>
          <w:sz w:val="24"/>
          <w:szCs w:val="24"/>
        </w:rPr>
        <w:t>Lupyan</w:t>
      </w:r>
      <w:proofErr w:type="spellEnd"/>
      <w:r>
        <w:rPr>
          <w:rFonts w:ascii="Times New Roman" w:eastAsia="Times New Roman" w:hAnsi="Times New Roman" w:cs="Times New Roman"/>
          <w:sz w:val="24"/>
          <w:szCs w:val="24"/>
        </w:rPr>
        <w:t xml:space="preserve">, G. (2008). Developing object concepts in infancy: An associative learning perspective. </w:t>
      </w:r>
      <w:r>
        <w:rPr>
          <w:rFonts w:ascii="Times New Roman" w:eastAsia="Times New Roman" w:hAnsi="Times New Roman" w:cs="Times New Roman"/>
          <w:i/>
          <w:iCs/>
          <w:sz w:val="24"/>
          <w:szCs w:val="24"/>
        </w:rPr>
        <w:t>Monographs of the Society for Research in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73</w:t>
      </w:r>
      <w:r>
        <w:rPr>
          <w:rFonts w:ascii="Times New Roman" w:eastAsia="Times New Roman" w:hAnsi="Times New Roman" w:cs="Times New Roman"/>
          <w:sz w:val="24"/>
          <w:szCs w:val="24"/>
        </w:rPr>
        <w:t xml:space="preserve">(1), </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–127. </w:t>
      </w:r>
      <w:hyperlink r:id="rId37">
        <w:r w:rsidR="00F65544">
          <w:rPr>
            <w:rFonts w:ascii="Times New Roman" w:eastAsia="Times New Roman" w:hAnsi="Times New Roman" w:cs="Times New Roman"/>
            <w:color w:val="467886"/>
            <w:sz w:val="24"/>
            <w:szCs w:val="24"/>
            <w:u w:val="single"/>
          </w:rPr>
          <w:t>http://www.jstor.org/stable/30162860</w:t>
        </w:r>
      </w:hyperlink>
    </w:p>
    <w:p w14:paraId="08BB3B8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Rescorla, R. A., &amp; Wagner, A. R. (1972). A theory of </w:t>
      </w:r>
      <w:proofErr w:type="spellStart"/>
      <w:r>
        <w:rPr>
          <w:rFonts w:ascii="Times New Roman" w:eastAsia="Times New Roman" w:hAnsi="Times New Roman" w:cs="Times New Roman"/>
          <w:sz w:val="24"/>
          <w:szCs w:val="24"/>
        </w:rPr>
        <w:t>pavlovian</w:t>
      </w:r>
      <w:proofErr w:type="spellEnd"/>
      <w:r>
        <w:rPr>
          <w:rFonts w:ascii="Times New Roman" w:eastAsia="Times New Roman" w:hAnsi="Times New Roman" w:cs="Times New Roman"/>
          <w:sz w:val="24"/>
          <w:szCs w:val="24"/>
        </w:rPr>
        <w:t xml:space="preserve"> conditioning: Variations in the effectiveness of reinforcement and nonreinforcement. In A. H. Black &amp; W. F. </w:t>
      </w:r>
      <w:proofErr w:type="spellStart"/>
      <w:r>
        <w:rPr>
          <w:rFonts w:ascii="Times New Roman" w:eastAsia="Times New Roman" w:hAnsi="Times New Roman" w:cs="Times New Roman"/>
          <w:sz w:val="24"/>
          <w:szCs w:val="24"/>
        </w:rPr>
        <w:t>Prokasy</w:t>
      </w:r>
      <w:proofErr w:type="spellEnd"/>
      <w:r>
        <w:rPr>
          <w:rFonts w:ascii="Times New Roman" w:eastAsia="Times New Roman" w:hAnsi="Times New Roman" w:cs="Times New Roman"/>
          <w:sz w:val="24"/>
          <w:szCs w:val="24"/>
        </w:rPr>
        <w:t xml:space="preserve"> (Eds.), </w:t>
      </w:r>
      <w:r>
        <w:rPr>
          <w:rFonts w:ascii="Times New Roman" w:eastAsia="Times New Roman" w:hAnsi="Times New Roman" w:cs="Times New Roman"/>
          <w:i/>
          <w:iCs/>
          <w:sz w:val="24"/>
          <w:szCs w:val="24"/>
        </w:rPr>
        <w:t>Classical Conditioning II: Current Research and Theory</w:t>
      </w:r>
      <w:r>
        <w:rPr>
          <w:rFonts w:ascii="Times New Roman" w:eastAsia="Times New Roman" w:hAnsi="Times New Roman" w:cs="Times New Roman"/>
          <w:sz w:val="24"/>
          <w:szCs w:val="24"/>
        </w:rPr>
        <w:t xml:space="preserve"> (pp. 64-99). New York: Appleton-Century-Crofts.</w:t>
      </w:r>
    </w:p>
    <w:p w14:paraId="11E819C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Rogers, T. T., &amp; McClelland, J. L. (2004). </w:t>
      </w:r>
      <w:r>
        <w:rPr>
          <w:rFonts w:ascii="Times New Roman" w:eastAsia="Times New Roman" w:hAnsi="Times New Roman" w:cs="Times New Roman"/>
          <w:i/>
          <w:iCs/>
          <w:sz w:val="24"/>
          <w:szCs w:val="24"/>
        </w:rPr>
        <w:t>Semantic cognition: A parallel distributed processing approach.</w:t>
      </w:r>
      <w:r>
        <w:rPr>
          <w:rFonts w:ascii="Times New Roman" w:eastAsia="Times New Roman" w:hAnsi="Times New Roman" w:cs="Times New Roman"/>
          <w:sz w:val="24"/>
          <w:szCs w:val="24"/>
        </w:rPr>
        <w:t xml:space="preserve"> MIT Press.</w:t>
      </w:r>
    </w:p>
    <w:p w14:paraId="1031B40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Rovee</w:t>
      </w:r>
      <w:proofErr w:type="spellEnd"/>
      <w:r>
        <w:rPr>
          <w:rFonts w:ascii="Times New Roman" w:eastAsia="Times New Roman" w:hAnsi="Times New Roman" w:cs="Times New Roman"/>
          <w:sz w:val="24"/>
          <w:szCs w:val="24"/>
        </w:rPr>
        <w:t xml:space="preserve">-Collier, C. (1999). The development of infant memory.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w:t>
      </w:r>
      <w:r>
        <w:rPr>
          <w:rFonts w:ascii="Times New Roman" w:eastAsia="Times New Roman" w:hAnsi="Times New Roman" w:cs="Times New Roman"/>
          <w:sz w:val="24"/>
          <w:szCs w:val="24"/>
        </w:rPr>
        <w:t xml:space="preserve">(3), 80–85. </w:t>
      </w:r>
      <w:hyperlink r:id="rId38">
        <w:r w:rsidR="00F65544">
          <w:rPr>
            <w:rFonts w:ascii="Times New Roman" w:eastAsia="Times New Roman" w:hAnsi="Times New Roman" w:cs="Times New Roman"/>
            <w:color w:val="467886"/>
            <w:sz w:val="24"/>
            <w:szCs w:val="24"/>
            <w:u w:val="single"/>
          </w:rPr>
          <w:t>https://doi.org/10.1111/1467-8721.00019</w:t>
        </w:r>
      </w:hyperlink>
    </w:p>
    <w:p w14:paraId="5DD56D9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Pr>
          <w:rFonts w:ascii="Times New Roman" w:eastAsia="Times New Roman" w:hAnsi="Times New Roman" w:cs="Times New Roman"/>
          <w:i/>
          <w:iCs/>
          <w:sz w:val="24"/>
          <w:szCs w:val="24"/>
        </w:rPr>
        <w:t>Parallel distributed processing: Explorations in the microstructure of cognition</w:t>
      </w:r>
      <w:r>
        <w:rPr>
          <w:rFonts w:ascii="Times New Roman" w:eastAsia="Times New Roman" w:hAnsi="Times New Roman" w:cs="Times New Roman"/>
          <w:sz w:val="24"/>
          <w:szCs w:val="24"/>
        </w:rPr>
        <w:t>: Vol. 1. Foundations (pp. 318–362).</w:t>
      </w:r>
    </w:p>
    <w:p w14:paraId="5FDA1CA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Tenenbaum, J. B., &amp; Carey, S. (2005). Secret agents: Inferences about hidden causes by 10- and 12-month-old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16</w:t>
      </w:r>
      <w:r>
        <w:rPr>
          <w:rFonts w:ascii="Times New Roman" w:eastAsia="Times New Roman" w:hAnsi="Times New Roman" w:cs="Times New Roman"/>
          <w:sz w:val="24"/>
          <w:szCs w:val="24"/>
        </w:rPr>
        <w:t xml:space="preserve">(12), 995-1001. </w:t>
      </w:r>
      <w:hyperlink r:id="rId39">
        <w:r w:rsidR="00F65544">
          <w:rPr>
            <w:rFonts w:ascii="Times New Roman" w:eastAsia="Times New Roman" w:hAnsi="Times New Roman" w:cs="Times New Roman"/>
            <w:color w:val="467886"/>
            <w:sz w:val="24"/>
            <w:szCs w:val="24"/>
            <w:u w:val="single"/>
          </w:rPr>
          <w:t>https://doi.org/10.1111/j.1467-9280.2005.01649.x</w:t>
        </w:r>
      </w:hyperlink>
    </w:p>
    <w:p w14:paraId="4D89E5E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w:t>
      </w:r>
      <w:proofErr w:type="spellStart"/>
      <w:r>
        <w:rPr>
          <w:rFonts w:ascii="Times New Roman" w:eastAsia="Times New Roman" w:hAnsi="Times New Roman" w:cs="Times New Roman"/>
          <w:sz w:val="24"/>
          <w:szCs w:val="24"/>
        </w:rPr>
        <w:t>Tzelnic</w:t>
      </w:r>
      <w:proofErr w:type="spellEnd"/>
      <w:r>
        <w:rPr>
          <w:rFonts w:ascii="Times New Roman" w:eastAsia="Times New Roman" w:hAnsi="Times New Roman" w:cs="Times New Roman"/>
          <w:sz w:val="24"/>
          <w:szCs w:val="24"/>
        </w:rPr>
        <w:t xml:space="preserve">, T., &amp; Carey, S. (2007). Knowing who </w:t>
      </w:r>
      <w:proofErr w:type="spellStart"/>
      <w:r>
        <w:rPr>
          <w:rFonts w:ascii="Times New Roman" w:eastAsia="Times New Roman" w:hAnsi="Times New Roman" w:cs="Times New Roman"/>
          <w:sz w:val="24"/>
          <w:szCs w:val="24"/>
        </w:rPr>
        <w:t>dunnit</w:t>
      </w:r>
      <w:proofErr w:type="spellEnd"/>
      <w:r>
        <w:rPr>
          <w:rFonts w:ascii="Times New Roman" w:eastAsia="Times New Roman" w:hAnsi="Times New Roman" w:cs="Times New Roman"/>
          <w:sz w:val="24"/>
          <w:szCs w:val="24"/>
        </w:rPr>
        <w:t xml:space="preserve">: Infants identify the causal agent in an unseen causal interaction.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43</w:t>
      </w:r>
      <w:r>
        <w:rPr>
          <w:rFonts w:ascii="Times New Roman" w:eastAsia="Times New Roman" w:hAnsi="Times New Roman" w:cs="Times New Roman"/>
          <w:sz w:val="24"/>
          <w:szCs w:val="24"/>
        </w:rPr>
        <w:t xml:space="preserve">(1), 149–158. </w:t>
      </w:r>
      <w:hyperlink r:id="rId40">
        <w:r w:rsidR="00F65544">
          <w:rPr>
            <w:rFonts w:ascii="Times New Roman" w:eastAsia="Times New Roman" w:hAnsi="Times New Roman" w:cs="Times New Roman"/>
            <w:color w:val="467886"/>
            <w:sz w:val="24"/>
            <w:szCs w:val="24"/>
            <w:u w:val="single"/>
          </w:rPr>
          <w:t>https://doi.org/10.1037/0012-1649.43.1.149</w:t>
        </w:r>
      </w:hyperlink>
    </w:p>
    <w:p w14:paraId="3E464B80"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Scott, L. S., &amp; Arcaro, M. J. (2023). A domain-relevant framework for the development of face processing. </w:t>
      </w:r>
      <w:r>
        <w:rPr>
          <w:rFonts w:ascii="Times New Roman" w:eastAsia="Times New Roman" w:hAnsi="Times New Roman" w:cs="Times New Roman"/>
          <w:i/>
          <w:iCs/>
          <w:sz w:val="24"/>
          <w:szCs w:val="24"/>
        </w:rPr>
        <w:t>Nature Reviews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xml:space="preserve">(3), 183-195. </w:t>
      </w:r>
      <w:hyperlink r:id="rId41">
        <w:r w:rsidR="00F65544">
          <w:rPr>
            <w:rFonts w:ascii="Times New Roman" w:eastAsia="Times New Roman" w:hAnsi="Times New Roman" w:cs="Times New Roman"/>
            <w:color w:val="467886"/>
            <w:sz w:val="24"/>
            <w:szCs w:val="24"/>
            <w:u w:val="single"/>
          </w:rPr>
          <w:t>https://doi.org/10.1038/s44159-023-00152-5</w:t>
        </w:r>
      </w:hyperlink>
    </w:p>
    <w:p w14:paraId="29CB534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Shultz, T. R. (2013). Computational models in developmental psychology. In P. D. Zelazo (Ed.), </w:t>
      </w:r>
      <w:r>
        <w:rPr>
          <w:rFonts w:ascii="Times New Roman" w:eastAsia="Times New Roman" w:hAnsi="Times New Roman" w:cs="Times New Roman"/>
          <w:i/>
          <w:iCs/>
          <w:sz w:val="24"/>
          <w:szCs w:val="24"/>
        </w:rPr>
        <w:t>The Oxford Handbook of Developmental Psychology</w:t>
      </w:r>
      <w:r>
        <w:rPr>
          <w:rFonts w:ascii="Times New Roman" w:eastAsia="Times New Roman" w:hAnsi="Times New Roman" w:cs="Times New Roman"/>
          <w:sz w:val="24"/>
          <w:szCs w:val="24"/>
        </w:rPr>
        <w:t xml:space="preserve"> (Vol. 1): Body and mind (pp. 477–504). Oxford University Press.</w:t>
      </w:r>
    </w:p>
    <w:p w14:paraId="7845B1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Skinner, B. F. (1957). </w:t>
      </w:r>
      <w:r>
        <w:rPr>
          <w:rFonts w:ascii="Times New Roman" w:eastAsia="Times New Roman" w:hAnsi="Times New Roman" w:cs="Times New Roman"/>
          <w:i/>
          <w:iCs/>
          <w:sz w:val="24"/>
          <w:szCs w:val="24"/>
        </w:rPr>
        <w:t>Verbal behavior</w:t>
      </w:r>
      <w:r>
        <w:rPr>
          <w:rFonts w:ascii="Times New Roman" w:eastAsia="Times New Roman" w:hAnsi="Times New Roman" w:cs="Times New Roman"/>
          <w:sz w:val="24"/>
          <w:szCs w:val="24"/>
        </w:rPr>
        <w:t xml:space="preserve">. Appleton-Century-Crofts. </w:t>
      </w:r>
      <w:hyperlink r:id="rId42">
        <w:r w:rsidR="00F65544">
          <w:rPr>
            <w:rFonts w:ascii="Times New Roman" w:eastAsia="Times New Roman" w:hAnsi="Times New Roman" w:cs="Times New Roman"/>
            <w:color w:val="467886"/>
            <w:sz w:val="24"/>
            <w:szCs w:val="24"/>
            <w:u w:val="single"/>
          </w:rPr>
          <w:t>https://doi.org/10.1037/11256-000</w:t>
        </w:r>
      </w:hyperlink>
    </w:p>
    <w:p w14:paraId="24BF8FC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Slater, A. (1989). Visual memory and perception in early infancy. In A. Slater &amp; G. Bremner (Eds.), </w:t>
      </w:r>
      <w:r>
        <w:rPr>
          <w:rFonts w:ascii="Times New Roman" w:eastAsia="Times New Roman" w:hAnsi="Times New Roman" w:cs="Times New Roman"/>
          <w:i/>
          <w:iCs/>
          <w:sz w:val="24"/>
          <w:szCs w:val="24"/>
        </w:rPr>
        <w:t>Infant development</w:t>
      </w:r>
      <w:r>
        <w:rPr>
          <w:rFonts w:ascii="Times New Roman" w:eastAsia="Times New Roman" w:hAnsi="Times New Roman" w:cs="Times New Roman"/>
          <w:sz w:val="24"/>
          <w:szCs w:val="24"/>
        </w:rPr>
        <w:t xml:space="preserve"> (pp. 43–71). Lawrence Erlbaum Associates, Inc.</w:t>
      </w:r>
    </w:p>
    <w:p w14:paraId="63FC688A"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(2022). </w:t>
      </w:r>
      <w:r>
        <w:rPr>
          <w:rFonts w:ascii="Times New Roman" w:eastAsia="Times New Roman" w:hAnsi="Times New Roman" w:cs="Times New Roman"/>
          <w:i/>
          <w:iCs/>
          <w:sz w:val="24"/>
          <w:szCs w:val="24"/>
        </w:rPr>
        <w:t>What babies know: Core knowledge and composition.</w:t>
      </w:r>
      <w:r>
        <w:rPr>
          <w:rFonts w:ascii="Times New Roman" w:eastAsia="Times New Roman" w:hAnsi="Times New Roman" w:cs="Times New Roman"/>
          <w:sz w:val="24"/>
          <w:szCs w:val="24"/>
        </w:rPr>
        <w:t xml:space="preserve"> Oxford University Press. </w:t>
      </w:r>
      <w:hyperlink r:id="rId43">
        <w:r w:rsidR="00F65544">
          <w:rPr>
            <w:rFonts w:ascii="Times New Roman" w:eastAsia="Times New Roman" w:hAnsi="Times New Roman" w:cs="Times New Roman"/>
            <w:color w:val="467886"/>
            <w:sz w:val="24"/>
            <w:szCs w:val="24"/>
            <w:u w:val="single"/>
          </w:rPr>
          <w:t>https://doi.org/10.1093/oso/9780190618247.001.0001</w:t>
        </w:r>
      </w:hyperlink>
    </w:p>
    <w:p w14:paraId="65435165"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Phillips, A., &amp; Woodward, A. L. (1995). Infants' knowledge of object motion and human action. In D. Sperber, D. Premack, &amp; A. J. Premack (Eds.), </w:t>
      </w:r>
      <w:r>
        <w:rPr>
          <w:rFonts w:ascii="Times New Roman" w:eastAsia="Times New Roman" w:hAnsi="Times New Roman" w:cs="Times New Roman"/>
          <w:i/>
          <w:iCs/>
          <w:sz w:val="24"/>
          <w:szCs w:val="24"/>
        </w:rPr>
        <w:t xml:space="preserve">Causal cognition: A multidisciplinary debate </w:t>
      </w:r>
      <w:r>
        <w:rPr>
          <w:rFonts w:ascii="Times New Roman" w:eastAsia="Times New Roman" w:hAnsi="Times New Roman" w:cs="Times New Roman"/>
          <w:sz w:val="24"/>
          <w:szCs w:val="24"/>
        </w:rPr>
        <w:t>(pp. 44–78). Clarendon Press/Oxford University Press.</w:t>
      </w:r>
    </w:p>
    <w:p w14:paraId="629672A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Uller, C., Hauser, M., &amp; Carey, S. (2001). Spontaneous representation of number in cotton-top tamarins (Saguinus </w:t>
      </w:r>
      <w:proofErr w:type="spellStart"/>
      <w:r>
        <w:rPr>
          <w:rFonts w:ascii="Times New Roman" w:eastAsia="Times New Roman" w:hAnsi="Times New Roman" w:cs="Times New Roman"/>
          <w:sz w:val="24"/>
          <w:szCs w:val="24"/>
        </w:rPr>
        <w:t>oedipus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Journal of Comparative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115</w:t>
      </w:r>
      <w:r>
        <w:rPr>
          <w:rFonts w:ascii="Times New Roman" w:eastAsia="Times New Roman" w:hAnsi="Times New Roman" w:cs="Times New Roman"/>
          <w:sz w:val="24"/>
          <w:szCs w:val="24"/>
        </w:rPr>
        <w:t xml:space="preserve">(3), 248–257. </w:t>
      </w:r>
      <w:hyperlink r:id="rId44">
        <w:r w:rsidR="00F65544">
          <w:rPr>
            <w:rFonts w:ascii="Times New Roman" w:eastAsia="Times New Roman" w:hAnsi="Times New Roman" w:cs="Times New Roman"/>
            <w:color w:val="467886"/>
            <w:sz w:val="24"/>
            <w:szCs w:val="24"/>
            <w:u w:val="single"/>
          </w:rPr>
          <w:t>https://doi.org/10.1037/0735-7036.115.3.248</w:t>
        </w:r>
      </w:hyperlink>
    </w:p>
    <w:p w14:paraId="40BA084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Unger, L., Yim, H., Savic, O., Dennis, S., &amp; Sloutsky, V. M. (2023). No frills: Simple regularities in language can go a long way in the development of word knowledge.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w:t>
      </w:r>
      <w:r>
        <w:rPr>
          <w:rFonts w:ascii="Times New Roman" w:eastAsia="Times New Roman" w:hAnsi="Times New Roman" w:cs="Times New Roman"/>
          <w:sz w:val="24"/>
          <w:szCs w:val="24"/>
        </w:rPr>
        <w:t xml:space="preserve">(4), e13373. </w:t>
      </w:r>
    </w:p>
    <w:p w14:paraId="3BDD4751"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Vallortigara</w:t>
      </w:r>
      <w:proofErr w:type="spellEnd"/>
      <w:r>
        <w:rPr>
          <w:rFonts w:ascii="Times New Roman" w:eastAsia="Times New Roman" w:hAnsi="Times New Roman" w:cs="Times New Roman"/>
          <w:sz w:val="24"/>
          <w:szCs w:val="24"/>
        </w:rPr>
        <w:t xml:space="preserve">, G., </w:t>
      </w:r>
      <w:proofErr w:type="spellStart"/>
      <w:r>
        <w:rPr>
          <w:rFonts w:ascii="Times New Roman" w:eastAsia="Times New Roman" w:hAnsi="Times New Roman" w:cs="Times New Roman"/>
          <w:sz w:val="24"/>
          <w:szCs w:val="24"/>
        </w:rPr>
        <w:t>Regolin</w:t>
      </w:r>
      <w:proofErr w:type="spellEnd"/>
      <w:r>
        <w:rPr>
          <w:rFonts w:ascii="Times New Roman" w:eastAsia="Times New Roman" w:hAnsi="Times New Roman" w:cs="Times New Roman"/>
          <w:sz w:val="24"/>
          <w:szCs w:val="24"/>
        </w:rPr>
        <w:t xml:space="preserve">, L., &amp; </w:t>
      </w:r>
      <w:proofErr w:type="spellStart"/>
      <w:r>
        <w:rPr>
          <w:rFonts w:ascii="Times New Roman" w:eastAsia="Times New Roman" w:hAnsi="Times New Roman" w:cs="Times New Roman"/>
          <w:sz w:val="24"/>
          <w:szCs w:val="24"/>
        </w:rPr>
        <w:t>Marconato</w:t>
      </w:r>
      <w:proofErr w:type="spellEnd"/>
      <w:r>
        <w:rPr>
          <w:rFonts w:ascii="Times New Roman" w:eastAsia="Times New Roman" w:hAnsi="Times New Roman" w:cs="Times New Roman"/>
          <w:sz w:val="24"/>
          <w:szCs w:val="24"/>
        </w:rPr>
        <w:t xml:space="preserve">, F. (2005). Visually inexperienced chicks exhibit spontaneous preference for biological motion patterns. </w:t>
      </w:r>
      <w:proofErr w:type="spellStart"/>
      <w:r>
        <w:rPr>
          <w:rFonts w:ascii="Times New Roman" w:eastAsia="Times New Roman" w:hAnsi="Times New Roman" w:cs="Times New Roman"/>
          <w:i/>
          <w:iCs/>
          <w:sz w:val="24"/>
          <w:szCs w:val="24"/>
        </w:rPr>
        <w:t>PLoS</w:t>
      </w:r>
      <w:proofErr w:type="spellEnd"/>
      <w:r>
        <w:rPr>
          <w:rFonts w:ascii="Times New Roman" w:eastAsia="Times New Roman" w:hAnsi="Times New Roman" w:cs="Times New Roman"/>
          <w:i/>
          <w:iCs/>
          <w:sz w:val="24"/>
          <w:szCs w:val="24"/>
        </w:rPr>
        <w:t xml:space="preserve"> Biology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w:t>
      </w:r>
      <w:r>
        <w:rPr>
          <w:rFonts w:ascii="Times New Roman" w:eastAsia="Times New Roman" w:hAnsi="Times New Roman" w:cs="Times New Roman"/>
          <w:sz w:val="24"/>
          <w:szCs w:val="24"/>
        </w:rPr>
        <w:t xml:space="preserve">(7), e208. </w:t>
      </w:r>
      <w:hyperlink r:id="rId45">
        <w:r w:rsidR="00F65544">
          <w:rPr>
            <w:rFonts w:ascii="Times New Roman" w:eastAsia="Times New Roman" w:hAnsi="Times New Roman" w:cs="Times New Roman"/>
            <w:color w:val="467886"/>
            <w:sz w:val="24"/>
            <w:szCs w:val="24"/>
            <w:u w:val="single"/>
          </w:rPr>
          <w:t>https://doi.org/10.1371/journal.pbio.0030208</w:t>
        </w:r>
      </w:hyperlink>
    </w:p>
    <w:p w14:paraId="3305C3F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Watson, J. B. (1924). The unverbalized in human behavior.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31</w:t>
      </w:r>
      <w:r>
        <w:rPr>
          <w:rFonts w:ascii="Times New Roman" w:eastAsia="Times New Roman" w:hAnsi="Times New Roman" w:cs="Times New Roman"/>
          <w:sz w:val="24"/>
          <w:szCs w:val="24"/>
        </w:rPr>
        <w:t xml:space="preserve">(4), 273–280. </w:t>
      </w:r>
      <w:hyperlink r:id="rId46">
        <w:r w:rsidR="00F65544">
          <w:rPr>
            <w:rFonts w:ascii="Times New Roman" w:eastAsia="Times New Roman" w:hAnsi="Times New Roman" w:cs="Times New Roman"/>
            <w:color w:val="467886"/>
            <w:sz w:val="24"/>
            <w:szCs w:val="24"/>
            <w:u w:val="single"/>
          </w:rPr>
          <w:t>https://doi.org/10.1037/h0071569</w:t>
        </w:r>
      </w:hyperlink>
    </w:p>
    <w:p w14:paraId="7F3CD1B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Watson, J. B., &amp; Rayner, R. (1920). Conditioned emotional reactions. </w:t>
      </w:r>
      <w:r>
        <w:rPr>
          <w:rFonts w:ascii="Times New Roman" w:eastAsia="Times New Roman" w:hAnsi="Times New Roman" w:cs="Times New Roman"/>
          <w:i/>
          <w:iCs/>
          <w:sz w:val="24"/>
          <w:szCs w:val="24"/>
        </w:rPr>
        <w:t>Journal of Experimental Psychology, 3</w:t>
      </w:r>
      <w:r>
        <w:rPr>
          <w:rFonts w:ascii="Times New Roman" w:eastAsia="Times New Roman" w:hAnsi="Times New Roman" w:cs="Times New Roman"/>
          <w:sz w:val="24"/>
          <w:szCs w:val="24"/>
        </w:rPr>
        <w:t xml:space="preserve">(1), 1–14. </w:t>
      </w:r>
      <w:hyperlink r:id="rId47">
        <w:r w:rsidR="00F65544">
          <w:rPr>
            <w:rFonts w:ascii="Times New Roman" w:eastAsia="Times New Roman" w:hAnsi="Times New Roman" w:cs="Times New Roman"/>
            <w:color w:val="467886"/>
            <w:sz w:val="24"/>
            <w:szCs w:val="24"/>
            <w:u w:val="single"/>
          </w:rPr>
          <w:t>https://doi.org/10.1037/h0069608</w:t>
        </w:r>
      </w:hyperlink>
      <w:r>
        <w:rPr>
          <w:rFonts w:ascii="Times New Roman" w:eastAsia="Times New Roman" w:hAnsi="Times New Roman" w:cs="Times New Roman"/>
          <w:sz w:val="24"/>
          <w:szCs w:val="24"/>
        </w:rPr>
        <w:t xml:space="preserve"> </w:t>
      </w:r>
    </w:p>
    <w:p w14:paraId="5B476A7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Werbos</w:t>
      </w:r>
      <w:proofErr w:type="spellEnd"/>
      <w:r>
        <w:rPr>
          <w:rFonts w:ascii="Times New Roman" w:eastAsia="Times New Roman" w:hAnsi="Times New Roman" w:cs="Times New Roman"/>
          <w:sz w:val="24"/>
          <w:szCs w:val="24"/>
        </w:rPr>
        <w:t>, P. J. (1974). Beyond regression: New tools for prediction and analysis in the behavioral sciences [Unpublished doctoral dissertation]. Harvard University.</w:t>
      </w:r>
    </w:p>
    <w:p w14:paraId="5DCD695E"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Widrow</w:t>
      </w:r>
      <w:proofErr w:type="spellEnd"/>
      <w:r>
        <w:rPr>
          <w:rFonts w:ascii="Times New Roman" w:eastAsia="Times New Roman" w:hAnsi="Times New Roman" w:cs="Times New Roman"/>
          <w:sz w:val="24"/>
          <w:szCs w:val="24"/>
        </w:rPr>
        <w:t xml:space="preserve">, B., &amp; Hoff, M. E. (1960). Adaptive switching circuits. </w:t>
      </w:r>
      <w:r>
        <w:rPr>
          <w:rFonts w:ascii="Times New Roman" w:eastAsia="Times New Roman" w:hAnsi="Times New Roman" w:cs="Times New Roman"/>
          <w:i/>
          <w:iCs/>
          <w:sz w:val="24"/>
          <w:szCs w:val="24"/>
        </w:rPr>
        <w:t>1960 IRE WESCON Convention Record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 96–104. </w:t>
      </w:r>
    </w:p>
    <w:p w14:paraId="35DEF804" w14:textId="739B8CF2" w:rsidR="009B63BC" w:rsidRPr="0073346E" w:rsidRDefault="009B63BC">
      <w:pPr>
        <w:tabs>
          <w:tab w:val="left" w:pos="720"/>
        </w:tabs>
        <w:ind w:hanging="72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Wilkinson, N</w:t>
      </w:r>
      <w:r w:rsidR="0073346E">
        <w:rPr>
          <w:rFonts w:ascii="Times New Roman" w:eastAsia="Times New Roman" w:hAnsi="Times New Roman" w:cs="Times New Roman"/>
          <w:sz w:val="24"/>
          <w:szCs w:val="24"/>
        </w:rPr>
        <w:t xml:space="preserve">.M, Kiessling, J., &amp; </w:t>
      </w:r>
      <w:proofErr w:type="spellStart"/>
      <w:r w:rsidR="0073346E" w:rsidRPr="0073346E">
        <w:rPr>
          <w:rFonts w:ascii="Times New Roman" w:eastAsia="Times New Roman" w:hAnsi="Times New Roman" w:cs="Times New Roman"/>
          <w:sz w:val="24"/>
          <w:szCs w:val="24"/>
        </w:rPr>
        <w:t>Gredebäck</w:t>
      </w:r>
      <w:proofErr w:type="spellEnd"/>
      <w:r w:rsidR="0073346E">
        <w:rPr>
          <w:rFonts w:ascii="Times New Roman" w:eastAsia="Times New Roman" w:hAnsi="Times New Roman" w:cs="Times New Roman"/>
          <w:sz w:val="24"/>
          <w:szCs w:val="24"/>
        </w:rPr>
        <w:t xml:space="preserve">, G. (in press). Is there an innate face detection module in the human newborn? A systematic review, meta-analysis and theoretical examination of the newborn face preference and its implications. </w:t>
      </w:r>
      <w:r w:rsidR="0073346E">
        <w:rPr>
          <w:rFonts w:ascii="Times New Roman" w:eastAsia="Times New Roman" w:hAnsi="Times New Roman" w:cs="Times New Roman"/>
          <w:i/>
          <w:iCs/>
          <w:sz w:val="24"/>
          <w:szCs w:val="24"/>
        </w:rPr>
        <w:t>Perspectives in Psychological Sciences.</w:t>
      </w:r>
    </w:p>
    <w:p w14:paraId="2C50362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Woodward, A. L., Phillips, A. T., &amp; </w:t>
      </w:r>
      <w:proofErr w:type="spellStart"/>
      <w:r>
        <w:rPr>
          <w:rFonts w:ascii="Times New Roman" w:eastAsia="Times New Roman" w:hAnsi="Times New Roman" w:cs="Times New Roman"/>
          <w:sz w:val="24"/>
          <w:szCs w:val="24"/>
        </w:rPr>
        <w:t>Spelke</w:t>
      </w:r>
      <w:proofErr w:type="spellEnd"/>
      <w:r>
        <w:rPr>
          <w:rFonts w:ascii="Times New Roman" w:eastAsia="Times New Roman" w:hAnsi="Times New Roman" w:cs="Times New Roman"/>
          <w:sz w:val="24"/>
          <w:szCs w:val="24"/>
        </w:rPr>
        <w:t xml:space="preserve">, E. S. (1993). Infants' expectations about the motion of animate versus inanimate objects. </w:t>
      </w:r>
      <w:r>
        <w:rPr>
          <w:rFonts w:ascii="Times New Roman" w:eastAsia="Times New Roman" w:hAnsi="Times New Roman" w:cs="Times New Roman"/>
          <w:i/>
          <w:iCs/>
          <w:sz w:val="24"/>
          <w:szCs w:val="24"/>
        </w:rPr>
        <w:t>In Proceedings of the Annual Meeting of the Cognitive Science Society</w:t>
      </w:r>
      <w:r>
        <w:rPr>
          <w:rFonts w:ascii="Times New Roman" w:eastAsia="Times New Roman" w:hAnsi="Times New Roman" w:cs="Times New Roman"/>
          <w:sz w:val="24"/>
          <w:szCs w:val="24"/>
        </w:rPr>
        <w:t xml:space="preserve"> (Vol. 15).</w:t>
      </w:r>
    </w:p>
    <w:p w14:paraId="1C3B664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(1992). Addition and subtraction by human infants. </w:t>
      </w:r>
      <w:r>
        <w:rPr>
          <w:rFonts w:ascii="Times New Roman" w:eastAsia="Times New Roman" w:hAnsi="Times New Roman" w:cs="Times New Roman"/>
          <w:i/>
          <w:iCs/>
          <w:sz w:val="24"/>
          <w:szCs w:val="24"/>
        </w:rPr>
        <w:t>Nature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358</w:t>
      </w:r>
      <w:r>
        <w:rPr>
          <w:rFonts w:ascii="Times New Roman" w:eastAsia="Times New Roman" w:hAnsi="Times New Roman" w:cs="Times New Roman"/>
          <w:sz w:val="24"/>
          <w:szCs w:val="24"/>
        </w:rPr>
        <w:t xml:space="preserve">(6389), 749-750. </w:t>
      </w:r>
      <w:hyperlink r:id="rId48">
        <w:r w:rsidR="00F65544">
          <w:rPr>
            <w:rFonts w:ascii="Times New Roman" w:eastAsia="Times New Roman" w:hAnsi="Times New Roman" w:cs="Times New Roman"/>
            <w:color w:val="467886"/>
            <w:sz w:val="24"/>
            <w:szCs w:val="24"/>
            <w:u w:val="single"/>
          </w:rPr>
          <w:t>https://doi.org/10.1038/358749a0</w:t>
        </w:r>
      </w:hyperlink>
    </w:p>
    <w:p w14:paraId="2DD00E1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(1995). Infants possess a system of numerical knowledge.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(6), 172-177. </w:t>
      </w:r>
      <w:hyperlink r:id="rId49">
        <w:r w:rsidR="00F65544">
          <w:rPr>
            <w:rFonts w:ascii="Times New Roman" w:eastAsia="Times New Roman" w:hAnsi="Times New Roman" w:cs="Times New Roman"/>
            <w:color w:val="467886"/>
            <w:sz w:val="24"/>
            <w:szCs w:val="24"/>
            <w:u w:val="single"/>
          </w:rPr>
          <w:t>https://doi.org/10.1111/1467-8721.ep10772615</w:t>
        </w:r>
      </w:hyperlink>
    </w:p>
    <w:p w14:paraId="21B9165F" w14:textId="77777777" w:rsidR="00F65544" w:rsidRDefault="00000000">
      <w:pPr>
        <w:tabs>
          <w:tab w:val="left" w:pos="720"/>
        </w:tabs>
        <w:ind w:hanging="72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Yermolayeva</w:t>
      </w:r>
      <w:proofErr w:type="spellEnd"/>
      <w:r>
        <w:rPr>
          <w:rFonts w:ascii="Times New Roman" w:eastAsia="Times New Roman" w:hAnsi="Times New Roman" w:cs="Times New Roman"/>
          <w:sz w:val="24"/>
          <w:szCs w:val="24"/>
        </w:rPr>
        <w:t xml:space="preserve">, Y., &amp; Rakison, D. H. (2014). Connectionist modeling of developmental changes in infancy: Approaches, challenges, and contributions. </w:t>
      </w:r>
      <w:r>
        <w:rPr>
          <w:rFonts w:ascii="Times New Roman" w:eastAsia="Times New Roman" w:hAnsi="Times New Roman" w:cs="Times New Roman"/>
          <w:i/>
          <w:iCs/>
          <w:sz w:val="24"/>
          <w:szCs w:val="24"/>
        </w:rPr>
        <w:t>Psychological Bulletin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140</w:t>
      </w:r>
      <w:r>
        <w:rPr>
          <w:rFonts w:ascii="Times New Roman" w:eastAsia="Times New Roman" w:hAnsi="Times New Roman" w:cs="Times New Roman"/>
          <w:sz w:val="24"/>
          <w:szCs w:val="24"/>
        </w:rPr>
        <w:t xml:space="preserve">(1), 224–255. </w:t>
      </w:r>
      <w:hyperlink r:id="rId50">
        <w:r w:rsidR="00F65544">
          <w:rPr>
            <w:rFonts w:ascii="Times New Roman" w:eastAsia="Times New Roman" w:hAnsi="Times New Roman" w:cs="Times New Roman"/>
            <w:color w:val="467886"/>
            <w:sz w:val="24"/>
            <w:szCs w:val="24"/>
            <w:u w:val="single"/>
          </w:rPr>
          <w:t>https://doi.org/10.1037/a0032150</w:t>
        </w:r>
      </w:hyperlink>
    </w:p>
    <w:p w14:paraId="549BEC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Zhou, Z., Singh, D., Tandoc, M. C., &amp; Schapiro, A. C. (2023). Building integrated representations through interleaved learning.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152</w:t>
      </w:r>
      <w:r>
        <w:rPr>
          <w:rFonts w:ascii="Times New Roman" w:eastAsia="Times New Roman" w:hAnsi="Times New Roman" w:cs="Times New Roman"/>
          <w:sz w:val="24"/>
          <w:szCs w:val="24"/>
        </w:rPr>
        <w:t xml:space="preserve">(9), 2666–2684. </w:t>
      </w:r>
      <w:hyperlink r:id="rId51">
        <w:r w:rsidR="00F65544">
          <w:rPr>
            <w:rFonts w:ascii="Times New Roman" w:eastAsia="Times New Roman" w:hAnsi="Times New Roman" w:cs="Times New Roman"/>
            <w:color w:val="467886"/>
            <w:sz w:val="24"/>
            <w:szCs w:val="24"/>
            <w:u w:val="single"/>
          </w:rPr>
          <w:t>https://doi.org/10.1037/xge0001415</w:t>
        </w:r>
      </w:hyperlink>
    </w:p>
    <w:p w14:paraId="7CD4F6C7" w14:textId="77777777" w:rsidR="00F65544" w:rsidRDefault="00F65544">
      <w:pPr>
        <w:tabs>
          <w:tab w:val="left" w:pos="720"/>
        </w:tabs>
        <w:ind w:firstLine="0"/>
        <w:rPr>
          <w:rFonts w:ascii="Times New Roman" w:eastAsia="Times New Roman" w:hAnsi="Times New Roman" w:cs="Times New Roman"/>
          <w:sz w:val="24"/>
          <w:szCs w:val="24"/>
        </w:rPr>
      </w:pPr>
    </w:p>
    <w:sectPr w:rsidR="00F65544">
      <w:headerReference w:type="default" r:id="rId5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98DD6" w14:textId="77777777" w:rsidR="000A630B" w:rsidRDefault="000A630B">
      <w:pPr>
        <w:spacing w:line="240" w:lineRule="auto"/>
      </w:pPr>
      <w:r>
        <w:separator/>
      </w:r>
    </w:p>
  </w:endnote>
  <w:endnote w:type="continuationSeparator" w:id="0">
    <w:p w14:paraId="2F61F27D" w14:textId="77777777" w:rsidR="000A630B" w:rsidRDefault="000A63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1073047E-BDC2-40BB-9FE9-2C2C3BD0D1E7}"/>
    <w:embedBold r:id="rId2" w:fontKey="{F6EB2BAF-C44D-4ED7-AE8F-9864B9FFB5D0}"/>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3" w:fontKey="{D936F10F-6AF4-49EB-BA42-4FA305B0DAC7}"/>
    <w:embedItalic r:id="rId4" w:fontKey="{467C3FEF-46B9-4A2F-9E28-38BF982E36A9}"/>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DB5B7499-AC11-42E9-972B-A5CC374A1A31}"/>
    <w:embedItalic r:id="rId6" w:fontKey="{C9B53DC2-0A67-465E-97B4-8002A67D42E8}"/>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82663913-C53D-4474-9A8E-713F516BFD8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BAED5B" w14:textId="77777777" w:rsidR="000A630B" w:rsidRDefault="000A630B">
      <w:pPr>
        <w:spacing w:line="240" w:lineRule="auto"/>
      </w:pPr>
      <w:r>
        <w:separator/>
      </w:r>
    </w:p>
  </w:footnote>
  <w:footnote w:type="continuationSeparator" w:id="0">
    <w:p w14:paraId="1554CEE3" w14:textId="77777777" w:rsidR="000A630B" w:rsidRDefault="000A63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83EF" w14:textId="77777777" w:rsidR="00F65544" w:rsidRDefault="00000000">
    <w:pPr>
      <w:pBdr>
        <w:top w:val="nil"/>
        <w:left w:val="nil"/>
        <w:bottom w:val="nil"/>
        <w:right w:val="nil"/>
        <w:between w:val="nil"/>
      </w:pBdr>
      <w:tabs>
        <w:tab w:val="center" w:pos="4680"/>
        <w:tab w:val="right" w:pos="9360"/>
      </w:tabs>
      <w:spacing w:line="240" w:lineRule="auto"/>
      <w:ind w:firstLine="0"/>
      <w:rPr>
        <w:rFonts w:ascii="Times New Roman" w:eastAsia="Times New Roman" w:hAnsi="Times New Roman" w:cs="Times New Roman"/>
        <w:color w:val="000000"/>
      </w:rPr>
    </w:pPr>
    <w:r>
      <w:rPr>
        <w:rFonts w:ascii="Times New Roman" w:eastAsia="Times New Roman" w:hAnsi="Times New Roman" w:cs="Times New Roman"/>
        <w:color w:val="000000"/>
      </w:rPr>
      <w:t>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0B7388">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49C91229" w14:textId="77777777" w:rsidR="00F65544" w:rsidRDefault="00F65544">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544"/>
    <w:rsid w:val="000161E2"/>
    <w:rsid w:val="00067606"/>
    <w:rsid w:val="000A630B"/>
    <w:rsid w:val="000B7388"/>
    <w:rsid w:val="000C3F1E"/>
    <w:rsid w:val="001928FA"/>
    <w:rsid w:val="0019751C"/>
    <w:rsid w:val="001D1FCB"/>
    <w:rsid w:val="00201D78"/>
    <w:rsid w:val="00233E29"/>
    <w:rsid w:val="002432E1"/>
    <w:rsid w:val="00253044"/>
    <w:rsid w:val="0026581D"/>
    <w:rsid w:val="002D6B91"/>
    <w:rsid w:val="00335D98"/>
    <w:rsid w:val="00372998"/>
    <w:rsid w:val="0038619F"/>
    <w:rsid w:val="003A35A2"/>
    <w:rsid w:val="003B038A"/>
    <w:rsid w:val="003B669B"/>
    <w:rsid w:val="00403724"/>
    <w:rsid w:val="004174A3"/>
    <w:rsid w:val="0047277D"/>
    <w:rsid w:val="0047643E"/>
    <w:rsid w:val="004B0FCB"/>
    <w:rsid w:val="004B63B3"/>
    <w:rsid w:val="004D27A9"/>
    <w:rsid w:val="004D4543"/>
    <w:rsid w:val="00502F55"/>
    <w:rsid w:val="00503144"/>
    <w:rsid w:val="00535955"/>
    <w:rsid w:val="006025AA"/>
    <w:rsid w:val="00634186"/>
    <w:rsid w:val="00643333"/>
    <w:rsid w:val="006845BB"/>
    <w:rsid w:val="006A7E0C"/>
    <w:rsid w:val="007029A5"/>
    <w:rsid w:val="007260A5"/>
    <w:rsid w:val="0073346E"/>
    <w:rsid w:val="00786F6B"/>
    <w:rsid w:val="00787C23"/>
    <w:rsid w:val="008074D4"/>
    <w:rsid w:val="00817C6D"/>
    <w:rsid w:val="00845D1C"/>
    <w:rsid w:val="00871342"/>
    <w:rsid w:val="0088182C"/>
    <w:rsid w:val="008922E3"/>
    <w:rsid w:val="008972CE"/>
    <w:rsid w:val="008C5754"/>
    <w:rsid w:val="008D0273"/>
    <w:rsid w:val="008E0F43"/>
    <w:rsid w:val="00990F2D"/>
    <w:rsid w:val="009A4812"/>
    <w:rsid w:val="009B63BC"/>
    <w:rsid w:val="009E61FB"/>
    <w:rsid w:val="009F7D26"/>
    <w:rsid w:val="00A02DB6"/>
    <w:rsid w:val="00A31393"/>
    <w:rsid w:val="00A32214"/>
    <w:rsid w:val="00A344EE"/>
    <w:rsid w:val="00A34AC9"/>
    <w:rsid w:val="00A3763F"/>
    <w:rsid w:val="00AC48F3"/>
    <w:rsid w:val="00AD1F5A"/>
    <w:rsid w:val="00AD482C"/>
    <w:rsid w:val="00AE5296"/>
    <w:rsid w:val="00AF515F"/>
    <w:rsid w:val="00B10FD2"/>
    <w:rsid w:val="00B26488"/>
    <w:rsid w:val="00B405C2"/>
    <w:rsid w:val="00B65775"/>
    <w:rsid w:val="00BA75D4"/>
    <w:rsid w:val="00BB5618"/>
    <w:rsid w:val="00BE0754"/>
    <w:rsid w:val="00C0708D"/>
    <w:rsid w:val="00C42618"/>
    <w:rsid w:val="00C87B34"/>
    <w:rsid w:val="00CA1EAC"/>
    <w:rsid w:val="00D164F4"/>
    <w:rsid w:val="00DA601F"/>
    <w:rsid w:val="00DB2EDD"/>
    <w:rsid w:val="00DF0716"/>
    <w:rsid w:val="00E37AE4"/>
    <w:rsid w:val="00F35B6B"/>
    <w:rsid w:val="00F65544"/>
    <w:rsid w:val="00F8377F"/>
    <w:rsid w:val="00F84AF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8FCB"/>
  <w15:docId w15:val="{06F0705E-90DC-4C1F-B0D1-09188FA42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highlight w:val="white"/>
        <w:lang w:val="en" w:eastAsia="ja-JP" w:bidi="ar-SA"/>
      </w:rPr>
    </w:rPrDefault>
    <w:pPrDefault>
      <w:pPr>
        <w:tabs>
          <w:tab w:val="left" w:pos="3068"/>
        </w:tabs>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78" w:lineRule="auto"/>
      <w:ind w:firstLine="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line="278" w:lineRule="auto"/>
      <w:ind w:firstLine="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78" w:lineRule="auto"/>
      <w:ind w:firstLine="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line="278" w:lineRule="auto"/>
      <w:ind w:firstLine="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line="278" w:lineRule="auto"/>
      <w:ind w:firstLine="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line="278" w:lineRule="auto"/>
      <w:ind w:firstLine="0"/>
      <w:outlineLvl w:val="5"/>
    </w:pPr>
    <w:rPr>
      <w:rFonts w:ascii="Aptos" w:eastAsia="Aptos" w:hAnsi="Aptos" w:cs="Aptos"/>
      <w:i/>
      <w:iCs/>
      <w:color w:val="595959"/>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ind w:firstLine="0"/>
    </w:pPr>
    <w:rPr>
      <w:rFonts w:ascii="Play" w:eastAsia="Play" w:hAnsi="Play" w:cs="Play"/>
      <w:sz w:val="56"/>
      <w:szCs w:val="56"/>
    </w:rPr>
  </w:style>
  <w:style w:type="paragraph" w:styleId="Subtitle">
    <w:name w:val="Subtitle"/>
    <w:basedOn w:val="Normal"/>
    <w:next w:val="Normal"/>
    <w:uiPriority w:val="11"/>
    <w:qFormat/>
    <w:pPr>
      <w:spacing w:after="160" w:line="278" w:lineRule="auto"/>
    </w:pPr>
    <w:rPr>
      <w:rFonts w:ascii="Aptos" w:eastAsia="Aptos" w:hAnsi="Aptos" w:cs="Aptos"/>
      <w:color w:val="595959"/>
      <w:sz w:val="28"/>
      <w:szCs w:val="28"/>
    </w:rPr>
  </w:style>
  <w:style w:type="paragraph" w:styleId="Revision">
    <w:name w:val="Revision"/>
    <w:hidden/>
    <w:uiPriority w:val="99"/>
    <w:semiHidden/>
    <w:rsid w:val="000B7388"/>
    <w:pPr>
      <w:tabs>
        <w:tab w:val="clear" w:pos="3068"/>
      </w:tabs>
      <w:spacing w:line="240" w:lineRule="auto"/>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93/chidev/aacag119" TargetMode="External"/><Relationship Id="rId18" Type="http://schemas.openxmlformats.org/officeDocument/2006/relationships/hyperlink" Target="https://doi.org/10.1016/S0885-2014(02)00124-7" TargetMode="External"/><Relationship Id="rId26" Type="http://schemas.openxmlformats.org/officeDocument/2006/relationships/hyperlink" Target="https://doi.org/10.1002/wcs.67" TargetMode="External"/><Relationship Id="rId39" Type="http://schemas.openxmlformats.org/officeDocument/2006/relationships/hyperlink" Target="https://doi.org/10.1111/j.1467-9280.2005.01649.x" TargetMode="External"/><Relationship Id="rId21" Type="http://schemas.openxmlformats.org/officeDocument/2006/relationships/hyperlink" Target="https://doi.org/10.1016/j.cognition.2021.104621" TargetMode="External"/><Relationship Id="rId34" Type="http://schemas.openxmlformats.org/officeDocument/2006/relationships/hyperlink" Target="https://doi.org/10.1126/science.1111656" TargetMode="External"/><Relationship Id="rId42" Type="http://schemas.openxmlformats.org/officeDocument/2006/relationships/hyperlink" Target="https://doi.org/10.1037/11256-000" TargetMode="External"/><Relationship Id="rId47" Type="http://schemas.openxmlformats.org/officeDocument/2006/relationships/hyperlink" Target="https://psycnet.apa.org/doi/10.1037/h0069608" TargetMode="External"/><Relationship Id="rId50" Type="http://schemas.openxmlformats.org/officeDocument/2006/relationships/hyperlink" Target="https://doi.org/10.1037/a0032150" TargetMode="Externa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jecp.2020.105008" TargetMode="External"/><Relationship Id="rId29" Type="http://schemas.openxmlformats.org/officeDocument/2006/relationships/hyperlink" Target="https://doi.org/10.1037/0097-7403.9.3.320" TargetMode="External"/><Relationship Id="rId11" Type="http://schemas.openxmlformats.org/officeDocument/2006/relationships/hyperlink" Target="https://doi.org/10.1037/xge0001656" TargetMode="External"/><Relationship Id="rId24" Type="http://schemas.openxmlformats.org/officeDocument/2006/relationships/hyperlink" Target="https://doi.org/10.1037/a0028681" TargetMode="External"/><Relationship Id="rId32" Type="http://schemas.openxmlformats.org/officeDocument/2006/relationships/hyperlink" Target="https://doi.org/10.1037/0033-295X.98.2.164" TargetMode="External"/><Relationship Id="rId37" Type="http://schemas.openxmlformats.org/officeDocument/2006/relationships/hyperlink" Target="http://www.jstor.org/stable/30162860" TargetMode="External"/><Relationship Id="rId40" Type="http://schemas.openxmlformats.org/officeDocument/2006/relationships/hyperlink" Target="https://doi.org/10.1037/0012-1649.43.1.149" TargetMode="External"/><Relationship Id="rId45" Type="http://schemas.openxmlformats.org/officeDocument/2006/relationships/hyperlink" Target="https://doi.org/10.1371/journal.pbio.0030208"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doi.org/10.1002/icd.2355" TargetMode="External"/><Relationship Id="rId19" Type="http://schemas.openxmlformats.org/officeDocument/2006/relationships/hyperlink" Target="https://doi.org/10.1111/1467-7687.00220" TargetMode="External"/><Relationship Id="rId31" Type="http://schemas.openxmlformats.org/officeDocument/2006/relationships/hyperlink" Target="https://doi.org/10.1016/S0885-2014(02)00123-5" TargetMode="External"/><Relationship Id="rId44" Type="http://schemas.openxmlformats.org/officeDocument/2006/relationships/hyperlink" Target="https://doi.org/10.1037/0735-7036.115.3.248" TargetMode="External"/><Relationship Id="rId52"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s://doi.org/10.1016/j.dr.2022.101034" TargetMode="External"/><Relationship Id="rId14" Type="http://schemas.openxmlformats.org/officeDocument/2006/relationships/hyperlink" Target="https://doi.org/10.1111/desc.13464" TargetMode="External"/><Relationship Id="rId22" Type="http://schemas.openxmlformats.org/officeDocument/2006/relationships/hyperlink" Target="https://doi.org/10.4159/9780674985155" TargetMode="External"/><Relationship Id="rId27" Type="http://schemas.openxmlformats.org/officeDocument/2006/relationships/hyperlink" Target="https://doi.org/10.1207/s15327078in0901_3" TargetMode="External"/><Relationship Id="rId30" Type="http://schemas.openxmlformats.org/officeDocument/2006/relationships/hyperlink" Target="https://doi.org/10.1111/infa.12463" TargetMode="External"/><Relationship Id="rId35" Type="http://schemas.openxmlformats.org/officeDocument/2006/relationships/hyperlink" Target="https://doi.org/10.1037/1089-2680.1.3.271" TargetMode="External"/><Relationship Id="rId43" Type="http://schemas.openxmlformats.org/officeDocument/2006/relationships/hyperlink" Target="https://doi.org/10.1093/oso/9780190618247.001.0001" TargetMode="External"/><Relationship Id="rId48" Type="http://schemas.openxmlformats.org/officeDocument/2006/relationships/hyperlink" Target="https://doi.org/10.1038/358749a0" TargetMode="External"/><Relationship Id="rId8" Type="http://schemas.openxmlformats.org/officeDocument/2006/relationships/hyperlink" Target="https://psycnet.apa.org/doi/10.1037/h0060064" TargetMode="External"/><Relationship Id="rId51" Type="http://schemas.openxmlformats.org/officeDocument/2006/relationships/hyperlink" Target="https://doi.org/10.1037/xge0001415" TargetMode="External"/><Relationship Id="rId3" Type="http://schemas.openxmlformats.org/officeDocument/2006/relationships/webSettings" Target="webSettings.xml"/><Relationship Id="rId12" Type="http://schemas.openxmlformats.org/officeDocument/2006/relationships/hyperlink" Target="https://doi.org/10.1016/j.jecp.2026.106494" TargetMode="External"/><Relationship Id="rId17" Type="http://schemas.openxmlformats.org/officeDocument/2006/relationships/hyperlink" Target="https://psycnet.apa.org/doi/10.1093/acprof:oso/9780195367638.001.0001" TargetMode="External"/><Relationship Id="rId25" Type="http://schemas.openxmlformats.org/officeDocument/2006/relationships/hyperlink" Target="https://doi.org/10.1037/0012-1649.36.5.635" TargetMode="External"/><Relationship Id="rId33" Type="http://schemas.openxmlformats.org/officeDocument/2006/relationships/hyperlink" Target="https://doi.org/10.1037/0033-295X.104.4.686" TargetMode="External"/><Relationship Id="rId38" Type="http://schemas.openxmlformats.org/officeDocument/2006/relationships/hyperlink" Target="https://doi.org/10.1111/1467-8721.00019" TargetMode="External"/><Relationship Id="rId46" Type="http://schemas.openxmlformats.org/officeDocument/2006/relationships/hyperlink" Target="https://doi.org/10.1037/h0071569" TargetMode="External"/><Relationship Id="rId20" Type="http://schemas.openxmlformats.org/officeDocument/2006/relationships/hyperlink" Target="https://doi.org/10.1037/0033-295X.112.2.347" TargetMode="External"/><Relationship Id="rId41" Type="http://schemas.openxmlformats.org/officeDocument/2006/relationships/hyperlink" Target="https://doi.org/10.1038/s44159-023-00152-5"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016/j.cogdev.2022.101164" TargetMode="External"/><Relationship Id="rId23" Type="http://schemas.openxmlformats.org/officeDocument/2006/relationships/hyperlink" Target="https://doi.org/10.1111/1468-5884.00008" TargetMode="External"/><Relationship Id="rId28" Type="http://schemas.openxmlformats.org/officeDocument/2006/relationships/hyperlink" Target="https://doi.org/10.1111/j.0956-7976.2004.00755.x" TargetMode="External"/><Relationship Id="rId36" Type="http://schemas.openxmlformats.org/officeDocument/2006/relationships/hyperlink" Target="https://doi.org/10.1111/infa.12274" TargetMode="External"/><Relationship Id="rId49" Type="http://schemas.openxmlformats.org/officeDocument/2006/relationships/hyperlink" Target="https://doi.org/10.1111/1467-8721.ep1077261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90</TotalTime>
  <Pages>29</Pages>
  <Words>7984</Words>
  <Characters>45509</Characters>
  <Application>Microsoft Office Word</Application>
  <DocSecurity>0</DocSecurity>
  <Lines>379</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Benton, Deon</cp:lastModifiedBy>
  <cp:revision>79</cp:revision>
  <dcterms:created xsi:type="dcterms:W3CDTF">2026-10-12T14:47:00Z</dcterms:created>
  <dcterms:modified xsi:type="dcterms:W3CDTF">2026-10-13T20:00:00Z</dcterms:modified>
</cp:coreProperties>
</file>