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D5623" w14:textId="043F7E46" w:rsidR="00F65E1D" w:rsidRDefault="00F65E1D" w:rsidP="00745507">
      <w:pPr>
        <w:rPr>
          <w:b/>
          <w:bCs/>
        </w:rPr>
      </w:pPr>
      <w:r>
        <w:rPr>
          <w:b/>
          <w:bCs/>
        </w:rPr>
        <w:t>Opening quote:</w:t>
      </w:r>
      <w:r w:rsidR="00073E88">
        <w:rPr>
          <w:b/>
          <w:bCs/>
        </w:rPr>
        <w:t xml:space="preserve"> (block quote)</w:t>
      </w:r>
    </w:p>
    <w:p w14:paraId="51E741BD" w14:textId="77777777" w:rsidR="00073E88" w:rsidRDefault="00073E88" w:rsidP="00745507">
      <w:r w:rsidRPr="00073E88">
        <w:t>We have gathered evidence for what I would like to call the “law of uphill analysis and downhill invention.” What I mean is this</w:t>
      </w:r>
      <w:proofErr w:type="gramStart"/>
      <w:r w:rsidRPr="00073E88">
        <w:t>. . . .</w:t>
      </w:r>
      <w:proofErr w:type="gramEnd"/>
      <w:r w:rsidRPr="00073E88">
        <w:t xml:space="preserve"> Analysis is more difficult than invention in the sense in which, generally, induction takes more time to perform than deduction: in induction one has to search for the way, whereas in deduction one follows a straightforward path. (</w:t>
      </w:r>
      <w:proofErr w:type="spellStart"/>
      <w:r w:rsidRPr="00073E88">
        <w:t>Braitenberg</w:t>
      </w:r>
      <w:proofErr w:type="spellEnd"/>
      <w:r w:rsidRPr="00073E88">
        <w:t>, 1984, p. 20)</w:t>
      </w:r>
    </w:p>
    <w:p w14:paraId="22003913" w14:textId="77777777" w:rsidR="00073E88" w:rsidRDefault="00073E88" w:rsidP="00745507"/>
    <w:p w14:paraId="693BA044" w14:textId="2FD1E30D" w:rsidR="00BB33BE" w:rsidRPr="00BB33BE" w:rsidRDefault="00BB33BE" w:rsidP="00745507">
      <w:pPr>
        <w:rPr>
          <w:b/>
          <w:bCs/>
        </w:rPr>
      </w:pPr>
      <w:r>
        <w:rPr>
          <w:b/>
          <w:bCs/>
        </w:rPr>
        <w:t>Introduction</w:t>
      </w:r>
    </w:p>
    <w:p w14:paraId="0E608791" w14:textId="3C51CFE1" w:rsidR="00B232F7" w:rsidRDefault="00B232F7" w:rsidP="00BB33BE">
      <w:pPr>
        <w:pStyle w:val="ListParagraph"/>
        <w:numPr>
          <w:ilvl w:val="0"/>
          <w:numId w:val="1"/>
        </w:numPr>
      </w:pPr>
      <w:r>
        <w:t xml:space="preserve">Open by introducing </w:t>
      </w:r>
      <w:proofErr w:type="spellStart"/>
      <w:r>
        <w:t>Braitenberg</w:t>
      </w:r>
      <w:proofErr w:type="spellEnd"/>
      <w:r>
        <w:t xml:space="preserve"> vehicles:</w:t>
      </w:r>
    </w:p>
    <w:p w14:paraId="5EEC8F28" w14:textId="160EAD15" w:rsidR="004A1484" w:rsidRDefault="00B232F7" w:rsidP="00B232F7">
      <w:pPr>
        <w:pStyle w:val="ListParagraph"/>
        <w:numPr>
          <w:ilvl w:val="1"/>
          <w:numId w:val="1"/>
        </w:numPr>
      </w:pPr>
      <w:r>
        <w:t xml:space="preserve">“In his book </w:t>
      </w:r>
      <w:r>
        <w:rPr>
          <w:i/>
          <w:iCs/>
        </w:rPr>
        <w:t>Vehicles</w:t>
      </w:r>
      <w:r>
        <w:t xml:space="preserve">, Valentino Braitenberg </w:t>
      </w:r>
      <w:r w:rsidR="001135DA">
        <w:t xml:space="preserve">introduces and then describes the behavior </w:t>
      </w:r>
      <w:r>
        <w:t xml:space="preserve">a series of fictional vehicles. </w:t>
      </w:r>
      <w:r w:rsidR="001135DA">
        <w:t xml:space="preserve">Some of the vehicles </w:t>
      </w:r>
      <w:r w:rsidR="004A1484">
        <w:t>come</w:t>
      </w:r>
      <w:r w:rsidR="001135DA">
        <w:t xml:space="preserve"> to rest whenever </w:t>
      </w:r>
      <w:r w:rsidR="004A1484">
        <w:t xml:space="preserve">they are </w:t>
      </w:r>
      <w:r w:rsidR="001135DA">
        <w:t xml:space="preserve">in the vicinity of any other vehicle. Other vehicles </w:t>
      </w:r>
      <w:proofErr w:type="gramStart"/>
      <w:r w:rsidR="001135DA">
        <w:t>races</w:t>
      </w:r>
      <w:proofErr w:type="gramEnd"/>
      <w:r w:rsidR="001135DA">
        <w:t xml:space="preserve"> towards other vehicles whenever they are nearby. Still other vehicles</w:t>
      </w:r>
      <w:r w:rsidR="002226BE">
        <w:t xml:space="preserve"> move in manner that increases the distances between them and other vehicles.</w:t>
      </w:r>
      <w:r w:rsidR="00EA08FE">
        <w:t xml:space="preserve"> An </w:t>
      </w:r>
      <w:r w:rsidR="002226BE">
        <w:t xml:space="preserve">unwitting </w:t>
      </w:r>
      <w:r w:rsidR="00EA08FE">
        <w:t>external observer might</w:t>
      </w:r>
      <w:r w:rsidR="001135DA">
        <w:t xml:space="preserve"> conclude from</w:t>
      </w:r>
      <w:r w:rsidR="002226BE">
        <w:t xml:space="preserve"> the behavior of the first vehicle that it “loves” or has “affection” for</w:t>
      </w:r>
      <w:r w:rsidR="001135DA">
        <w:t xml:space="preserve"> </w:t>
      </w:r>
      <w:r w:rsidR="002226BE">
        <w:t xml:space="preserve">other vehicles. That same onlooker might describe the behavior of the second vehicle as reflecting “aggression” and the behavior of the third vehicle as reflecting “cowardice.” </w:t>
      </w:r>
      <w:r w:rsidR="00D0583C">
        <w:t>Although it may be tempting to use psychologically rich descriptions to describe the behavior of these vehicles, it turns out that such behaviors can be explained in terms of simpler principles”</w:t>
      </w:r>
      <w:r w:rsidR="004A1484">
        <w:t xml:space="preserve"> </w:t>
      </w:r>
    </w:p>
    <w:p w14:paraId="1EA676DD" w14:textId="4C0C3854" w:rsidR="004A1484" w:rsidRDefault="002C2E9C" w:rsidP="004A1484">
      <w:pPr>
        <w:pStyle w:val="ListParagraph"/>
        <w:numPr>
          <w:ilvl w:val="0"/>
          <w:numId w:val="1"/>
        </w:numPr>
      </w:pPr>
      <w:r>
        <w:t>Describe the skeletal structure of a</w:t>
      </w:r>
      <w:r w:rsidR="004A1484">
        <w:t xml:space="preserve"> </w:t>
      </w:r>
      <w:proofErr w:type="spellStart"/>
      <w:r w:rsidR="004A1484">
        <w:t>Braitenberg</w:t>
      </w:r>
      <w:proofErr w:type="spellEnd"/>
      <w:r w:rsidR="004A1484">
        <w:t xml:space="preserve"> Vehicle:</w:t>
      </w:r>
    </w:p>
    <w:p w14:paraId="364897BC" w14:textId="634C4664" w:rsidR="004A1484" w:rsidRDefault="004A1484" w:rsidP="004A1484">
      <w:pPr>
        <w:pStyle w:val="ListParagraph"/>
        <w:numPr>
          <w:ilvl w:val="1"/>
          <w:numId w:val="1"/>
        </w:numPr>
      </w:pPr>
      <w:r>
        <w:t xml:space="preserve">“To understand why, </w:t>
      </w:r>
      <w:r w:rsidR="002C2E9C">
        <w:t xml:space="preserve">it is necessary first to </w:t>
      </w:r>
      <w:r>
        <w:t xml:space="preserve">consider the </w:t>
      </w:r>
      <w:r w:rsidR="002C2E9C">
        <w:t>skeletal</w:t>
      </w:r>
      <w:r>
        <w:t xml:space="preserve"> structure of </w:t>
      </w:r>
      <w:r w:rsidR="002C2E9C">
        <w:t xml:space="preserve">a </w:t>
      </w:r>
      <w:proofErr w:type="spellStart"/>
      <w:r w:rsidR="002C2E9C">
        <w:t>Braitenberg</w:t>
      </w:r>
      <w:proofErr w:type="spellEnd"/>
      <w:r w:rsidR="002C2E9C">
        <w:t xml:space="preserve"> vehicle.</w:t>
      </w:r>
      <w:r>
        <w:t xml:space="preserve"> In the simplest cases, </w:t>
      </w:r>
      <w:r w:rsidR="002C2E9C">
        <w:t>these vehicles</w:t>
      </w:r>
      <w:r>
        <w:t xml:space="preserve"> consist of motor, a body, and two wheels</w:t>
      </w:r>
      <w:proofErr w:type="gramStart"/>
      <w:r>
        <w:t>. ,</w:t>
      </w:r>
      <w:proofErr w:type="gramEnd"/>
      <w:r>
        <w:t xml:space="preserve"> in the simplest case, two wheels that are connected to a body. </w:t>
      </w:r>
      <w:r w:rsidR="00FC4B25">
        <w:t>Critically</w:t>
      </w:r>
      <w:r>
        <w:t xml:space="preserve">, the wheels are connected to the motor via wired connections. These sensorimotor connections are all that is needed to explain the behavior of all </w:t>
      </w:r>
      <w:proofErr w:type="spellStart"/>
      <w:r>
        <w:t>Braitenberg</w:t>
      </w:r>
      <w:proofErr w:type="spellEnd"/>
      <w:r>
        <w:t xml:space="preserve"> vehicles.  all that is needed to explain the behavior of the vehicles</w:t>
      </w:r>
    </w:p>
    <w:p w14:paraId="5B49A776" w14:textId="28EC4DC6" w:rsidR="004A1484" w:rsidRDefault="00DB41BA" w:rsidP="004A1484">
      <w:pPr>
        <w:pStyle w:val="ListParagraph"/>
        <w:numPr>
          <w:ilvl w:val="0"/>
          <w:numId w:val="1"/>
        </w:numPr>
      </w:pPr>
      <w:proofErr w:type="gramStart"/>
      <w:r>
        <w:t xml:space="preserve">Now </w:t>
      </w:r>
      <w:r w:rsidR="002C2E9C">
        <w:t xml:space="preserve"> that</w:t>
      </w:r>
      <w:proofErr w:type="gramEnd"/>
      <w:r w:rsidR="002C2E9C">
        <w:t xml:space="preserve"> you’ve described the basic structure of BVs, it is now possible to show how the robust and seemingly intelligent behaviors of these vehicles emerge from simpler principles—in this case, in terms of the</w:t>
      </w:r>
      <w:r>
        <w:t xml:space="preserve"> sensorimotor connections</w:t>
      </w:r>
      <w:r w:rsidR="002C2E9C">
        <w:t>.</w:t>
      </w:r>
    </w:p>
    <w:p w14:paraId="0E25337A" w14:textId="3D8CD2B0" w:rsidR="00DB41BA" w:rsidRDefault="00DB41BA" w:rsidP="00DB41BA">
      <w:pPr>
        <w:pStyle w:val="ListParagraph"/>
        <w:numPr>
          <w:ilvl w:val="1"/>
          <w:numId w:val="1"/>
        </w:numPr>
      </w:pPr>
      <w:r>
        <w:t xml:space="preserve">“The behavior of the vehicles described at the outset can be understood in terms of these connections. If the connection between the wheels and sensors </w:t>
      </w:r>
      <w:r w:rsidR="002C102B">
        <w:t>is</w:t>
      </w:r>
      <w:r>
        <w:t xml:space="preserve"> positive, the vehicle will behave as though it has </w:t>
      </w:r>
      <w:r w:rsidR="002C102B">
        <w:t>adoration</w:t>
      </w:r>
      <w:r>
        <w:t xml:space="preserve"> for other vehicles. In contrast, if t</w:t>
      </w:r>
      <w:r w:rsidR="002C102B">
        <w:t>his connection</w:t>
      </w:r>
      <w:r>
        <w:t xml:space="preserve"> is negative, </w:t>
      </w:r>
      <w:r w:rsidR="002C102B">
        <w:t xml:space="preserve">the vehicle will </w:t>
      </w:r>
      <w:r w:rsidR="002C102B">
        <w:lastRenderedPageBreak/>
        <w:t xml:space="preserve">behave as though it has adoration for other vehicles. </w:t>
      </w:r>
      <w:r>
        <w:t>Thus, all that is needed to explain the seemingly intelligent and life-like behavior of these vehicles are the patterns of connectivity between the wheels and sensors</w:t>
      </w:r>
      <w:r w:rsidR="002C102B">
        <w:t xml:space="preserve">; invoking complex mechanisms or psychologically rich descriptions add little to the </w:t>
      </w:r>
      <w:proofErr w:type="gramStart"/>
      <w:r w:rsidR="002C102B">
        <w:t>explanation</w:t>
      </w:r>
      <w:r>
        <w:t>.”</w:t>
      </w:r>
      <w:proofErr w:type="gramEnd"/>
    </w:p>
    <w:p w14:paraId="0FC01A26" w14:textId="48546BEB" w:rsidR="005B6AAE" w:rsidRDefault="002C102B" w:rsidP="005B6AAE">
      <w:pPr>
        <w:pStyle w:val="ListParagraph"/>
        <w:numPr>
          <w:ilvl w:val="0"/>
          <w:numId w:val="1"/>
        </w:numPr>
      </w:pPr>
      <w:r>
        <w:t>Connect the previous discussion about how the components of the system combine to produce behavior to make the broader point that understanding how a system works can reveal important—and sometimes unintuitive—insights about the behavior of systems: simple mechanisms can produce complex behavior.</w:t>
      </w:r>
    </w:p>
    <w:p w14:paraId="18B52D82" w14:textId="2979D6DE" w:rsidR="005B6AAE" w:rsidRDefault="002C102B" w:rsidP="00EE4964">
      <w:pPr>
        <w:pStyle w:val="ListParagraph"/>
        <w:numPr>
          <w:ilvl w:val="1"/>
          <w:numId w:val="1"/>
        </w:numPr>
      </w:pPr>
      <w:r>
        <w:t>“More generally, understanding</w:t>
      </w:r>
      <w:r w:rsidR="000A58B4">
        <w:t xml:space="preserve"> how the components of </w:t>
      </w:r>
      <w:r w:rsidR="00F776D0">
        <w:t>a physical</w:t>
      </w:r>
      <w:r w:rsidR="000A58B4">
        <w:t xml:space="preserve"> system combine to produce </w:t>
      </w:r>
      <w:r w:rsidR="00F776D0">
        <w:t>its behavior</w:t>
      </w:r>
      <w:r w:rsidR="000A58B4">
        <w:t xml:space="preserve"> can</w:t>
      </w:r>
      <w:r w:rsidR="00F776D0">
        <w:t xml:space="preserve"> sometimes</w:t>
      </w:r>
      <w:r w:rsidR="000A58B4">
        <w:t xml:space="preserve"> reveal important, if initially unintuitive, insights about the relation between behavior and mechanism: simple mechanisms can produce complex behavior.</w:t>
      </w:r>
      <w:r w:rsidR="003D2AA6">
        <w:t>”</w:t>
      </w:r>
      <w:r w:rsidR="000A58B4">
        <w:t xml:space="preserve"> </w:t>
      </w:r>
    </w:p>
    <w:p w14:paraId="2D2C316A" w14:textId="77777777" w:rsidR="005B6AAE" w:rsidRDefault="005B6AAE" w:rsidP="00DB41BA">
      <w:pPr>
        <w:pStyle w:val="ListParagraph"/>
        <w:numPr>
          <w:ilvl w:val="0"/>
          <w:numId w:val="1"/>
        </w:numPr>
      </w:pPr>
      <w:r>
        <w:t>Now make the consequence of going in the other direction:</w:t>
      </w:r>
    </w:p>
    <w:p w14:paraId="0595EE8F" w14:textId="5098960E" w:rsidR="00F776D0" w:rsidRDefault="005B6AAE" w:rsidP="005B6AAE">
      <w:pPr>
        <w:pStyle w:val="ListParagraph"/>
        <w:numPr>
          <w:ilvl w:val="1"/>
          <w:numId w:val="1"/>
        </w:numPr>
      </w:pPr>
      <w:r>
        <w:t>“</w:t>
      </w:r>
      <w:r w:rsidR="00F776D0">
        <w:t>This important insight can easily be missed when</w:t>
      </w:r>
      <w:r>
        <w:t xml:space="preserve"> working in the other direction, from </w:t>
      </w:r>
      <w:r w:rsidR="003D2AA6">
        <w:t>behavior to mechanism; t</w:t>
      </w:r>
      <w:r w:rsidR="00F776D0">
        <w:t xml:space="preserve">hat is, working in the other direction can lead </w:t>
      </w:r>
      <w:r w:rsidR="003D2AA6">
        <w:t xml:space="preserve">one </w:t>
      </w:r>
      <w:r w:rsidR="00F776D0">
        <w:t xml:space="preserve">to conclude that behaviors that look complex are the products of equally sophisticated </w:t>
      </w:r>
      <w:r w:rsidR="003D2AA6">
        <w:t>underlying</w:t>
      </w:r>
      <w:r w:rsidR="00F776D0">
        <w:t xml:space="preserve"> mechanisms.</w:t>
      </w:r>
      <w:r>
        <w:t xml:space="preserve"> is that it may be tempting to conclude that behaviors that look goal-directed and intentional were products </w:t>
      </w:r>
      <w:r w:rsidR="003D2AA6">
        <w:t>of equally</w:t>
      </w:r>
      <w:r>
        <w:t xml:space="preserve"> sophisticated cognitive machinery.” </w:t>
      </w:r>
    </w:p>
    <w:p w14:paraId="5F4E65AC" w14:textId="463A67E8" w:rsidR="00F776D0" w:rsidRDefault="00F776D0" w:rsidP="00F776D0">
      <w:pPr>
        <w:pStyle w:val="ListParagraph"/>
        <w:numPr>
          <w:ilvl w:val="0"/>
          <w:numId w:val="1"/>
        </w:numPr>
      </w:pPr>
      <w:r>
        <w:t>Identify the inductive problem with working backwards from behavior to mechanism:</w:t>
      </w:r>
    </w:p>
    <w:p w14:paraId="26E025A3" w14:textId="73E04158" w:rsidR="00EE5D4F" w:rsidRDefault="00F776D0" w:rsidP="00EE5D4F">
      <w:pPr>
        <w:pStyle w:val="ListParagraph"/>
        <w:numPr>
          <w:ilvl w:val="1"/>
          <w:numId w:val="1"/>
        </w:numPr>
      </w:pPr>
      <w:r>
        <w:t xml:space="preserve">“The </w:t>
      </w:r>
      <w:r w:rsidR="00EE4964">
        <w:t xml:space="preserve">specific </w:t>
      </w:r>
      <w:r>
        <w:t>inductive problem that one faces when</w:t>
      </w:r>
      <w:r w:rsidR="00EE5D4F">
        <w:t xml:space="preserve"> working backwards, from behavior to mechanism, is </w:t>
      </w:r>
      <w:r w:rsidR="00EE4964">
        <w:t xml:space="preserve">behavior </w:t>
      </w:r>
      <w:r w:rsidR="0001161E">
        <w:t xml:space="preserve">often </w:t>
      </w:r>
      <w:r w:rsidR="00EE4964">
        <w:t>underdetermines the mechanisms that produced it.</w:t>
      </w:r>
      <w:r w:rsidR="003D2AA6">
        <w:t xml:space="preserve"> </w:t>
      </w:r>
      <w:r w:rsidR="00EE5D4F">
        <w:t>This means that it is</w:t>
      </w:r>
      <w:r>
        <w:t xml:space="preserve"> possible</w:t>
      </w:r>
      <w:r w:rsidR="00EE5D4F">
        <w:t xml:space="preserve">, and in many cases extremely likely, that </w:t>
      </w:r>
      <w:r>
        <w:t>the</w:t>
      </w:r>
      <w:r w:rsidR="003D2AA6">
        <w:t xml:space="preserve"> very</w:t>
      </w:r>
      <w:r>
        <w:t xml:space="preserve"> same behavior </w:t>
      </w:r>
      <w:r w:rsidR="00EE5D4F">
        <w:t>can be produced</w:t>
      </w:r>
      <w:r>
        <w:t xml:space="preserve"> by many different mechanisms.</w:t>
      </w:r>
      <w:r w:rsidR="00EE5D4F">
        <w:t xml:space="preserve"> A consequence of th</w:t>
      </w:r>
      <w:r w:rsidR="00A24521">
        <w:t>e space of possible mechanisms by under constrained is that one may never identify the true generating mechanism, and even if one can be found, it can take an inordinate amount of time to find it. This is what is meant by “Analysis is more difficult than invention” and “induction takes more time than deduction” in the opening quote.</w:t>
      </w:r>
      <w:r w:rsidR="00EE4964">
        <w:t xml:space="preserve"> </w:t>
      </w:r>
      <w:r w:rsidR="00A24521">
        <w:t xml:space="preserve">The </w:t>
      </w:r>
      <w:proofErr w:type="gramStart"/>
      <w:r w:rsidR="00A24521">
        <w:t>solution to the problem</w:t>
      </w:r>
      <w:proofErr w:type="gramEnd"/>
      <w:r w:rsidR="00A24521">
        <w:t xml:space="preserve"> to this problem is to proceed in the other direction,</w:t>
      </w:r>
      <w:r w:rsidR="00EE5D4F">
        <w:t xml:space="preserve"> from mechanism to behavior. As </w:t>
      </w:r>
      <w:proofErr w:type="spellStart"/>
      <w:r w:rsidR="00EE5D4F">
        <w:t>Braitenberg</w:t>
      </w:r>
      <w:proofErr w:type="spellEnd"/>
      <w:r w:rsidR="00EE5D4F">
        <w:t xml:space="preserve"> notes, </w:t>
      </w:r>
    </w:p>
    <w:p w14:paraId="16F42200" w14:textId="77777777" w:rsidR="00EE5D4F" w:rsidRDefault="00EE5D4F" w:rsidP="00EE5D4F">
      <w:pPr>
        <w:pStyle w:val="ListParagraph"/>
        <w:numPr>
          <w:ilvl w:val="1"/>
          <w:numId w:val="1"/>
        </w:numPr>
      </w:pPr>
    </w:p>
    <w:p w14:paraId="75109E60" w14:textId="77777777" w:rsidR="00EE5D4F" w:rsidRDefault="00EE5D4F" w:rsidP="00EE5D4F">
      <w:pPr>
        <w:pStyle w:val="ListParagraph"/>
        <w:numPr>
          <w:ilvl w:val="1"/>
          <w:numId w:val="1"/>
        </w:numPr>
      </w:pPr>
    </w:p>
    <w:p w14:paraId="5F8B8221" w14:textId="2EC92156" w:rsidR="0001161E" w:rsidRDefault="0001161E" w:rsidP="00EE5D4F">
      <w:pPr>
        <w:pStyle w:val="ListParagraph"/>
        <w:numPr>
          <w:ilvl w:val="1"/>
          <w:numId w:val="1"/>
        </w:numPr>
      </w:pPr>
      <w:r>
        <w:t xml:space="preserve">The notion that “induction takes more time to perform than deduction” nicely captures this problem. </w:t>
      </w:r>
    </w:p>
    <w:p w14:paraId="1A28A49A" w14:textId="78D22ACB" w:rsidR="00EE5D4F" w:rsidRDefault="00EE5D4F" w:rsidP="00EE5D4F">
      <w:pPr>
        <w:pStyle w:val="ListParagraph"/>
        <w:numPr>
          <w:ilvl w:val="1"/>
          <w:numId w:val="1"/>
        </w:numPr>
      </w:pPr>
      <w:r>
        <w:lastRenderedPageBreak/>
        <w:t xml:space="preserve">Although </w:t>
      </w:r>
      <w:proofErr w:type="spellStart"/>
      <w:r>
        <w:t>Braitenberg’s</w:t>
      </w:r>
      <w:proofErr w:type="spellEnd"/>
      <w:r>
        <w:t xml:space="preserve"> solution to this problem is instead to </w:t>
      </w:r>
    </w:p>
    <w:p w14:paraId="5634D6E6" w14:textId="49FF3B1C" w:rsidR="002742CC" w:rsidRDefault="00EE4964" w:rsidP="00F776D0">
      <w:pPr>
        <w:pStyle w:val="ListParagraph"/>
        <w:numPr>
          <w:ilvl w:val="1"/>
          <w:numId w:val="1"/>
        </w:numPr>
      </w:pPr>
      <w:r>
        <w:t>This i</w:t>
      </w:r>
      <w:r w:rsidR="0001161E">
        <w:t xml:space="preserve">dea is nicely captured in the opening quote. </w:t>
      </w:r>
    </w:p>
    <w:p w14:paraId="5F95474A" w14:textId="363CF19E" w:rsidR="002742CC" w:rsidRDefault="002742CC" w:rsidP="002742CC">
      <w:pPr>
        <w:pStyle w:val="ListParagraph"/>
        <w:numPr>
          <w:ilvl w:val="0"/>
          <w:numId w:val="1"/>
        </w:numPr>
      </w:pPr>
      <w:r>
        <w:t xml:space="preserve">Now tie this to developmental psychology via the </w:t>
      </w:r>
      <w:proofErr w:type="spellStart"/>
      <w:r>
        <w:t>maths</w:t>
      </w:r>
      <w:proofErr w:type="spellEnd"/>
      <w:r>
        <w:t xml:space="preserve"> example:</w:t>
      </w:r>
    </w:p>
    <w:p w14:paraId="5699F1AB" w14:textId="201DEE12" w:rsidR="002742CC" w:rsidRDefault="002742CC" w:rsidP="005B6AAE">
      <w:pPr>
        <w:pStyle w:val="ListParagraph"/>
        <w:numPr>
          <w:ilvl w:val="1"/>
          <w:numId w:val="1"/>
        </w:numPr>
      </w:pPr>
      <w:r>
        <w:t>“</w:t>
      </w:r>
      <w:r w:rsidR="00A24521">
        <w:t>The trouble is that this approach is rarely taken in practice. In the developmental cognitive sciences, for example,</w:t>
      </w:r>
      <w:r w:rsidR="007E3493">
        <w:t xml:space="preserve"> it is customary for developmental researchers to infer </w:t>
      </w:r>
      <w:proofErr w:type="gramStart"/>
      <w:r w:rsidR="007E3493">
        <w:t>mechanism</w:t>
      </w:r>
      <w:proofErr w:type="gramEnd"/>
      <w:r w:rsidR="007E3493">
        <w:t xml:space="preserve"> from behavior rather than the other way around. A corollary of this is that those same researchers</w:t>
      </w:r>
      <w:r>
        <w:t xml:space="preserve"> </w:t>
      </w:r>
      <w:r w:rsidR="007E3493">
        <w:t>routinely ascribe</w:t>
      </w:r>
      <w:r>
        <w:t xml:space="preserve"> </w:t>
      </w:r>
      <w:r w:rsidR="007E3493">
        <w:t xml:space="preserve">sophisticated cognitive abilities, </w:t>
      </w:r>
      <w:r>
        <w:t>abstract knowledge, content-rich representations, and specialized mechanisms to the developing infant based, in many cases, on their looking behaviors. One need not look any further for an example of this than the research into the origins of early number cognition. Some have interpreted the fact that infants will sometimes look longer at numerically incongruous (1 + 1 = 1) than a</w:t>
      </w:r>
      <w:r w:rsidR="00594864">
        <w:t>t numerically</w:t>
      </w:r>
      <w:r>
        <w:t xml:space="preserve"> congruous outcomes (1 + 1 = 2) to mean that they possess innately an accumulator-like mechanism that continuously tallies the number of discrete elements in a visual scene.</w:t>
      </w:r>
      <w:r w:rsidR="002935F9">
        <w:t xml:space="preserve"> (Meck &amp; Church, 1983; Wynn, 1995)</w:t>
      </w:r>
      <w:r>
        <w:t>"</w:t>
      </w:r>
    </w:p>
    <w:p w14:paraId="2038C8C8" w14:textId="17EFB361" w:rsidR="005B6AAE" w:rsidRDefault="005B6AAE" w:rsidP="005B6AAE">
      <w:pPr>
        <w:pStyle w:val="ListParagraph"/>
        <w:numPr>
          <w:ilvl w:val="0"/>
          <w:numId w:val="1"/>
        </w:numPr>
      </w:pPr>
      <w:r>
        <w:t>Mention the problem with such a conclusion</w:t>
      </w:r>
    </w:p>
    <w:p w14:paraId="19F872A5" w14:textId="3742E89B" w:rsidR="00171D4B" w:rsidRDefault="005B6AAE" w:rsidP="00171D4B">
      <w:pPr>
        <w:pStyle w:val="ListParagraph"/>
        <w:numPr>
          <w:ilvl w:val="1"/>
          <w:numId w:val="1"/>
        </w:numPr>
      </w:pPr>
      <w:r>
        <w:t>“</w:t>
      </w:r>
      <w:r w:rsidR="002742CC">
        <w:t>The problem</w:t>
      </w:r>
      <w:r>
        <w:t xml:space="preserve"> with such a conclusion is that </w:t>
      </w:r>
      <w:r w:rsidR="00594864">
        <w:t>it is entirely possible that infants</w:t>
      </w:r>
      <w:r>
        <w:t xml:space="preserve"> looked longer at a “1 + 1 = 1” event than at a “1 + 1 = 2” event for reasons other than</w:t>
      </w:r>
      <w:r w:rsidR="00FC4B25">
        <w:t xml:space="preserve"> the ability of a 5-month-old</w:t>
      </w:r>
      <w:r w:rsidR="00171D4B">
        <w:t xml:space="preserve"> “</w:t>
      </w:r>
      <w:r w:rsidR="00FC4B25">
        <w:t>to calculate the precise results of simple arithmetical operations</w:t>
      </w:r>
      <w:r w:rsidR="00171D4B">
        <w:t>”</w:t>
      </w:r>
      <w:r w:rsidR="00FC4B25">
        <w:t xml:space="preserve"> (p. 750)</w:t>
      </w:r>
      <w:r w:rsidR="00171D4B">
        <w:t xml:space="preserve">.  </w:t>
      </w:r>
      <w:r w:rsidR="00FC4B25">
        <w:t>In direct contravention to this conclusion, r</w:t>
      </w:r>
      <w:r w:rsidR="00171D4B">
        <w:t>esearchers working from the other direction</w:t>
      </w:r>
      <w:r w:rsidR="00FC4B25">
        <w:t>—</w:t>
      </w:r>
      <w:r w:rsidR="00171D4B">
        <w:t>from mechanism to behavior</w:t>
      </w:r>
      <w:r w:rsidR="00FC4B25">
        <w:t>—</w:t>
      </w:r>
      <w:r w:rsidR="00171D4B">
        <w:t xml:space="preserve">have argued that longer looking at the former than the latter event can instead be explained by a preference for familiar stimulus configurations and for </w:t>
      </w:r>
      <w:r w:rsidR="00594864">
        <w:t>displays containing more items</w:t>
      </w:r>
      <w:r w:rsidR="002935F9">
        <w:t xml:space="preserve"> (e.g., Cohen &amp; Marks, 2002)</w:t>
      </w:r>
      <w:r w:rsidR="00594864">
        <w:t xml:space="preserve">. </w:t>
      </w:r>
    </w:p>
    <w:p w14:paraId="2EF3BDA6" w14:textId="1C568CC8" w:rsidR="002935F9" w:rsidRDefault="00132E96" w:rsidP="002935F9">
      <w:pPr>
        <w:pStyle w:val="ListParagraph"/>
        <w:numPr>
          <w:ilvl w:val="0"/>
          <w:numId w:val="1"/>
        </w:numPr>
      </w:pPr>
      <w:r>
        <w:t>Zoom out and t</w:t>
      </w:r>
      <w:r w:rsidR="002935F9">
        <w:t xml:space="preserve">ie this example back to </w:t>
      </w:r>
      <w:r>
        <w:t>the aforementioned inductive problem</w:t>
      </w:r>
    </w:p>
    <w:p w14:paraId="2F1B4A73" w14:textId="4A17A8B3" w:rsidR="00132E96" w:rsidRDefault="00132E96" w:rsidP="002935F9">
      <w:pPr>
        <w:pStyle w:val="ListParagraph"/>
        <w:numPr>
          <w:ilvl w:val="1"/>
          <w:numId w:val="1"/>
        </w:numPr>
      </w:pPr>
      <w:r>
        <w:t>“</w:t>
      </w:r>
      <w:r w:rsidR="002935F9">
        <w:t>This example is a nice illustration of</w:t>
      </w:r>
      <w:r>
        <w:t xml:space="preserve"> why attempting to infer underlying mechanism from observable behavior is problematic.</w:t>
      </w:r>
      <w:r w:rsidR="002935F9">
        <w:t xml:space="preserve"> </w:t>
      </w:r>
      <w:r>
        <w:t>As this example demonstrates and the opening quote reveals, by working from behavior to mechanism, it is easy to overlook the very real possibility that sophisticated behaviors that at first blush appear to be the products of equally complex cognitive mechanisms may in fact be the result of simple operating principles and mechanisms.</w:t>
      </w:r>
    </w:p>
    <w:p w14:paraId="40C9E1E7" w14:textId="7CFD639A" w:rsidR="00132E96" w:rsidRDefault="00132E96" w:rsidP="00132E96">
      <w:pPr>
        <w:pStyle w:val="ListParagraph"/>
        <w:numPr>
          <w:ilvl w:val="0"/>
          <w:numId w:val="1"/>
        </w:numPr>
      </w:pPr>
      <w:r>
        <w:t>Tie this to the goal of the chapter</w:t>
      </w:r>
    </w:p>
    <w:p w14:paraId="574641E6" w14:textId="2F60E712" w:rsidR="00513A11" w:rsidRDefault="00132E96" w:rsidP="00513A11">
      <w:pPr>
        <w:pStyle w:val="ListParagraph"/>
        <w:numPr>
          <w:ilvl w:val="1"/>
          <w:numId w:val="1"/>
        </w:numPr>
      </w:pPr>
      <w:r>
        <w:t>The overall goal of this chapter is to demonstrate</w:t>
      </w:r>
      <w:r w:rsidR="00513A11">
        <w:t xml:space="preserve"> </w:t>
      </w:r>
      <w:r w:rsidR="00974FF4">
        <w:t>h</w:t>
      </w:r>
      <w:r>
        <w:t>ow</w:t>
      </w:r>
      <w:r w:rsidR="00513A11">
        <w:t xml:space="preserve"> one specific kind of simple </w:t>
      </w:r>
      <w:proofErr w:type="gramStart"/>
      <w:r w:rsidR="00513A11">
        <w:t>mechanism—namely,</w:t>
      </w:r>
      <w:proofErr w:type="gramEnd"/>
      <w:r w:rsidR="00513A11">
        <w:t xml:space="preserve"> domain-general associative learning—</w:t>
      </w:r>
      <w:r w:rsidR="00513A11">
        <w:lastRenderedPageBreak/>
        <w:t>p</w:t>
      </w:r>
      <w:r w:rsidR="00974FF4">
        <w:t>rovide</w:t>
      </w:r>
      <w:r w:rsidR="00513A11">
        <w:t>s</w:t>
      </w:r>
      <w:r w:rsidR="00974FF4">
        <w:t xml:space="preserve"> an adequate account of </w:t>
      </w:r>
      <w:r w:rsidR="00513A11">
        <w:t xml:space="preserve">infants’ and children’s behavior even in domains beyond </w:t>
      </w:r>
      <w:r w:rsidR="00974FF4">
        <w:t>number.</w:t>
      </w:r>
      <w:r w:rsidR="00513A11">
        <w:t xml:space="preserve"> To make this case convincingly, I will rely on four case studies. </w:t>
      </w:r>
      <w:r w:rsidR="00974FF4">
        <w:t xml:space="preserve">The first case study will focus on the question of how infants learn about the causal properties of people and objects. The second case study will focus on the question of how infants figure out who is close to whom. The final case study will focus on the question of how children reason causally. </w:t>
      </w:r>
      <w:r w:rsidR="007B150C">
        <w:t xml:space="preserve">Given that computational modeling will factor heavily in each case study, the chapter will conclude with a brief discussion of the role of computational modeling </w:t>
      </w:r>
    </w:p>
    <w:p w14:paraId="272851A9" w14:textId="5AA6F984" w:rsidR="00132E96" w:rsidRDefault="00132E96" w:rsidP="00132E96">
      <w:pPr>
        <w:pStyle w:val="ListParagraph"/>
        <w:numPr>
          <w:ilvl w:val="0"/>
          <w:numId w:val="1"/>
        </w:numPr>
      </w:pPr>
      <w:r>
        <w:t xml:space="preserve">Mention </w:t>
      </w:r>
      <w:r w:rsidR="00513A11">
        <w:t xml:space="preserve">how all of the data will largely come from my own </w:t>
      </w:r>
      <w:proofErr w:type="gramStart"/>
      <w:r w:rsidR="00513A11">
        <w:t>work, but</w:t>
      </w:r>
      <w:proofErr w:type="gramEnd"/>
      <w:r w:rsidR="00513A11">
        <w:t xml:space="preserve"> then explain how this work speaks to a broader point.</w:t>
      </w:r>
    </w:p>
    <w:p w14:paraId="6D1C3857" w14:textId="28C46B77" w:rsidR="000C7202" w:rsidRDefault="00513A11" w:rsidP="00132E96">
      <w:pPr>
        <w:pStyle w:val="ListParagraph"/>
        <w:numPr>
          <w:ilvl w:val="1"/>
          <w:numId w:val="1"/>
        </w:numPr>
      </w:pPr>
      <w:r>
        <w:t xml:space="preserve">“Although I rely heavily on my work to make the case </w:t>
      </w:r>
      <w:r w:rsidR="000C7202">
        <w:t>that</w:t>
      </w:r>
      <w:r>
        <w:t xml:space="preserve"> domain-general associative learning </w:t>
      </w:r>
      <w:r w:rsidR="000C7202">
        <w:t xml:space="preserve">is sufficient to explain infants’ and children’s behaviors in a </w:t>
      </w:r>
      <w:r>
        <w:t xml:space="preserve">circumscribed set of domains, I see this work and the </w:t>
      </w:r>
      <w:r w:rsidR="000C7202">
        <w:t xml:space="preserve">target </w:t>
      </w:r>
      <w:r>
        <w:t>domains as speaking to two broad theoretical points.</w:t>
      </w:r>
      <w:r w:rsidR="000C7202">
        <w:t xml:space="preserve"> One of these points should, at this point, be well understood. This is that</w:t>
      </w:r>
      <w:r>
        <w:t xml:space="preserve"> behaviors that look like they stem from and reflect specialized processes and content-rich representations can, in many cases, be explained in terms of simple, albeit extremely powerful, associative learning processes. </w:t>
      </w:r>
      <w:r w:rsidR="000C7202">
        <w:t>The other point is that to</w:t>
      </w:r>
      <w:r>
        <w:t xml:space="preserve"> the extent that such processes can explain the findings described in this chapter, there is </w:t>
      </w:r>
      <w:r w:rsidR="002B72CF">
        <w:t xml:space="preserve">a priori </w:t>
      </w:r>
      <w:r>
        <w:t xml:space="preserve">no </w:t>
      </w:r>
      <w:r w:rsidR="002B72CF">
        <w:t>reason</w:t>
      </w:r>
      <w:r>
        <w:t xml:space="preserve"> </w:t>
      </w:r>
      <w:r w:rsidR="000C7202">
        <w:t xml:space="preserve">to think </w:t>
      </w:r>
      <w:r>
        <w:t xml:space="preserve">that the same </w:t>
      </w:r>
      <w:r w:rsidR="002B72CF">
        <w:t>cannot be true for</w:t>
      </w:r>
      <w:r>
        <w:t xml:space="preserve"> domains. </w:t>
      </w:r>
      <w:r w:rsidR="002B72CF">
        <w:t>As it turns out,</w:t>
      </w:r>
      <w:r w:rsidR="000C7202">
        <w:t xml:space="preserve"> similar arguments to th</w:t>
      </w:r>
      <w:r w:rsidR="002B72CF">
        <w:t>at</w:t>
      </w:r>
      <w:r w:rsidR="000C7202">
        <w:t xml:space="preserve"> advanced here have</w:t>
      </w:r>
      <w:r w:rsidR="002B72CF">
        <w:t xml:space="preserve"> been made to explain the behavior of young learners in</w:t>
      </w:r>
      <w:r w:rsidR="000C7202">
        <w:t xml:space="preserve"> domains </w:t>
      </w:r>
      <w:r w:rsidR="002B72CF">
        <w:t>as far ranging as</w:t>
      </w:r>
      <w:r w:rsidR="000C7202">
        <w:t xml:space="preserve"> imitation (Heyes, </w:t>
      </w:r>
      <w:r w:rsidR="002B72CF">
        <w:t>2018</w:t>
      </w:r>
      <w:r w:rsidR="000C7202">
        <w:t xml:space="preserve">), theory of mind (Perner &amp; Ruffman, 2005), </w:t>
      </w:r>
      <w:r w:rsidR="002B72CF">
        <w:t xml:space="preserve">morality (e.g., Benton &amp; Lapan, 2021), </w:t>
      </w:r>
      <w:r w:rsidR="000C7202">
        <w:t xml:space="preserve">causality (Rakison &amp; </w:t>
      </w:r>
      <w:proofErr w:type="spellStart"/>
      <w:r w:rsidR="000C7202">
        <w:t>Lupyan</w:t>
      </w:r>
      <w:proofErr w:type="spellEnd"/>
      <w:r w:rsidR="000C7202">
        <w:t xml:space="preserve">, 2008), categorization (Quinn &amp; Eimas,1998), word learning (Colunga &amp; Smith, 2008), </w:t>
      </w:r>
      <w:r w:rsidR="002B72CF">
        <w:t xml:space="preserve">among other (e.g., Adolph &amp; Joh, 2009; </w:t>
      </w:r>
      <w:r w:rsidR="002B72CF" w:rsidRPr="002B72CF">
        <w:t>Mermier</w:t>
      </w:r>
      <w:r w:rsidR="002B72CF">
        <w:t xml:space="preserve"> et al., 2022; Scott &amp; Arcaro, 2023).</w:t>
      </w:r>
      <w:r w:rsidR="000C7202">
        <w:t xml:space="preserve"> </w:t>
      </w:r>
      <w:r w:rsidR="002B72CF">
        <w:t>“</w:t>
      </w:r>
    </w:p>
    <w:p w14:paraId="2A42FEF8" w14:textId="77777777" w:rsidR="00AF59D6" w:rsidRDefault="00AF59D6" w:rsidP="00AF59D6"/>
    <w:p w14:paraId="5FD4CF6C" w14:textId="68940E9B" w:rsidR="00EB4DBC" w:rsidRPr="00AF59D6" w:rsidRDefault="00EB4DBC" w:rsidP="00EB4DBC">
      <w:pPr>
        <w:rPr>
          <w:b/>
          <w:bCs/>
        </w:rPr>
      </w:pPr>
      <w:r w:rsidRPr="00AF59D6">
        <w:rPr>
          <w:b/>
          <w:bCs/>
        </w:rPr>
        <w:t>Associative learning section</w:t>
      </w:r>
    </w:p>
    <w:p w14:paraId="33FEE8D3" w14:textId="0771BE3E" w:rsidR="00EB4DBC" w:rsidRDefault="00EB4DBC" w:rsidP="00EB4DBC">
      <w:pPr>
        <w:pStyle w:val="ListParagraph"/>
        <w:numPr>
          <w:ilvl w:val="0"/>
          <w:numId w:val="2"/>
        </w:numPr>
      </w:pPr>
      <w:r>
        <w:t>Mention how it is important to be clear from outset what is meant by associative learning before discussing each case study.</w:t>
      </w:r>
    </w:p>
    <w:p w14:paraId="64DE80C7" w14:textId="053198DD" w:rsidR="00EB4DBC" w:rsidRDefault="00EB4DBC" w:rsidP="00EB4DBC">
      <w:pPr>
        <w:pStyle w:val="ListParagraph"/>
        <w:numPr>
          <w:ilvl w:val="1"/>
          <w:numId w:val="2"/>
        </w:numPr>
      </w:pPr>
      <w:r>
        <w:t xml:space="preserve">“Given the centrality of associative learning in the present case studies, it is important to be clear from the outset about what is meant by associative learning.” </w:t>
      </w:r>
    </w:p>
    <w:p w14:paraId="60E090CE" w14:textId="36376B09" w:rsidR="00EB4DBC" w:rsidRDefault="00EB4DBC" w:rsidP="00EB4DBC">
      <w:pPr>
        <w:pStyle w:val="ListParagraph"/>
        <w:numPr>
          <w:ilvl w:val="0"/>
          <w:numId w:val="2"/>
        </w:numPr>
      </w:pPr>
      <w:r>
        <w:t>Now give one definition of associative learning. The definition needs to be basic.</w:t>
      </w:r>
    </w:p>
    <w:p w14:paraId="584B3080" w14:textId="339C27DC" w:rsidR="00EB4DBC" w:rsidRDefault="00EB4DBC" w:rsidP="00EB4DBC">
      <w:pPr>
        <w:pStyle w:val="ListParagraph"/>
        <w:numPr>
          <w:ilvl w:val="1"/>
          <w:numId w:val="2"/>
        </w:numPr>
      </w:pPr>
      <w:r>
        <w:lastRenderedPageBreak/>
        <w:t xml:space="preserve">One definition of associative learning was put forward by Heyes (2018). She defined associative learning as. </w:t>
      </w:r>
    </w:p>
    <w:p w14:paraId="22499E2B" w14:textId="33B24D22" w:rsidR="00EB4DBC" w:rsidRDefault="00EB4DBC" w:rsidP="00EB4DBC">
      <w:pPr>
        <w:pStyle w:val="ListParagraph"/>
        <w:numPr>
          <w:ilvl w:val="0"/>
          <w:numId w:val="2"/>
        </w:numPr>
      </w:pPr>
      <w:r>
        <w:t xml:space="preserve">One difficulty with this definition is that it fails to distinguish between different kinds of associative learning. </w:t>
      </w:r>
    </w:p>
    <w:p w14:paraId="67B5B02D" w14:textId="1972908F" w:rsidR="00132E96" w:rsidRDefault="00AF59D6" w:rsidP="00AF59D6">
      <w:pPr>
        <w:pStyle w:val="ListParagraph"/>
        <w:numPr>
          <w:ilvl w:val="1"/>
          <w:numId w:val="2"/>
        </w:numPr>
        <w:ind w:left="1490"/>
      </w:pPr>
      <w:r>
        <w:t>“</w:t>
      </w:r>
      <w:r w:rsidRPr="00AF59D6">
        <w:t xml:space="preserve">Although this definition </w:t>
      </w:r>
      <w:r>
        <w:t>serves as a good first attempt</w:t>
      </w:r>
      <w:r w:rsidRPr="00AF59D6">
        <w:t xml:space="preserve"> and</w:t>
      </w:r>
      <w:r>
        <w:t xml:space="preserve"> even</w:t>
      </w:r>
      <w:r w:rsidRPr="00AF59D6">
        <w:t xml:space="preserve"> </w:t>
      </w:r>
      <w:r>
        <w:t xml:space="preserve">likely </w:t>
      </w:r>
      <w:r w:rsidRPr="00AF59D6">
        <w:t>captures what most people intuitively have in mind when the term is used, a major difficulty with it is that it fails to distinguish between different kinds of associative learning.</w:t>
      </w:r>
      <w:r>
        <w:t>”</w:t>
      </w:r>
    </w:p>
    <w:p w14:paraId="70441A42" w14:textId="2496E80A" w:rsidR="00AF59D6" w:rsidRDefault="00AF59D6" w:rsidP="00AF59D6">
      <w:pPr>
        <w:pStyle w:val="ListParagraph"/>
        <w:numPr>
          <w:ilvl w:val="0"/>
          <w:numId w:val="2"/>
        </w:numPr>
      </w:pPr>
      <w:r>
        <w:t>Introduce the different types:</w:t>
      </w:r>
    </w:p>
    <w:p w14:paraId="6EBB3856" w14:textId="3806D960" w:rsidR="00AF59D6" w:rsidRDefault="00AF59D6" w:rsidP="00AF59D6">
      <w:pPr>
        <w:pStyle w:val="ListParagraph"/>
        <w:numPr>
          <w:ilvl w:val="1"/>
          <w:numId w:val="2"/>
        </w:numPr>
      </w:pPr>
      <w:r>
        <w:t>One type of associative learning involves forming associations between one’s behavior</w:t>
      </w:r>
      <w:r w:rsidR="006604B4">
        <w:t xml:space="preserve"> and the consequences that follow from it. This form of associative learning</w:t>
      </w:r>
      <w:r w:rsidR="000409B5">
        <w:t>—made popular by BF Skinner—</w:t>
      </w:r>
      <w:r w:rsidR="006604B4">
        <w:t>is called operant conditioning.</w:t>
      </w:r>
      <w:r w:rsidR="000409B5">
        <w:t xml:space="preserve"> Little </w:t>
      </w:r>
      <w:proofErr w:type="gramStart"/>
      <w:r w:rsidR="000409B5">
        <w:t>Johnny</w:t>
      </w:r>
      <w:proofErr w:type="gramEnd"/>
      <w:r w:rsidR="000409B5">
        <w:t xml:space="preserve"> receiving a small monetary gift every time he </w:t>
      </w:r>
      <w:proofErr w:type="spellStart"/>
      <w:proofErr w:type="gramStart"/>
      <w:r w:rsidR="000409B5">
        <w:t>aces</w:t>
      </w:r>
      <w:proofErr w:type="spellEnd"/>
      <w:proofErr w:type="gramEnd"/>
      <w:r w:rsidR="000409B5">
        <w:t xml:space="preserve"> an </w:t>
      </w:r>
      <w:proofErr w:type="gramStart"/>
      <w:r w:rsidR="000409B5">
        <w:t>exam</w:t>
      </w:r>
      <w:proofErr w:type="gramEnd"/>
      <w:r w:rsidR="000409B5">
        <w:t xml:space="preserve"> is an example of operant conditioning. The other type of associative learning involves forming associations between distinct stimuli. This form of associative learning—introduced by Ivan Pavlov—is called classical conditioning. </w:t>
      </w:r>
      <w:r w:rsidR="006B5821">
        <w:t xml:space="preserve">Little Johnny hurriedly gathering pocket change when he hears the familiar jingle of the ice cream truck is an example of this kind of associative learning. </w:t>
      </w:r>
    </w:p>
    <w:p w14:paraId="33A49A88" w14:textId="7A0C90C8" w:rsidR="006604B4" w:rsidRDefault="006604B4" w:rsidP="006604B4">
      <w:pPr>
        <w:pStyle w:val="ListParagraph"/>
        <w:numPr>
          <w:ilvl w:val="0"/>
          <w:numId w:val="2"/>
        </w:numPr>
      </w:pPr>
      <w:r>
        <w:t xml:space="preserve">Mention the </w:t>
      </w:r>
      <w:proofErr w:type="gramStart"/>
      <w:r>
        <w:t>consequence</w:t>
      </w:r>
      <w:proofErr w:type="gramEnd"/>
      <w:r>
        <w:t xml:space="preserve"> of both kinds of associations</w:t>
      </w:r>
    </w:p>
    <w:p w14:paraId="639BFF1E" w14:textId="7C5A13FB" w:rsidR="006604B4" w:rsidRDefault="000409B5" w:rsidP="006604B4">
      <w:pPr>
        <w:pStyle w:val="ListParagraph"/>
        <w:numPr>
          <w:ilvl w:val="1"/>
          <w:numId w:val="2"/>
        </w:numPr>
      </w:pPr>
      <w:r>
        <w:t xml:space="preserve">“One of the things that both kinds of associative learning share </w:t>
      </w:r>
      <w:proofErr w:type="gramStart"/>
      <w:r>
        <w:t>is</w:t>
      </w:r>
      <w:proofErr w:type="gramEnd"/>
      <w:r>
        <w:t xml:space="preserve"> that for sufficiently strong associations, it will be the case that the presence of one of the components of the association will come to trigger an expectation of the other component, even if that other component is not ultimately presented. This is seen most clearly when</w:t>
      </w:r>
      <w:r w:rsidR="006B5821">
        <w:t xml:space="preserve"> a dog</w:t>
      </w:r>
      <w:r>
        <w:t xml:space="preserve"> </w:t>
      </w:r>
      <w:proofErr w:type="gramStart"/>
      <w:r>
        <w:t>salivate</w:t>
      </w:r>
      <w:proofErr w:type="gramEnd"/>
      <w:r>
        <w:t xml:space="preserve"> at the sound of a bell alone</w:t>
      </w:r>
      <w:r w:rsidR="006B5821">
        <w:t>. The dog presumably would not have salivated at the sound of the bell if the dog did not expect a tasty treat based, in part, on previous repeated pairings of steak with the sound of a bell.”</w:t>
      </w:r>
    </w:p>
    <w:p w14:paraId="51828431" w14:textId="17A306B7" w:rsidR="00AF59D6" w:rsidRDefault="008F3BB1" w:rsidP="00AF59D6">
      <w:pPr>
        <w:pStyle w:val="ListParagraph"/>
        <w:numPr>
          <w:ilvl w:val="0"/>
          <w:numId w:val="2"/>
        </w:numPr>
      </w:pPr>
      <w:r>
        <w:t>Mention examples of both kinds associative learning in the developmental sciences</w:t>
      </w:r>
    </w:p>
    <w:p w14:paraId="4C6B55DF" w14:textId="60DAFAA5" w:rsidR="008F3BB1" w:rsidRPr="008F3BB1" w:rsidRDefault="008F3BB1" w:rsidP="008F3BB1">
      <w:pPr>
        <w:pStyle w:val="ListParagraph"/>
        <w:numPr>
          <w:ilvl w:val="1"/>
          <w:numId w:val="2"/>
        </w:numPr>
        <w:spacing w:after="0" w:line="240" w:lineRule="auto"/>
      </w:pPr>
      <w:r>
        <w:rPr>
          <w:rFonts w:ascii="Aptos" w:eastAsia="Times New Roman" w:hAnsi="Aptos" w:cs="Times New Roman"/>
          <w:color w:val="212121"/>
          <w:kern w:val="0"/>
          <w14:ligatures w14:val="none"/>
        </w:rPr>
        <w:t>“</w:t>
      </w:r>
      <w:r w:rsidR="005168DD">
        <w:rPr>
          <w:rFonts w:ascii="Aptos" w:eastAsia="Times New Roman" w:hAnsi="Aptos" w:cs="Times New Roman"/>
          <w:color w:val="212121"/>
          <w:kern w:val="0"/>
          <w14:ligatures w14:val="none"/>
        </w:rPr>
        <w:t>The Little Albert experiment is a paradigmatic example of classical conditioning in the developmental sciences (e.g., Watson &amp; Rayner, 1920</w:t>
      </w:r>
      <w:r w:rsidR="005168DD" w:rsidRPr="008F3BB1">
        <w:rPr>
          <w:rFonts w:ascii="Aptos" w:eastAsia="Times New Roman" w:hAnsi="Aptos" w:cs="Times New Roman"/>
          <w:color w:val="212121"/>
          <w:kern w:val="0"/>
          <w14:ligatures w14:val="none"/>
        </w:rPr>
        <w:t>)</w:t>
      </w:r>
      <w:r w:rsidR="005168DD">
        <w:rPr>
          <w:rFonts w:ascii="Aptos" w:eastAsia="Times New Roman" w:hAnsi="Aptos" w:cs="Times New Roman"/>
          <w:color w:val="212121"/>
          <w:kern w:val="0"/>
          <w14:ligatures w14:val="none"/>
        </w:rPr>
        <w:t xml:space="preserve">; Carolyn </w:t>
      </w:r>
      <w:proofErr w:type="spellStart"/>
      <w:r w:rsidR="005168DD">
        <w:rPr>
          <w:rFonts w:ascii="Aptos" w:eastAsia="Times New Roman" w:hAnsi="Aptos" w:cs="Times New Roman"/>
          <w:color w:val="212121"/>
          <w:kern w:val="0"/>
          <w14:ligatures w14:val="none"/>
        </w:rPr>
        <w:t>Rovee</w:t>
      </w:r>
      <w:proofErr w:type="spellEnd"/>
      <w:r w:rsidR="005168DD">
        <w:rPr>
          <w:rFonts w:ascii="Aptos" w:eastAsia="Times New Roman" w:hAnsi="Aptos" w:cs="Times New Roman"/>
          <w:color w:val="212121"/>
          <w:kern w:val="0"/>
          <w14:ligatures w14:val="none"/>
        </w:rPr>
        <w:t>-Collier’s mobile conjugate reinforcement paradigm is a paradigmatic example of operant conditioning (</w:t>
      </w:r>
      <w:r w:rsidR="004533BF">
        <w:rPr>
          <w:rFonts w:ascii="Aptos" w:eastAsia="Times New Roman" w:hAnsi="Aptos" w:cs="Times New Roman"/>
          <w:color w:val="212121"/>
          <w:kern w:val="0"/>
          <w14:ligatures w14:val="none"/>
        </w:rPr>
        <w:t xml:space="preserve">e.g., </w:t>
      </w:r>
      <w:proofErr w:type="spellStart"/>
      <w:r w:rsidR="004533BF">
        <w:rPr>
          <w:rFonts w:ascii="Aptos" w:eastAsia="Times New Roman" w:hAnsi="Aptos" w:cs="Times New Roman"/>
          <w:color w:val="212121"/>
          <w:kern w:val="0"/>
          <w14:ligatures w14:val="none"/>
        </w:rPr>
        <w:t>Rovee</w:t>
      </w:r>
      <w:proofErr w:type="spellEnd"/>
      <w:r w:rsidR="004533BF">
        <w:rPr>
          <w:rFonts w:ascii="Aptos" w:eastAsia="Times New Roman" w:hAnsi="Aptos" w:cs="Times New Roman"/>
          <w:color w:val="212121"/>
          <w:kern w:val="0"/>
          <w14:ligatures w14:val="none"/>
        </w:rPr>
        <w:t>-Collier, 1999).”</w:t>
      </w:r>
    </w:p>
    <w:p w14:paraId="403EA7EF" w14:textId="059505E3" w:rsidR="003D05F3" w:rsidRPr="008F3BB1" w:rsidRDefault="008F3BB1" w:rsidP="008F3BB1">
      <w:pPr>
        <w:pStyle w:val="ListParagraph"/>
        <w:numPr>
          <w:ilvl w:val="0"/>
          <w:numId w:val="2"/>
        </w:numPr>
        <w:spacing w:after="0" w:line="240" w:lineRule="auto"/>
      </w:pPr>
      <w:r>
        <w:rPr>
          <w:rFonts w:ascii="Aptos" w:eastAsia="Times New Roman" w:hAnsi="Aptos" w:cs="Times New Roman"/>
          <w:color w:val="212121"/>
          <w:kern w:val="0"/>
          <w14:ligatures w14:val="none"/>
        </w:rPr>
        <w:t>Mention the version of AL that is closest to what is argued to subserve the phenomenon covered in the chapter</w:t>
      </w:r>
    </w:p>
    <w:p w14:paraId="5C1F332F" w14:textId="25E92A3F" w:rsidR="003D05F3" w:rsidRPr="009E29DF" w:rsidRDefault="005F1C40" w:rsidP="009E29DF">
      <w:pPr>
        <w:pStyle w:val="ListParagraph"/>
        <w:numPr>
          <w:ilvl w:val="1"/>
          <w:numId w:val="2"/>
        </w:numPr>
        <w:spacing w:after="0" w:line="240" w:lineRule="auto"/>
        <w:rPr>
          <w:rFonts w:ascii="Times New Roman" w:eastAsia="Times New Roman" w:hAnsi="Times New Roman" w:cs="Times New Roman"/>
          <w:kern w:val="0"/>
          <w14:ligatures w14:val="none"/>
        </w:rPr>
      </w:pPr>
      <w:r>
        <w:rPr>
          <w:rFonts w:ascii="Aptos" w:eastAsia="Times New Roman" w:hAnsi="Aptos" w:cs="Times New Roman"/>
          <w:color w:val="212121"/>
          <w:kern w:val="0"/>
          <w14:ligatures w14:val="none"/>
        </w:rPr>
        <w:t>“Of these two forms of learning, the one that is</w:t>
      </w:r>
      <w:r w:rsidR="008F3BB1" w:rsidRPr="008F3BB1">
        <w:rPr>
          <w:rFonts w:ascii="Aptos" w:eastAsia="Times New Roman" w:hAnsi="Aptos" w:cs="Times New Roman"/>
          <w:color w:val="212121"/>
          <w:kern w:val="0"/>
          <w14:ligatures w14:val="none"/>
        </w:rPr>
        <w:t xml:space="preserve"> closest to how the term is</w:t>
      </w:r>
      <w:r>
        <w:rPr>
          <w:rFonts w:ascii="Aptos" w:eastAsia="Times New Roman" w:hAnsi="Aptos" w:cs="Times New Roman"/>
          <w:color w:val="212121"/>
          <w:kern w:val="0"/>
          <w14:ligatures w14:val="none"/>
        </w:rPr>
        <w:t xml:space="preserve"> used</w:t>
      </w:r>
      <w:r w:rsidR="008F3BB1" w:rsidRPr="008F3BB1">
        <w:rPr>
          <w:rFonts w:ascii="Aptos" w:eastAsia="Times New Roman" w:hAnsi="Aptos" w:cs="Times New Roman"/>
          <w:color w:val="212121"/>
          <w:kern w:val="0"/>
          <w14:ligatures w14:val="none"/>
        </w:rPr>
        <w:t xml:space="preserve"> here is classical conditioning. </w:t>
      </w:r>
      <w:r>
        <w:rPr>
          <w:rFonts w:ascii="Aptos" w:eastAsia="Times New Roman" w:hAnsi="Aptos" w:cs="Times New Roman"/>
          <w:color w:val="212121"/>
          <w:kern w:val="0"/>
          <w14:ligatures w14:val="none"/>
        </w:rPr>
        <w:t xml:space="preserve">This is because in none of the studies that will be discussed were infants’ behaviors reinforced. </w:t>
      </w:r>
      <w:r w:rsidR="008F3BB1" w:rsidRPr="008F3BB1">
        <w:rPr>
          <w:rFonts w:ascii="Aptos" w:eastAsia="Times New Roman" w:hAnsi="Aptos" w:cs="Times New Roman"/>
          <w:color w:val="212121"/>
          <w:kern w:val="0"/>
          <w14:ligatures w14:val="none"/>
        </w:rPr>
        <w:t xml:space="preserve">At the same time, certain difficulties with this </w:t>
      </w:r>
      <w:r>
        <w:rPr>
          <w:rFonts w:ascii="Aptos" w:eastAsia="Times New Roman" w:hAnsi="Aptos" w:cs="Times New Roman"/>
          <w:color w:val="212121"/>
          <w:kern w:val="0"/>
          <w14:ligatures w14:val="none"/>
        </w:rPr>
        <w:t>type</w:t>
      </w:r>
      <w:r w:rsidR="008F3BB1" w:rsidRPr="008F3BB1">
        <w:rPr>
          <w:rFonts w:ascii="Aptos" w:eastAsia="Times New Roman" w:hAnsi="Aptos" w:cs="Times New Roman"/>
          <w:color w:val="212121"/>
          <w:kern w:val="0"/>
          <w14:ligatures w14:val="none"/>
        </w:rPr>
        <w:t xml:space="preserve"> of learning (described extensively </w:t>
      </w:r>
      <w:r w:rsidR="008F3BB1" w:rsidRPr="008F3BB1">
        <w:rPr>
          <w:rFonts w:ascii="Aptos" w:eastAsia="Times New Roman" w:hAnsi="Aptos" w:cs="Times New Roman"/>
          <w:color w:val="212121"/>
          <w:kern w:val="0"/>
          <w14:ligatures w14:val="none"/>
        </w:rPr>
        <w:lastRenderedPageBreak/>
        <w:t>elsewhere</w:t>
      </w:r>
      <w:r>
        <w:rPr>
          <w:rFonts w:ascii="Aptos" w:eastAsia="Times New Roman" w:hAnsi="Aptos" w:cs="Times New Roman"/>
          <w:color w:val="212121"/>
          <w:kern w:val="0"/>
          <w14:ligatures w14:val="none"/>
        </w:rPr>
        <w:t>; Rumelhart et al., 1986</w:t>
      </w:r>
      <w:r w:rsidR="008F3BB1" w:rsidRPr="008F3BB1">
        <w:rPr>
          <w:rFonts w:ascii="Aptos" w:eastAsia="Times New Roman" w:hAnsi="Aptos" w:cs="Times New Roman"/>
          <w:color w:val="212121"/>
          <w:kern w:val="0"/>
          <w14:ligatures w14:val="none"/>
        </w:rPr>
        <w:t>)—</w:t>
      </w:r>
      <w:r w:rsidR="00040863">
        <w:rPr>
          <w:rFonts w:ascii="Aptos" w:eastAsia="Times New Roman" w:hAnsi="Aptos" w:cs="Times New Roman"/>
          <w:color w:val="212121"/>
          <w:kern w:val="0"/>
          <w14:ligatures w14:val="none"/>
        </w:rPr>
        <w:t>limitations that</w:t>
      </w:r>
      <w:r w:rsidR="008F3BB1" w:rsidRPr="008F3BB1">
        <w:rPr>
          <w:rFonts w:ascii="Aptos" w:eastAsia="Times New Roman" w:hAnsi="Aptos" w:cs="Times New Roman"/>
          <w:color w:val="212121"/>
          <w:kern w:val="0"/>
          <w14:ligatures w14:val="none"/>
        </w:rPr>
        <w:t xml:space="preserve"> become evident when it is formalized as a mathematical model</w:t>
      </w:r>
      <w:r w:rsidR="00040863">
        <w:rPr>
          <w:rFonts w:ascii="Aptos" w:eastAsia="Times New Roman" w:hAnsi="Aptos" w:cs="Times New Roman"/>
          <w:color w:val="212121"/>
          <w:kern w:val="0"/>
          <w14:ligatures w14:val="none"/>
        </w:rPr>
        <w:t xml:space="preserve"> (e.g., Rescorla &amp; Wagner, 1972)</w:t>
      </w:r>
      <w:r w:rsidR="008F3BB1" w:rsidRPr="008F3BB1">
        <w:rPr>
          <w:rFonts w:ascii="Aptos" w:eastAsia="Times New Roman" w:hAnsi="Aptos" w:cs="Times New Roman"/>
          <w:color w:val="212121"/>
          <w:kern w:val="0"/>
          <w14:ligatures w14:val="none"/>
        </w:rPr>
        <w:t xml:space="preserve">—preclude it from being an exact instantiation of the kind of representation-based </w:t>
      </w:r>
      <w:r w:rsidR="00195E57">
        <w:rPr>
          <w:rFonts w:ascii="Aptos" w:eastAsia="Times New Roman" w:hAnsi="Aptos" w:cs="Times New Roman"/>
          <w:color w:val="212121"/>
          <w:kern w:val="0"/>
          <w14:ligatures w14:val="none"/>
        </w:rPr>
        <w:t>associative learning argued to subserve</w:t>
      </w:r>
      <w:r w:rsidR="008F3BB1" w:rsidRPr="008F3BB1">
        <w:rPr>
          <w:rFonts w:ascii="Aptos" w:eastAsia="Times New Roman" w:hAnsi="Aptos" w:cs="Times New Roman"/>
          <w:color w:val="212121"/>
          <w:kern w:val="0"/>
          <w14:ligatures w14:val="none"/>
        </w:rPr>
        <w:t xml:space="preserve"> the various findings described in this chapter.</w:t>
      </w:r>
      <w:r w:rsidR="00477BDD">
        <w:rPr>
          <w:rFonts w:ascii="Aptos" w:eastAsia="Times New Roman" w:hAnsi="Aptos" w:cs="Times New Roman"/>
          <w:color w:val="212121"/>
          <w:kern w:val="0"/>
          <w14:ligatures w14:val="none"/>
        </w:rPr>
        <w:t>”</w:t>
      </w:r>
    </w:p>
    <w:p w14:paraId="7F2F0ECA" w14:textId="77777777" w:rsidR="009E29DF" w:rsidRDefault="009E29DF" w:rsidP="009E29DF">
      <w:pPr>
        <w:spacing w:after="0" w:line="240" w:lineRule="auto"/>
        <w:rPr>
          <w:rFonts w:ascii="Times New Roman" w:eastAsia="Times New Roman" w:hAnsi="Times New Roman" w:cs="Times New Roman"/>
          <w:kern w:val="0"/>
          <w14:ligatures w14:val="none"/>
        </w:rPr>
      </w:pPr>
    </w:p>
    <w:p w14:paraId="144B044A" w14:textId="77777777" w:rsidR="009E29DF" w:rsidRDefault="009E29DF" w:rsidP="009E29DF">
      <w:pPr>
        <w:spacing w:after="0" w:line="240" w:lineRule="auto"/>
        <w:rPr>
          <w:rFonts w:ascii="Times New Roman" w:eastAsia="Times New Roman" w:hAnsi="Times New Roman" w:cs="Times New Roman"/>
          <w:b/>
          <w:bCs/>
          <w:kern w:val="0"/>
          <w14:ligatures w14:val="none"/>
        </w:rPr>
      </w:pPr>
    </w:p>
    <w:p w14:paraId="3C10B76C" w14:textId="10B6FCE3" w:rsidR="009E29DF" w:rsidRDefault="009E29DF" w:rsidP="009E29DF">
      <w:p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Case study</w:t>
      </w:r>
      <w:r w:rsidR="00A630F0">
        <w:rPr>
          <w:rFonts w:ascii="Times New Roman" w:eastAsia="Times New Roman" w:hAnsi="Times New Roman" w:cs="Times New Roman"/>
          <w:b/>
          <w:bCs/>
          <w:kern w:val="0"/>
          <w14:ligatures w14:val="none"/>
        </w:rPr>
        <w:t>: People and object causal action</w:t>
      </w:r>
    </w:p>
    <w:p w14:paraId="2543B749" w14:textId="7075A5A9" w:rsidR="009E29DF" w:rsidRDefault="009E29DF" w:rsidP="009E29DF">
      <w:pPr>
        <w:spacing w:after="0" w:line="240" w:lineRule="auto"/>
        <w:rPr>
          <w:rFonts w:ascii="Times New Roman" w:eastAsia="Times New Roman" w:hAnsi="Times New Roman" w:cs="Times New Roman"/>
          <w:kern w:val="0"/>
          <w14:ligatures w14:val="none"/>
        </w:rPr>
      </w:pPr>
    </w:p>
    <w:p w14:paraId="5072AC18" w14:textId="1C3895CA" w:rsidR="00D544B8" w:rsidRPr="00D544B8" w:rsidRDefault="00D544B8" w:rsidP="00D544B8">
      <w:pPr>
        <w:pStyle w:val="ListParagraph"/>
        <w:numPr>
          <w:ilvl w:val="0"/>
          <w:numId w:val="3"/>
        </w:numPr>
        <w:spacing w:after="0" w:line="240" w:lineRule="auto"/>
        <w:rPr>
          <w:rFonts w:ascii="Times New Roman" w:eastAsia="Times New Roman" w:hAnsi="Times New Roman" w:cs="Times New Roman"/>
          <w:kern w:val="0"/>
          <w14:ligatures w14:val="none"/>
        </w:rPr>
      </w:pPr>
      <w:r>
        <w:rPr>
          <w:rFonts w:ascii="Aptos" w:eastAsia="Times New Roman" w:hAnsi="Aptos" w:cs="Times New Roman"/>
          <w:color w:val="212121"/>
          <w:kern w:val="0"/>
          <w14:ligatures w14:val="none"/>
        </w:rPr>
        <w:t>O</w:t>
      </w:r>
      <w:r w:rsidRPr="00D544B8">
        <w:rPr>
          <w:rFonts w:ascii="Aptos" w:eastAsia="Times New Roman" w:hAnsi="Aptos" w:cs="Times New Roman"/>
          <w:color w:val="212121"/>
          <w:kern w:val="0"/>
          <w14:ligatures w14:val="none"/>
        </w:rPr>
        <w:t xml:space="preserve">pen with a line about the </w:t>
      </w:r>
      <w:proofErr w:type="gramStart"/>
      <w:r w:rsidRPr="00D544B8">
        <w:rPr>
          <w:rFonts w:ascii="Aptos" w:eastAsia="Times New Roman" w:hAnsi="Aptos" w:cs="Times New Roman"/>
          <w:color w:val="212121"/>
          <w:kern w:val="0"/>
          <w14:ligatures w14:val="none"/>
        </w:rPr>
        <w:t>important</w:t>
      </w:r>
      <w:proofErr w:type="gramEnd"/>
      <w:r w:rsidRPr="00D544B8">
        <w:rPr>
          <w:rFonts w:ascii="Aptos" w:eastAsia="Times New Roman" w:hAnsi="Aptos" w:cs="Times New Roman"/>
          <w:color w:val="212121"/>
          <w:kern w:val="0"/>
          <w14:ligatures w14:val="none"/>
        </w:rPr>
        <w:t xml:space="preserve"> of distinguishing people and objects</w:t>
      </w:r>
    </w:p>
    <w:p w14:paraId="0DFEC635" w14:textId="77777777" w:rsidR="00D544B8" w:rsidRPr="00D544B8" w:rsidRDefault="00D544B8" w:rsidP="00D544B8">
      <w:pPr>
        <w:pStyle w:val="ListParagraph"/>
        <w:numPr>
          <w:ilvl w:val="1"/>
          <w:numId w:val="3"/>
        </w:numPr>
        <w:spacing w:after="0" w:line="240" w:lineRule="auto"/>
        <w:rPr>
          <w:rFonts w:ascii="Times New Roman" w:eastAsia="Times New Roman" w:hAnsi="Times New Roman" w:cs="Times New Roman"/>
          <w:kern w:val="0"/>
          <w14:ligatures w14:val="none"/>
        </w:rPr>
      </w:pPr>
      <w:r w:rsidRPr="00D544B8">
        <w:rPr>
          <w:rFonts w:ascii="Aptos" w:eastAsia="Times New Roman" w:hAnsi="Aptos" w:cs="Times New Roman"/>
          <w:color w:val="212121"/>
          <w:kern w:val="0"/>
          <w14:ligatures w14:val="none"/>
        </w:rPr>
        <w:t xml:space="preserve">"Infants face many formidable challenges but few more challenging than discovering all the </w:t>
      </w:r>
      <w:proofErr w:type="gramStart"/>
      <w:r w:rsidRPr="00D544B8">
        <w:rPr>
          <w:rFonts w:ascii="Aptos" w:eastAsia="Times New Roman" w:hAnsi="Aptos" w:cs="Times New Roman"/>
          <w:color w:val="212121"/>
          <w:kern w:val="0"/>
          <w14:ligatures w14:val="none"/>
        </w:rPr>
        <w:t>ways</w:t>
      </w:r>
      <w:proofErr w:type="gramEnd"/>
      <w:r w:rsidRPr="00D544B8">
        <w:rPr>
          <w:rFonts w:ascii="Aptos" w:eastAsia="Times New Roman" w:hAnsi="Aptos" w:cs="Times New Roman"/>
          <w:color w:val="212121"/>
          <w:kern w:val="0"/>
          <w14:ligatures w14:val="none"/>
        </w:rPr>
        <w:t xml:space="preserve"> that people and objects differ from one another."</w:t>
      </w:r>
    </w:p>
    <w:p w14:paraId="01F91E9E" w14:textId="6CE6EF27" w:rsidR="00D544B8" w:rsidRPr="00D544B8" w:rsidRDefault="00D544B8" w:rsidP="00D544B8">
      <w:pPr>
        <w:pStyle w:val="ListParagraph"/>
        <w:numPr>
          <w:ilvl w:val="0"/>
          <w:numId w:val="3"/>
        </w:numPr>
        <w:spacing w:after="0" w:line="240" w:lineRule="auto"/>
        <w:rPr>
          <w:rFonts w:ascii="Times New Roman" w:eastAsia="Times New Roman" w:hAnsi="Times New Roman" w:cs="Times New Roman"/>
          <w:kern w:val="0"/>
          <w14:ligatures w14:val="none"/>
        </w:rPr>
      </w:pPr>
      <w:r>
        <w:rPr>
          <w:rFonts w:ascii="Aptos" w:eastAsia="Times New Roman" w:hAnsi="Aptos" w:cs="Times New Roman"/>
          <w:color w:val="212121"/>
          <w:kern w:val="0"/>
          <w14:ligatures w14:val="none"/>
        </w:rPr>
        <w:t>D</w:t>
      </w:r>
      <w:r w:rsidRPr="00D544B8">
        <w:rPr>
          <w:rFonts w:ascii="Aptos" w:eastAsia="Times New Roman" w:hAnsi="Aptos" w:cs="Times New Roman"/>
          <w:color w:val="212121"/>
          <w:kern w:val="0"/>
          <w14:ligatures w14:val="none"/>
        </w:rPr>
        <w:t xml:space="preserve">iscuss </w:t>
      </w:r>
      <w:proofErr w:type="gramStart"/>
      <w:r w:rsidRPr="00D544B8">
        <w:rPr>
          <w:rFonts w:ascii="Aptos" w:eastAsia="Times New Roman" w:hAnsi="Aptos" w:cs="Times New Roman"/>
          <w:color w:val="212121"/>
          <w:kern w:val="0"/>
          <w14:ligatures w14:val="none"/>
        </w:rPr>
        <w:t>one way</w:t>
      </w:r>
      <w:proofErr w:type="gramEnd"/>
      <w:r w:rsidRPr="00D544B8">
        <w:rPr>
          <w:rFonts w:ascii="Aptos" w:eastAsia="Times New Roman" w:hAnsi="Aptos" w:cs="Times New Roman"/>
          <w:color w:val="212121"/>
          <w:kern w:val="0"/>
          <w14:ligatures w14:val="none"/>
        </w:rPr>
        <w:t> people differ from objects </w:t>
      </w:r>
    </w:p>
    <w:p w14:paraId="484A38F2" w14:textId="6530CF5F" w:rsidR="009E29DF" w:rsidRDefault="00D544B8" w:rsidP="009E29DF">
      <w:pPr>
        <w:pStyle w:val="ListParagraph"/>
        <w:numPr>
          <w:ilvl w:val="1"/>
          <w:numId w:val="3"/>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Pr="00D544B8">
        <w:rPr>
          <w:rFonts w:ascii="Times New Roman" w:eastAsia="Times New Roman" w:hAnsi="Times New Roman" w:cs="Times New Roman"/>
          <w:kern w:val="0"/>
          <w14:ligatures w14:val="none"/>
        </w:rPr>
        <w:t xml:space="preserve">One of the ways that people differ from objects is that people can cause other people to act at a distance in the absence of physical contact. For example, if Lindsey notices </w:t>
      </w:r>
      <w:r>
        <w:rPr>
          <w:rFonts w:ascii="Times New Roman" w:eastAsia="Times New Roman" w:hAnsi="Times New Roman" w:cs="Times New Roman"/>
          <w:kern w:val="0"/>
          <w14:ligatures w14:val="none"/>
        </w:rPr>
        <w:t xml:space="preserve">a car careening towards her </w:t>
      </w:r>
      <w:r w:rsidRPr="00D544B8">
        <w:rPr>
          <w:rFonts w:ascii="Times New Roman" w:eastAsia="Times New Roman" w:hAnsi="Times New Roman" w:cs="Times New Roman"/>
          <w:kern w:val="0"/>
          <w14:ligatures w14:val="none"/>
        </w:rPr>
        <w:t>daughter Alena</w:t>
      </w:r>
      <w:r>
        <w:rPr>
          <w:rFonts w:ascii="Times New Roman" w:eastAsia="Times New Roman" w:hAnsi="Times New Roman" w:cs="Times New Roman"/>
          <w:kern w:val="0"/>
          <w14:ligatures w14:val="none"/>
        </w:rPr>
        <w:t>,</w:t>
      </w:r>
      <w:r w:rsidRPr="00D544B8">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she</w:t>
      </w:r>
      <w:r w:rsidRPr="00D544B8">
        <w:rPr>
          <w:rFonts w:ascii="Times New Roman" w:eastAsia="Times New Roman" w:hAnsi="Times New Roman" w:cs="Times New Roman"/>
          <w:kern w:val="0"/>
          <w14:ligatures w14:val="none"/>
        </w:rPr>
        <w:t xml:space="preserve"> can tell Alena to “watch out” to avoid getting hit by the car; </w:t>
      </w:r>
      <w:r w:rsidR="0060222C">
        <w:rPr>
          <w:rFonts w:ascii="Times New Roman" w:eastAsia="Times New Roman" w:hAnsi="Times New Roman" w:cs="Times New Roman"/>
          <w:kern w:val="0"/>
          <w14:ligatures w14:val="none"/>
        </w:rPr>
        <w:t>Lindsey</w:t>
      </w:r>
      <w:r w:rsidRPr="00D544B8">
        <w:rPr>
          <w:rFonts w:ascii="Times New Roman" w:eastAsia="Times New Roman" w:hAnsi="Times New Roman" w:cs="Times New Roman"/>
          <w:kern w:val="0"/>
          <w14:ligatures w14:val="none"/>
        </w:rPr>
        <w:t xml:space="preserve"> need not physically move </w:t>
      </w:r>
      <w:r w:rsidR="0060222C">
        <w:rPr>
          <w:rFonts w:ascii="Times New Roman" w:eastAsia="Times New Roman" w:hAnsi="Times New Roman" w:cs="Times New Roman"/>
          <w:kern w:val="0"/>
          <w14:ligatures w14:val="none"/>
        </w:rPr>
        <w:t>Alena</w:t>
      </w:r>
      <w:r w:rsidRPr="00D544B8">
        <w:rPr>
          <w:rFonts w:ascii="Times New Roman" w:eastAsia="Times New Roman" w:hAnsi="Times New Roman" w:cs="Times New Roman"/>
          <w:kern w:val="0"/>
          <w14:ligatures w14:val="none"/>
        </w:rPr>
        <w:t xml:space="preserve"> for </w:t>
      </w:r>
      <w:r w:rsidR="0060222C">
        <w:rPr>
          <w:rFonts w:ascii="Times New Roman" w:eastAsia="Times New Roman" w:hAnsi="Times New Roman" w:cs="Times New Roman"/>
          <w:kern w:val="0"/>
          <w14:ligatures w14:val="none"/>
        </w:rPr>
        <w:t xml:space="preserve">Alena </w:t>
      </w:r>
      <w:r w:rsidRPr="00D544B8">
        <w:rPr>
          <w:rFonts w:ascii="Times New Roman" w:eastAsia="Times New Roman" w:hAnsi="Times New Roman" w:cs="Times New Roman"/>
          <w:kern w:val="0"/>
          <w14:ligatures w14:val="none"/>
        </w:rPr>
        <w:t xml:space="preserve">to act. </w:t>
      </w:r>
      <w:r w:rsidR="0060222C">
        <w:rPr>
          <w:rFonts w:ascii="Times New Roman" w:eastAsia="Times New Roman" w:hAnsi="Times New Roman" w:cs="Times New Roman"/>
          <w:kern w:val="0"/>
          <w14:ligatures w14:val="none"/>
        </w:rPr>
        <w:t>By contrast</w:t>
      </w:r>
      <w:r w:rsidRPr="00D544B8">
        <w:rPr>
          <w:rFonts w:ascii="Times New Roman" w:eastAsia="Times New Roman" w:hAnsi="Times New Roman" w:cs="Times New Roman"/>
          <w:kern w:val="0"/>
          <w14:ligatures w14:val="none"/>
        </w:rPr>
        <w:t>, inanimate objects</w:t>
      </w:r>
      <w:r w:rsidR="0060222C">
        <w:rPr>
          <w:rFonts w:ascii="Times New Roman" w:eastAsia="Times New Roman" w:hAnsi="Times New Roman" w:cs="Times New Roman"/>
          <w:kern w:val="0"/>
          <w14:ligatures w14:val="none"/>
        </w:rPr>
        <w:t xml:space="preserve"> by and large</w:t>
      </w:r>
      <w:r w:rsidRPr="00D544B8">
        <w:rPr>
          <w:rFonts w:ascii="Times New Roman" w:eastAsia="Times New Roman" w:hAnsi="Times New Roman" w:cs="Times New Roman"/>
          <w:kern w:val="0"/>
          <w14:ligatures w14:val="none"/>
        </w:rPr>
        <w:t xml:space="preserve"> cannot </w:t>
      </w:r>
      <w:r w:rsidR="0060222C">
        <w:rPr>
          <w:rFonts w:ascii="Times New Roman" w:eastAsia="Times New Roman" w:hAnsi="Times New Roman" w:cs="Times New Roman"/>
          <w:kern w:val="0"/>
          <w14:ligatures w14:val="none"/>
        </w:rPr>
        <w:t>act in the absence of physical contact from other objects or animate entities.”</w:t>
      </w:r>
    </w:p>
    <w:p w14:paraId="68072018" w14:textId="12FC122B" w:rsidR="00D544CE" w:rsidRDefault="00D544CE" w:rsidP="00D544CE">
      <w:pPr>
        <w:pStyle w:val="ListParagraph"/>
        <w:numPr>
          <w:ilvl w:val="0"/>
          <w:numId w:val="3"/>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State the main question</w:t>
      </w:r>
    </w:p>
    <w:p w14:paraId="362D5579" w14:textId="00598077" w:rsidR="00D544CE" w:rsidRDefault="00D544CE" w:rsidP="00D544CE">
      <w:pPr>
        <w:pStyle w:val="ListParagraph"/>
        <w:numPr>
          <w:ilvl w:val="1"/>
          <w:numId w:val="3"/>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“How do infants acquire this knowledge?”</w:t>
      </w:r>
    </w:p>
    <w:p w14:paraId="68C7CA1C" w14:textId="511F6104" w:rsidR="00664523" w:rsidRPr="001A6377" w:rsidRDefault="001A6377" w:rsidP="001A6377">
      <w:pPr>
        <w:pStyle w:val="ListParagraph"/>
        <w:numPr>
          <w:ilvl w:val="0"/>
          <w:numId w:val="3"/>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Describe the core knowledge perspective</w:t>
      </w:r>
    </w:p>
    <w:p w14:paraId="64F8091B" w14:textId="71C3FDD8" w:rsidR="00664523" w:rsidRDefault="001A6377" w:rsidP="00664523">
      <w:pPr>
        <w:pStyle w:val="ListParagraph"/>
        <w:numPr>
          <w:ilvl w:val="1"/>
          <w:numId w:val="3"/>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FROM NIH DOCUMENTS</w:t>
      </w:r>
    </w:p>
    <w:p w14:paraId="2225C727" w14:textId="1055143C" w:rsidR="001A6377" w:rsidRPr="001A6377" w:rsidRDefault="001A6377" w:rsidP="001A6377">
      <w:pPr>
        <w:pStyle w:val="ListParagraph"/>
        <w:numPr>
          <w:ilvl w:val="0"/>
          <w:numId w:val="3"/>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w:t>
      </w:r>
      <w:r w:rsidRPr="001A6377">
        <w:rPr>
          <w:rFonts w:ascii="Times New Roman" w:eastAsia="Times New Roman" w:hAnsi="Times New Roman" w:cs="Times New Roman"/>
          <w:kern w:val="0"/>
          <w14:ligatures w14:val="none"/>
        </w:rPr>
        <w:t>escribe other findings used to argue that infants possess core systems</w:t>
      </w:r>
    </w:p>
    <w:p w14:paraId="1BAF3CEE" w14:textId="77777777" w:rsidR="001A6377" w:rsidRPr="001A6377" w:rsidRDefault="001A6377" w:rsidP="001A6377">
      <w:pPr>
        <w:pStyle w:val="ListParagraph"/>
        <w:numPr>
          <w:ilvl w:val="1"/>
          <w:numId w:val="3"/>
        </w:numPr>
        <w:spacing w:after="0" w:line="240" w:lineRule="auto"/>
        <w:rPr>
          <w:rFonts w:ascii="Times New Roman" w:eastAsia="Times New Roman" w:hAnsi="Times New Roman" w:cs="Times New Roman"/>
          <w:kern w:val="0"/>
          <w14:ligatures w14:val="none"/>
        </w:rPr>
      </w:pPr>
      <w:r w:rsidRPr="001A6377">
        <w:rPr>
          <w:rFonts w:ascii="Aptos" w:eastAsia="Times New Roman" w:hAnsi="Aptos" w:cs="Times New Roman"/>
          <w:color w:val="212121"/>
          <w:kern w:val="0"/>
          <w14:ligatures w14:val="none"/>
        </w:rPr>
        <w:t xml:space="preserve">"Additional support for the notion that infants possess core knowledge systems comes from studies ostensibly demonstrating that infants between 7 and 10 months of age infants are surprised when an inanimate object is revealed to be the source of an </w:t>
      </w:r>
      <w:proofErr w:type="spellStart"/>
      <w:r w:rsidRPr="001A6377">
        <w:rPr>
          <w:rFonts w:ascii="Aptos" w:eastAsia="Times New Roman" w:hAnsi="Aptos" w:cs="Times New Roman"/>
          <w:color w:val="212121"/>
          <w:kern w:val="0"/>
          <w14:ligatures w14:val="none"/>
        </w:rPr>
        <w:t>inert's</w:t>
      </w:r>
      <w:proofErr w:type="spellEnd"/>
      <w:r w:rsidRPr="001A6377">
        <w:rPr>
          <w:rFonts w:ascii="Aptos" w:eastAsia="Times New Roman" w:hAnsi="Aptos" w:cs="Times New Roman"/>
          <w:color w:val="212121"/>
          <w:kern w:val="0"/>
          <w14:ligatures w14:val="none"/>
        </w:rPr>
        <w:t xml:space="preserve"> object's motion and can encode in a single trial the motion properties of animate entities and inanimate objects (e.g., Markson &amp; </w:t>
      </w:r>
      <w:proofErr w:type="spellStart"/>
      <w:r w:rsidRPr="001A6377">
        <w:rPr>
          <w:rFonts w:ascii="Aptos" w:eastAsia="Times New Roman" w:hAnsi="Aptos" w:cs="Times New Roman"/>
          <w:color w:val="212121"/>
          <w:kern w:val="0"/>
          <w14:ligatures w14:val="none"/>
        </w:rPr>
        <w:t>Spelke</w:t>
      </w:r>
      <w:proofErr w:type="spellEnd"/>
      <w:r w:rsidRPr="001A6377">
        <w:rPr>
          <w:rFonts w:ascii="Aptos" w:eastAsia="Times New Roman" w:hAnsi="Aptos" w:cs="Times New Roman"/>
          <w:color w:val="212121"/>
          <w:kern w:val="0"/>
          <w14:ligatures w14:val="none"/>
        </w:rPr>
        <w:t>, 2006; Saxe et al., 2005; Saxe et al., 2007)."</w:t>
      </w:r>
    </w:p>
    <w:p w14:paraId="7C85B725" w14:textId="58B976CB" w:rsidR="001A6377" w:rsidRDefault="001A6377" w:rsidP="001A6377">
      <w:pPr>
        <w:pStyle w:val="ListParagraph"/>
        <w:numPr>
          <w:ilvl w:val="0"/>
          <w:numId w:val="3"/>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Describe weaknesses of this work</w:t>
      </w:r>
    </w:p>
    <w:p w14:paraId="06C0B890" w14:textId="0829E225" w:rsidR="001A6377" w:rsidRDefault="001A6377" w:rsidP="001A6377">
      <w:pPr>
        <w:pStyle w:val="ListParagraph"/>
        <w:numPr>
          <w:ilvl w:val="1"/>
          <w:numId w:val="3"/>
        </w:numPr>
        <w:spacing w:after="0" w:line="240" w:lineRule="auto"/>
        <w:rPr>
          <w:rFonts w:ascii="Times New Roman" w:eastAsia="Times New Roman" w:hAnsi="Times New Roman" w:cs="Times New Roman"/>
          <w:kern w:val="0"/>
          <w14:ligatures w14:val="none"/>
        </w:rPr>
      </w:pPr>
      <w:r w:rsidRPr="001A6377">
        <w:rPr>
          <w:rFonts w:ascii="Times New Roman" w:eastAsia="Times New Roman" w:hAnsi="Times New Roman" w:cs="Times New Roman"/>
          <w:kern w:val="0"/>
          <w14:ligatures w14:val="none"/>
        </w:rPr>
        <w:t>"Although it may be tempting to conclude that preverbal infants possess sophisticated cognitive machinery based on these findings, as the opening example makes clear, such a conclusion may ultimately be unwarranted if a simpler mechanism and explanation can account for them."</w:t>
      </w:r>
    </w:p>
    <w:p w14:paraId="2867B372" w14:textId="2D5BF043" w:rsidR="00C4791D" w:rsidRDefault="001C30D9" w:rsidP="00C4791D">
      <w:pPr>
        <w:pStyle w:val="ListParagraph"/>
        <w:numPr>
          <w:ilvl w:val="0"/>
          <w:numId w:val="3"/>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Describe my account</w:t>
      </w:r>
      <w:r w:rsidRPr="001C30D9">
        <w:rPr>
          <w:rFonts w:ascii="Times New Roman" w:eastAsia="Times New Roman" w:hAnsi="Times New Roman" w:cs="Times New Roman"/>
          <w:kern w:val="0"/>
          <w14:ligatures w14:val="none"/>
        </w:rPr>
        <w:t xml:space="preserve"> </w:t>
      </w:r>
    </w:p>
    <w:p w14:paraId="0F2CE38D" w14:textId="6154CBA7" w:rsidR="00B00D3B" w:rsidRPr="00C4791D" w:rsidRDefault="00C4791D" w:rsidP="00C4791D">
      <w:pPr>
        <w:pStyle w:val="ListParagraph"/>
        <w:numPr>
          <w:ilvl w:val="1"/>
          <w:numId w:val="3"/>
        </w:numPr>
        <w:spacing w:after="0" w:line="240" w:lineRule="auto"/>
        <w:rPr>
          <w:rFonts w:ascii="Times New Roman" w:eastAsia="Times New Roman" w:hAnsi="Times New Roman" w:cs="Times New Roman"/>
          <w:kern w:val="0"/>
          <w14:ligatures w14:val="none"/>
        </w:rPr>
      </w:pPr>
      <w:r w:rsidRPr="00C4791D">
        <w:rPr>
          <w:rFonts w:ascii="Times New Roman" w:eastAsia="Times New Roman" w:hAnsi="Times New Roman" w:cs="Times New Roman"/>
          <w:kern w:val="0"/>
          <w14:ligatures w14:val="none"/>
        </w:rPr>
        <w:t>Be</w:t>
      </w:r>
      <w:r w:rsidRPr="00C4791D">
        <w:rPr>
          <w:rFonts w:ascii="Times New Roman" w:eastAsia="Times New Roman" w:hAnsi="Times New Roman" w:cs="Times New Roman"/>
          <w:kern w:val="0"/>
          <w14:ligatures w14:val="none"/>
        </w:rPr>
        <w:t xml:space="preserve"> sure to emphasize the fundamental perceptual nature of the elements being encoded and associated </w:t>
      </w:r>
      <w:r w:rsidR="00B00D3B" w:rsidRPr="00C4791D">
        <w:rPr>
          <w:rFonts w:ascii="Times New Roman" w:eastAsia="Times New Roman" w:hAnsi="Times New Roman" w:cs="Times New Roman"/>
          <w:kern w:val="0"/>
          <w14:ligatures w14:val="none"/>
        </w:rPr>
        <w:t xml:space="preserve">Tie account to </w:t>
      </w:r>
      <w:proofErr w:type="gramStart"/>
      <w:r w:rsidR="00B00D3B" w:rsidRPr="00C4791D">
        <w:rPr>
          <w:rFonts w:ascii="Times New Roman" w:eastAsia="Times New Roman" w:hAnsi="Times New Roman" w:cs="Times New Roman"/>
          <w:kern w:val="0"/>
          <w14:ligatures w14:val="none"/>
        </w:rPr>
        <w:t>JEP:G</w:t>
      </w:r>
      <w:proofErr w:type="gramEnd"/>
      <w:r w:rsidR="00B00D3B" w:rsidRPr="00C4791D">
        <w:rPr>
          <w:rFonts w:ascii="Times New Roman" w:eastAsia="Times New Roman" w:hAnsi="Times New Roman" w:cs="Times New Roman"/>
          <w:kern w:val="0"/>
          <w14:ligatures w14:val="none"/>
        </w:rPr>
        <w:t xml:space="preserve"> paper</w:t>
      </w:r>
    </w:p>
    <w:p w14:paraId="50A8404C" w14:textId="627FCFB0" w:rsidR="001C30D9" w:rsidRDefault="001C30D9" w:rsidP="00C4791D">
      <w:pPr>
        <w:pStyle w:val="ListParagraph"/>
        <w:numPr>
          <w:ilvl w:val="0"/>
          <w:numId w:val="3"/>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 a recently published paper, I showed that when this account was instantiated in a connectionist computational model, the model was able not only to reproduce infants’ looking behaviors in </w:t>
      </w:r>
      <w:proofErr w:type="spellStart"/>
      <w:r>
        <w:rPr>
          <w:rFonts w:ascii="Times New Roman" w:eastAsia="Times New Roman" w:hAnsi="Times New Roman" w:cs="Times New Roman"/>
          <w:kern w:val="0"/>
          <w14:ligatures w14:val="none"/>
        </w:rPr>
        <w:t>Spelke</w:t>
      </w:r>
      <w:proofErr w:type="spellEnd"/>
      <w:r>
        <w:rPr>
          <w:rFonts w:ascii="Times New Roman" w:eastAsia="Times New Roman" w:hAnsi="Times New Roman" w:cs="Times New Roman"/>
          <w:kern w:val="0"/>
          <w14:ligatures w14:val="none"/>
        </w:rPr>
        <w:t xml:space="preserve"> et al. (1995), but it captured the looking behaviors in Markso</w:t>
      </w:r>
      <w:r w:rsidR="00B00D3B">
        <w:rPr>
          <w:rFonts w:ascii="Times New Roman" w:eastAsia="Times New Roman" w:hAnsi="Times New Roman" w:cs="Times New Roman"/>
          <w:kern w:val="0"/>
          <w14:ligatures w14:val="none"/>
        </w:rPr>
        <w:t>n</w:t>
      </w:r>
      <w:r>
        <w:rPr>
          <w:rFonts w:ascii="Times New Roman" w:eastAsia="Times New Roman" w:hAnsi="Times New Roman" w:cs="Times New Roman"/>
          <w:kern w:val="0"/>
          <w14:ligatures w14:val="none"/>
        </w:rPr>
        <w:t xml:space="preserve"> and </w:t>
      </w:r>
      <w:proofErr w:type="spellStart"/>
      <w:r>
        <w:rPr>
          <w:rFonts w:ascii="Times New Roman" w:eastAsia="Times New Roman" w:hAnsi="Times New Roman" w:cs="Times New Roman"/>
          <w:kern w:val="0"/>
          <w14:ligatures w14:val="none"/>
        </w:rPr>
        <w:t>Spelke</w:t>
      </w:r>
      <w:proofErr w:type="spellEnd"/>
      <w:r>
        <w:rPr>
          <w:rFonts w:ascii="Times New Roman" w:eastAsia="Times New Roman" w:hAnsi="Times New Roman" w:cs="Times New Roman"/>
          <w:kern w:val="0"/>
          <w14:ligatures w14:val="none"/>
        </w:rPr>
        <w:t xml:space="preserve"> (2006), Saxe et al. (2005), and Saxe et al. (2007). </w:t>
      </w:r>
      <w:r w:rsidR="00AE0C49">
        <w:rPr>
          <w:rFonts w:ascii="Times New Roman" w:eastAsia="Times New Roman" w:hAnsi="Times New Roman" w:cs="Times New Roman"/>
          <w:kern w:val="0"/>
          <w14:ligatures w14:val="none"/>
        </w:rPr>
        <w:t xml:space="preserve">In addition to </w:t>
      </w:r>
      <w:proofErr w:type="gramStart"/>
      <w:r w:rsidR="00AE0C49">
        <w:rPr>
          <w:rFonts w:ascii="Times New Roman" w:eastAsia="Times New Roman" w:hAnsi="Times New Roman" w:cs="Times New Roman"/>
          <w:kern w:val="0"/>
          <w14:ligatures w14:val="none"/>
        </w:rPr>
        <w:t>account</w:t>
      </w:r>
      <w:proofErr w:type="gramEnd"/>
      <w:r w:rsidR="00AE0C49">
        <w:rPr>
          <w:rFonts w:ascii="Times New Roman" w:eastAsia="Times New Roman" w:hAnsi="Times New Roman" w:cs="Times New Roman"/>
          <w:kern w:val="0"/>
          <w14:ligatures w14:val="none"/>
        </w:rPr>
        <w:t xml:space="preserve"> for existing data, the</w:t>
      </w:r>
      <w:r>
        <w:rPr>
          <w:rFonts w:ascii="Times New Roman" w:eastAsia="Times New Roman" w:hAnsi="Times New Roman" w:cs="Times New Roman"/>
          <w:kern w:val="0"/>
          <w14:ligatures w14:val="none"/>
        </w:rPr>
        <w:t xml:space="preserve"> model</w:t>
      </w:r>
      <w:r w:rsidR="00AE0C49">
        <w:rPr>
          <w:rFonts w:ascii="Times New Roman" w:eastAsia="Times New Roman" w:hAnsi="Times New Roman" w:cs="Times New Roman"/>
          <w:kern w:val="0"/>
          <w14:ligatures w14:val="none"/>
        </w:rPr>
        <w:t xml:space="preserve"> also</w:t>
      </w:r>
      <w:r>
        <w:rPr>
          <w:rFonts w:ascii="Times New Roman" w:eastAsia="Times New Roman" w:hAnsi="Times New Roman" w:cs="Times New Roman"/>
          <w:kern w:val="0"/>
          <w14:ligatures w14:val="none"/>
        </w:rPr>
        <w:t xml:space="preserve"> made a number of </w:t>
      </w:r>
      <w:r w:rsidR="00AE0C49">
        <w:rPr>
          <w:rFonts w:ascii="Times New Roman" w:eastAsia="Times New Roman" w:hAnsi="Times New Roman" w:cs="Times New Roman"/>
          <w:kern w:val="0"/>
          <w14:ligatures w14:val="none"/>
        </w:rPr>
        <w:t>behavioral predictions that remain to be tested</w:t>
      </w:r>
      <w:r>
        <w:rPr>
          <w:rFonts w:ascii="Times New Roman" w:eastAsia="Times New Roman" w:hAnsi="Times New Roman" w:cs="Times New Roman"/>
          <w:kern w:val="0"/>
          <w14:ligatures w14:val="none"/>
        </w:rPr>
        <w:t xml:space="preserve">. One prediction was that infants’ people and object causal knowledge should undergo a developmental progression such that older X; this prediction is </w:t>
      </w:r>
      <w:r>
        <w:rPr>
          <w:rFonts w:ascii="Times New Roman" w:eastAsia="Times New Roman" w:hAnsi="Times New Roman" w:cs="Times New Roman"/>
          <w:kern w:val="0"/>
          <w14:ligatures w14:val="none"/>
        </w:rPr>
        <w:lastRenderedPageBreak/>
        <w:t xml:space="preserve">presumably at odds with the Core Knowledge perspective. A second prediction is that </w:t>
      </w:r>
      <w:r w:rsidR="00AE0C49">
        <w:rPr>
          <w:rFonts w:ascii="Times New Roman" w:eastAsia="Times New Roman" w:hAnsi="Times New Roman" w:cs="Times New Roman"/>
          <w:kern w:val="0"/>
          <w14:ligatures w14:val="none"/>
        </w:rPr>
        <w:t xml:space="preserve">there should be a point in development at which infants treat objects with people parts as people as people (e.g., a train with legs appended to it) and people with object parts as objects (e.g., a person whose legs have been replaced with wheels). Additionally, the model provided an account for </w:t>
      </w:r>
      <w:r w:rsidR="00B00D3B">
        <w:rPr>
          <w:rFonts w:ascii="Times New Roman" w:eastAsia="Times New Roman" w:hAnsi="Times New Roman" w:cs="Times New Roman"/>
          <w:kern w:val="0"/>
          <w14:ligatures w14:val="none"/>
        </w:rPr>
        <w:t xml:space="preserve">why it is that infants encode some associations (e.g., that between legs and action-at-a-distance causality) but not others (e.g., that between hair and the same type of causality): The model demonstrated that encoding some feature-causality relations over others is a natural consequence of some perceptual features being perceptually more salient—and therefore more attention-grabbing—than others. </w:t>
      </w:r>
      <w:r w:rsidR="00AE0C49">
        <w:rPr>
          <w:rFonts w:ascii="Times New Roman" w:eastAsia="Times New Roman" w:hAnsi="Times New Roman" w:cs="Times New Roman"/>
          <w:kern w:val="0"/>
          <w14:ligatures w14:val="none"/>
        </w:rPr>
        <w:t xml:space="preserve"> </w:t>
      </w:r>
    </w:p>
    <w:p w14:paraId="561FEC06" w14:textId="7C98A952" w:rsidR="00B00D3B" w:rsidRDefault="00B00D3B" w:rsidP="001C30D9">
      <w:pPr>
        <w:pStyle w:val="ListParagraph"/>
        <w:numPr>
          <w:ilvl w:val="0"/>
          <w:numId w:val="3"/>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Conclude this case study by first acknowledging that, at this point, it remains to be seen whether the current account can explain how infants discover that people and objects espouse different causal properties </w:t>
      </w:r>
    </w:p>
    <w:p w14:paraId="7493BB27" w14:textId="1F8A11C5" w:rsidR="00B00D3B" w:rsidRDefault="00AE31B3" w:rsidP="00AE31B3">
      <w:pPr>
        <w:pStyle w:val="ListParagraph"/>
        <w:numPr>
          <w:ilvl w:val="1"/>
          <w:numId w:val="3"/>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Pr="00AE31B3">
        <w:rPr>
          <w:rFonts w:ascii="Times New Roman" w:eastAsia="Times New Roman" w:hAnsi="Times New Roman" w:cs="Times New Roman"/>
          <w:kern w:val="0"/>
          <w14:ligatures w14:val="none"/>
        </w:rPr>
        <w:t>Although it remains to be seen whether this is in fact how infants learn that people and objects possess different causal properties, the ability of this account to capture findings previously interpreted to mean that this knowledge is innate provides proof of principle that a simple mechanism—in this case, associative learning—may be sufficient to explain how this knowledge arises; cognitively sophisticated inborn core knowledge systems for representing people and objects are not necessary.</w:t>
      </w:r>
      <w:r>
        <w:rPr>
          <w:rFonts w:ascii="Times New Roman" w:eastAsia="Times New Roman" w:hAnsi="Times New Roman" w:cs="Times New Roman"/>
          <w:kern w:val="0"/>
          <w14:ligatures w14:val="none"/>
        </w:rPr>
        <w:t>”</w:t>
      </w:r>
    </w:p>
    <w:p w14:paraId="0B4B0E77" w14:textId="77777777" w:rsidR="00A630F0" w:rsidRDefault="00A630F0" w:rsidP="00A630F0">
      <w:pPr>
        <w:spacing w:after="0" w:line="240" w:lineRule="auto"/>
        <w:rPr>
          <w:rFonts w:ascii="Times New Roman" w:eastAsia="Times New Roman" w:hAnsi="Times New Roman" w:cs="Times New Roman"/>
          <w:kern w:val="0"/>
          <w14:ligatures w14:val="none"/>
        </w:rPr>
      </w:pPr>
    </w:p>
    <w:p w14:paraId="02DE0C31" w14:textId="0C945DAA" w:rsidR="00A630F0" w:rsidRDefault="00A630F0" w:rsidP="00A630F0">
      <w:p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Case study: Saliva sharing</w:t>
      </w:r>
    </w:p>
    <w:p w14:paraId="6CEDE2CE" w14:textId="77777777" w:rsidR="00A630F0" w:rsidRDefault="00A630F0" w:rsidP="00A630F0">
      <w:pPr>
        <w:spacing w:after="0" w:line="240" w:lineRule="auto"/>
        <w:rPr>
          <w:rFonts w:ascii="Times New Roman" w:eastAsia="Times New Roman" w:hAnsi="Times New Roman" w:cs="Times New Roman"/>
          <w:b/>
          <w:bCs/>
          <w:kern w:val="0"/>
          <w14:ligatures w14:val="none"/>
        </w:rPr>
      </w:pPr>
    </w:p>
    <w:p w14:paraId="40123951" w14:textId="13D880B3" w:rsidR="00A630F0" w:rsidRDefault="00A630F0" w:rsidP="00A630F0">
      <w:pPr>
        <w:pStyle w:val="ListParagraph"/>
        <w:numPr>
          <w:ilvl w:val="0"/>
          <w:numId w:val="4"/>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State problem</w:t>
      </w:r>
    </w:p>
    <w:p w14:paraId="1FB36158" w14:textId="77777777" w:rsidR="0037249A" w:rsidRDefault="00904126" w:rsidP="00A630F0">
      <w:pPr>
        <w:pStyle w:val="ListParagraph"/>
        <w:numPr>
          <w:ilvl w:val="1"/>
          <w:numId w:val="4"/>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00A630F0">
        <w:rPr>
          <w:rFonts w:ascii="Times New Roman" w:eastAsia="Times New Roman" w:hAnsi="Times New Roman" w:cs="Times New Roman"/>
          <w:kern w:val="0"/>
          <w14:ligatures w14:val="none"/>
        </w:rPr>
        <w:t>Another formidable challenge that infants face is</w:t>
      </w:r>
      <w:r w:rsidR="00634F4A">
        <w:rPr>
          <w:rFonts w:ascii="Times New Roman" w:eastAsia="Times New Roman" w:hAnsi="Times New Roman" w:cs="Times New Roman"/>
          <w:kern w:val="0"/>
          <w14:ligatures w14:val="none"/>
        </w:rPr>
        <w:t xml:space="preserve"> identifying so-called “thick” and “thin” relationships in the world. A thick relation is X; a thin relation is Y. </w:t>
      </w:r>
    </w:p>
    <w:p w14:paraId="7E6ED2C7" w14:textId="5CC65FB8" w:rsidR="0037249A" w:rsidRDefault="0037249A" w:rsidP="0037249A">
      <w:pPr>
        <w:pStyle w:val="ListParagraph"/>
        <w:numPr>
          <w:ilvl w:val="0"/>
          <w:numId w:val="4"/>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Describe the </w:t>
      </w:r>
      <w:proofErr w:type="gramStart"/>
      <w:r>
        <w:rPr>
          <w:rFonts w:ascii="Times New Roman" w:eastAsia="Times New Roman" w:hAnsi="Times New Roman" w:cs="Times New Roman"/>
          <w:kern w:val="0"/>
          <w14:ligatures w14:val="none"/>
        </w:rPr>
        <w:t>saliva</w:t>
      </w:r>
      <w:proofErr w:type="gramEnd"/>
      <w:r>
        <w:rPr>
          <w:rFonts w:ascii="Times New Roman" w:eastAsia="Times New Roman" w:hAnsi="Times New Roman" w:cs="Times New Roman"/>
          <w:kern w:val="0"/>
          <w14:ligatures w14:val="none"/>
        </w:rPr>
        <w:t xml:space="preserve"> sharing proposal</w:t>
      </w:r>
    </w:p>
    <w:p w14:paraId="7BFE51F8" w14:textId="6D5AA986" w:rsidR="0037249A" w:rsidRDefault="00765761" w:rsidP="0037249A">
      <w:pPr>
        <w:pStyle w:val="ListParagraph"/>
        <w:numPr>
          <w:ilvl w:val="1"/>
          <w:numId w:val="4"/>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One proposal is that infants use saliva sharing as a behavioral cue to </w:t>
      </w:r>
      <w:r w:rsidR="00634F4A">
        <w:rPr>
          <w:rFonts w:ascii="Times New Roman" w:eastAsia="Times New Roman" w:hAnsi="Times New Roman" w:cs="Times New Roman"/>
          <w:kern w:val="0"/>
          <w14:ligatures w14:val="none"/>
        </w:rPr>
        <w:t>identify and distinguish between thick and thin relationships</w:t>
      </w:r>
      <w:r>
        <w:rPr>
          <w:rFonts w:ascii="Times New Roman" w:eastAsia="Times New Roman" w:hAnsi="Times New Roman" w:cs="Times New Roman"/>
          <w:kern w:val="0"/>
          <w14:ligatures w14:val="none"/>
        </w:rPr>
        <w:t>.</w:t>
      </w:r>
      <w:r w:rsidR="00634F4A">
        <w:rPr>
          <w:rFonts w:ascii="Times New Roman" w:eastAsia="Times New Roman" w:hAnsi="Times New Roman" w:cs="Times New Roman"/>
          <w:kern w:val="0"/>
          <w14:ligatures w14:val="none"/>
        </w:rPr>
        <w:t xml:space="preserve"> </w:t>
      </w:r>
    </w:p>
    <w:p w14:paraId="19118935" w14:textId="77777777" w:rsidR="0037249A" w:rsidRDefault="0037249A" w:rsidP="0037249A">
      <w:pPr>
        <w:pStyle w:val="ListParagraph"/>
        <w:numPr>
          <w:ilvl w:val="0"/>
          <w:numId w:val="4"/>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Given examples of it</w:t>
      </w:r>
    </w:p>
    <w:p w14:paraId="4491155E" w14:textId="0D82B2C4" w:rsidR="00A630F0" w:rsidRDefault="00765761" w:rsidP="0037249A">
      <w:pPr>
        <w:pStyle w:val="ListParagraph"/>
        <w:numPr>
          <w:ilvl w:val="1"/>
          <w:numId w:val="4"/>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0037249A">
        <w:rPr>
          <w:rFonts w:ascii="Times New Roman" w:eastAsia="Times New Roman" w:hAnsi="Times New Roman" w:cs="Times New Roman"/>
          <w:kern w:val="0"/>
          <w14:ligatures w14:val="none"/>
        </w:rPr>
        <w:t>Examples of saliva sharing</w:t>
      </w:r>
      <w:r>
        <w:rPr>
          <w:rFonts w:ascii="Times New Roman" w:eastAsia="Times New Roman" w:hAnsi="Times New Roman" w:cs="Times New Roman"/>
          <w:kern w:val="0"/>
          <w14:ligatures w14:val="none"/>
        </w:rPr>
        <w:t xml:space="preserve"> include sharing food, utensils, or drinks.”</w:t>
      </w:r>
    </w:p>
    <w:p w14:paraId="20EC3C52" w14:textId="7351AEB8" w:rsidR="00765761" w:rsidRDefault="00765761" w:rsidP="00765761">
      <w:pPr>
        <w:pStyle w:val="ListParagraph"/>
        <w:numPr>
          <w:ilvl w:val="0"/>
          <w:numId w:val="4"/>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Discuss why saliva sharing might be a reliable cue; give three reasons – close relationships do it more; it </w:t>
      </w:r>
      <w:proofErr w:type="gramStart"/>
      <w:r>
        <w:rPr>
          <w:rFonts w:ascii="Times New Roman" w:eastAsia="Times New Roman" w:hAnsi="Times New Roman" w:cs="Times New Roman"/>
          <w:kern w:val="0"/>
          <w14:ligatures w14:val="none"/>
        </w:rPr>
        <w:t>is cuts</w:t>
      </w:r>
      <w:proofErr w:type="gramEnd"/>
      <w:r>
        <w:rPr>
          <w:rFonts w:ascii="Times New Roman" w:eastAsia="Times New Roman" w:hAnsi="Times New Roman" w:cs="Times New Roman"/>
          <w:kern w:val="0"/>
          <w14:ligatures w14:val="none"/>
        </w:rPr>
        <w:t xml:space="preserve"> across cultures; it is present in the animal </w:t>
      </w:r>
      <w:r w:rsidR="005D6453">
        <w:rPr>
          <w:rFonts w:ascii="Times New Roman" w:eastAsia="Times New Roman" w:hAnsi="Times New Roman" w:cs="Times New Roman"/>
          <w:kern w:val="0"/>
          <w14:ligatures w14:val="none"/>
        </w:rPr>
        <w:t>kingdom</w:t>
      </w:r>
    </w:p>
    <w:p w14:paraId="297D7FCD" w14:textId="374637C7" w:rsidR="005D6453" w:rsidRPr="00A630F0" w:rsidRDefault="005D6453" w:rsidP="005D6453">
      <w:pPr>
        <w:pStyle w:val="ListParagraph"/>
        <w:numPr>
          <w:ilvl w:val="1"/>
          <w:numId w:val="4"/>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“There are three reasons why saliva sharing might be a useful cue to determine relationship closeness. First, saliva sharing is more likely to occur among individuals in thick relationships than among individuals in thin relationships. Second, unlike other cues that tend to be culturally specific, such as X, saliva sharing is likely a </w:t>
      </w:r>
      <w:proofErr w:type="spellStart"/>
      <w:r>
        <w:rPr>
          <w:rFonts w:ascii="Times New Roman" w:eastAsia="Times New Roman" w:hAnsi="Times New Roman" w:cs="Times New Roman"/>
          <w:kern w:val="0"/>
          <w14:ligatures w14:val="none"/>
        </w:rPr>
        <w:t>beahvioral</w:t>
      </w:r>
      <w:proofErr w:type="spellEnd"/>
      <w:r>
        <w:rPr>
          <w:rFonts w:ascii="Times New Roman" w:eastAsia="Times New Roman" w:hAnsi="Times New Roman" w:cs="Times New Roman"/>
          <w:kern w:val="0"/>
          <w14:ligatures w14:val="none"/>
        </w:rPr>
        <w:t xml:space="preserve"> cue that cuts across cultures;</w:t>
      </w:r>
      <w:r w:rsidR="00464B08">
        <w:rPr>
          <w:rFonts w:ascii="Times New Roman" w:eastAsia="Times New Roman" w:hAnsi="Times New Roman" w:cs="Times New Roman"/>
          <w:kern w:val="0"/>
          <w14:ligatures w14:val="none"/>
        </w:rPr>
        <w:t xml:space="preserve"> caregivers in Kenya are presumably as likely to share food or drinks with their children as are caregivers in Santa Barbara, California.</w:t>
      </w:r>
      <w:r w:rsidR="00DD6D72">
        <w:rPr>
          <w:rFonts w:ascii="Times New Roman" w:eastAsia="Times New Roman" w:hAnsi="Times New Roman" w:cs="Times New Roman"/>
          <w:kern w:val="0"/>
          <w14:ligatures w14:val="none"/>
        </w:rPr>
        <w:t>”</w:t>
      </w:r>
    </w:p>
    <w:p w14:paraId="6FB4B704" w14:textId="77777777" w:rsidR="00A630F0" w:rsidRPr="00A630F0" w:rsidRDefault="00A630F0" w:rsidP="00A630F0">
      <w:pPr>
        <w:spacing w:after="0" w:line="240" w:lineRule="auto"/>
        <w:rPr>
          <w:rFonts w:ascii="Times New Roman" w:eastAsia="Times New Roman" w:hAnsi="Times New Roman" w:cs="Times New Roman"/>
          <w:kern w:val="0"/>
          <w14:ligatures w14:val="none"/>
        </w:rPr>
      </w:pPr>
    </w:p>
    <w:sectPr w:rsidR="00A630F0" w:rsidRPr="00A630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071C1"/>
    <w:multiLevelType w:val="hybridMultilevel"/>
    <w:tmpl w:val="817875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8082D8E"/>
    <w:multiLevelType w:val="hybridMultilevel"/>
    <w:tmpl w:val="C62C42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A1A4110"/>
    <w:multiLevelType w:val="hybridMultilevel"/>
    <w:tmpl w:val="A61879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D4D7BCC"/>
    <w:multiLevelType w:val="hybridMultilevel"/>
    <w:tmpl w:val="0636C634"/>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num w:numId="1" w16cid:durableId="1601335943">
    <w:abstractNumId w:val="3"/>
  </w:num>
  <w:num w:numId="2" w16cid:durableId="682049423">
    <w:abstractNumId w:val="0"/>
  </w:num>
  <w:num w:numId="3" w16cid:durableId="399913259">
    <w:abstractNumId w:val="2"/>
  </w:num>
  <w:num w:numId="4" w16cid:durableId="18567975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507"/>
    <w:rsid w:val="0001161E"/>
    <w:rsid w:val="00023387"/>
    <w:rsid w:val="00040863"/>
    <w:rsid w:val="000409B5"/>
    <w:rsid w:val="00073E88"/>
    <w:rsid w:val="000A3CBD"/>
    <w:rsid w:val="000A58B4"/>
    <w:rsid w:val="000C30F4"/>
    <w:rsid w:val="000C7202"/>
    <w:rsid w:val="001135DA"/>
    <w:rsid w:val="00132E96"/>
    <w:rsid w:val="00171D4B"/>
    <w:rsid w:val="00195E57"/>
    <w:rsid w:val="001A6377"/>
    <w:rsid w:val="001C30D9"/>
    <w:rsid w:val="001C420E"/>
    <w:rsid w:val="002226BE"/>
    <w:rsid w:val="00226F2B"/>
    <w:rsid w:val="002742CC"/>
    <w:rsid w:val="002935F9"/>
    <w:rsid w:val="002B72CF"/>
    <w:rsid w:val="002C102B"/>
    <w:rsid w:val="002C2E9C"/>
    <w:rsid w:val="00346D4E"/>
    <w:rsid w:val="0037249A"/>
    <w:rsid w:val="003D05F3"/>
    <w:rsid w:val="003D2AA6"/>
    <w:rsid w:val="004155C0"/>
    <w:rsid w:val="004533BF"/>
    <w:rsid w:val="00464B08"/>
    <w:rsid w:val="00477BDD"/>
    <w:rsid w:val="004A1484"/>
    <w:rsid w:val="00506576"/>
    <w:rsid w:val="00513A11"/>
    <w:rsid w:val="005168DD"/>
    <w:rsid w:val="005260FC"/>
    <w:rsid w:val="0054588A"/>
    <w:rsid w:val="00594864"/>
    <w:rsid w:val="005B6AAE"/>
    <w:rsid w:val="005D6453"/>
    <w:rsid w:val="005F1C40"/>
    <w:rsid w:val="0060222C"/>
    <w:rsid w:val="00634F4A"/>
    <w:rsid w:val="00645AE5"/>
    <w:rsid w:val="006604B4"/>
    <w:rsid w:val="00664523"/>
    <w:rsid w:val="00677CDD"/>
    <w:rsid w:val="006B5821"/>
    <w:rsid w:val="00745507"/>
    <w:rsid w:val="00765761"/>
    <w:rsid w:val="007A2417"/>
    <w:rsid w:val="007B150C"/>
    <w:rsid w:val="007E3493"/>
    <w:rsid w:val="008F3BB1"/>
    <w:rsid w:val="00904126"/>
    <w:rsid w:val="00974FF4"/>
    <w:rsid w:val="00976D17"/>
    <w:rsid w:val="009E29DF"/>
    <w:rsid w:val="00A24521"/>
    <w:rsid w:val="00A630F0"/>
    <w:rsid w:val="00A92B7E"/>
    <w:rsid w:val="00AA448F"/>
    <w:rsid w:val="00AB758F"/>
    <w:rsid w:val="00AE0C49"/>
    <w:rsid w:val="00AE31B3"/>
    <w:rsid w:val="00AF59D6"/>
    <w:rsid w:val="00B00D3B"/>
    <w:rsid w:val="00B232F7"/>
    <w:rsid w:val="00B40487"/>
    <w:rsid w:val="00BB33BE"/>
    <w:rsid w:val="00C4791D"/>
    <w:rsid w:val="00C60187"/>
    <w:rsid w:val="00CD1D75"/>
    <w:rsid w:val="00D0583C"/>
    <w:rsid w:val="00D544B8"/>
    <w:rsid w:val="00D544CE"/>
    <w:rsid w:val="00DA7838"/>
    <w:rsid w:val="00DB41BA"/>
    <w:rsid w:val="00DD6D72"/>
    <w:rsid w:val="00E24B21"/>
    <w:rsid w:val="00EA08FE"/>
    <w:rsid w:val="00EB4DBC"/>
    <w:rsid w:val="00EE4964"/>
    <w:rsid w:val="00EE5D4F"/>
    <w:rsid w:val="00F56CDC"/>
    <w:rsid w:val="00F65E1D"/>
    <w:rsid w:val="00F776D0"/>
    <w:rsid w:val="00F972FF"/>
    <w:rsid w:val="00FC4B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FBECB"/>
  <w15:chartTrackingRefBased/>
  <w15:docId w15:val="{6072175D-E7E4-471D-A77C-3EDD7C5D4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55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55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55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55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55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55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55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55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55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5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55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55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55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55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55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55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55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5507"/>
    <w:rPr>
      <w:rFonts w:eastAsiaTheme="majorEastAsia" w:cstheme="majorBidi"/>
      <w:color w:val="272727" w:themeColor="text1" w:themeTint="D8"/>
    </w:rPr>
  </w:style>
  <w:style w:type="paragraph" w:styleId="Title">
    <w:name w:val="Title"/>
    <w:basedOn w:val="Normal"/>
    <w:next w:val="Normal"/>
    <w:link w:val="TitleChar"/>
    <w:uiPriority w:val="10"/>
    <w:qFormat/>
    <w:rsid w:val="007455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55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55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55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5507"/>
    <w:pPr>
      <w:spacing w:before="160"/>
      <w:jc w:val="center"/>
    </w:pPr>
    <w:rPr>
      <w:i/>
      <w:iCs/>
      <w:color w:val="404040" w:themeColor="text1" w:themeTint="BF"/>
    </w:rPr>
  </w:style>
  <w:style w:type="character" w:customStyle="1" w:styleId="QuoteChar">
    <w:name w:val="Quote Char"/>
    <w:basedOn w:val="DefaultParagraphFont"/>
    <w:link w:val="Quote"/>
    <w:uiPriority w:val="29"/>
    <w:rsid w:val="00745507"/>
    <w:rPr>
      <w:i/>
      <w:iCs/>
      <w:color w:val="404040" w:themeColor="text1" w:themeTint="BF"/>
    </w:rPr>
  </w:style>
  <w:style w:type="paragraph" w:styleId="ListParagraph">
    <w:name w:val="List Paragraph"/>
    <w:basedOn w:val="Normal"/>
    <w:uiPriority w:val="34"/>
    <w:qFormat/>
    <w:rsid w:val="00745507"/>
    <w:pPr>
      <w:ind w:left="720"/>
      <w:contextualSpacing/>
    </w:pPr>
  </w:style>
  <w:style w:type="character" w:styleId="IntenseEmphasis">
    <w:name w:val="Intense Emphasis"/>
    <w:basedOn w:val="DefaultParagraphFont"/>
    <w:uiPriority w:val="21"/>
    <w:qFormat/>
    <w:rsid w:val="00745507"/>
    <w:rPr>
      <w:i/>
      <w:iCs/>
      <w:color w:val="0F4761" w:themeColor="accent1" w:themeShade="BF"/>
    </w:rPr>
  </w:style>
  <w:style w:type="paragraph" w:styleId="IntenseQuote">
    <w:name w:val="Intense Quote"/>
    <w:basedOn w:val="Normal"/>
    <w:next w:val="Normal"/>
    <w:link w:val="IntenseQuoteChar"/>
    <w:uiPriority w:val="30"/>
    <w:qFormat/>
    <w:rsid w:val="007455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5507"/>
    <w:rPr>
      <w:i/>
      <w:iCs/>
      <w:color w:val="0F4761" w:themeColor="accent1" w:themeShade="BF"/>
    </w:rPr>
  </w:style>
  <w:style w:type="character" w:styleId="IntenseReference">
    <w:name w:val="Intense Reference"/>
    <w:basedOn w:val="DefaultParagraphFont"/>
    <w:uiPriority w:val="32"/>
    <w:qFormat/>
    <w:rsid w:val="007455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1094</TotalTime>
  <Pages>7</Pages>
  <Words>2638</Words>
  <Characters>15040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43</cp:revision>
  <dcterms:created xsi:type="dcterms:W3CDTF">2026-09-30T02:19:00Z</dcterms:created>
  <dcterms:modified xsi:type="dcterms:W3CDTF">2026-10-08T21:54:00Z</dcterms:modified>
</cp:coreProperties>
</file>