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77777777" w:rsidR="00F65544" w:rsidRDefault="00000000">
      <w:pPr>
        <w:ind w:firstLine="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41BB7DE3" w14:textId="77777777" w:rsidR="00F65544" w:rsidRDefault="00F65544"/>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Braitenberg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Basic architecture of a Braitenberg Vehicle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the figure shows, a typical “Braitenberg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3547BB5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B10FD2">
        <w:rPr>
          <w:rFonts w:ascii="Times New Roman" w:eastAsia="Times New Roman" w:hAnsi="Times New Roman" w:cs="Times New Roman"/>
          <w:sz w:val="24"/>
          <w:szCs w:val="24"/>
        </w:rPr>
        <w:t>This is</w:t>
      </w:r>
      <w:r>
        <w:rPr>
          <w:rFonts w:ascii="Times New Roman" w:eastAsia="Times New Roman" w:hAnsi="Times New Roman" w:cs="Times New Roman"/>
          <w:sz w:val="24"/>
          <w:szCs w:val="24"/>
        </w:rPr>
        <w:t xml:space="preserve"> all that is needed to describe the behavior of </w:t>
      </w:r>
      <w:r>
        <w:rPr>
          <w:rFonts w:ascii="Times New Roman" w:eastAsia="Times New Roman" w:hAnsi="Times New Roman" w:cs="Times New Roman"/>
          <w:i/>
          <w:iCs/>
          <w:sz w:val="24"/>
          <w:szCs w:val="24"/>
        </w:rPr>
        <w:t xml:space="preserve">any </w:t>
      </w:r>
      <w:r>
        <w:rPr>
          <w:rFonts w:ascii="Times New Roman" w:eastAsia="Times New Roman" w:hAnsi="Times New Roman" w:cs="Times New Roman"/>
          <w:sz w:val="24"/>
          <w:szCs w:val="24"/>
        </w:rPr>
        <w:t xml:space="preserve">Braitenberg vehicle; that is, a Braitenberg vehicle’s sensorimotor connections and physical distance from the nearest external </w:t>
      </w:r>
      <w:r>
        <w:rPr>
          <w:rFonts w:ascii="Times New Roman" w:eastAsia="Times New Roman" w:hAnsi="Times New Roman" w:cs="Times New Roman"/>
          <w:sz w:val="24"/>
          <w:szCs w:val="24"/>
        </w:rPr>
        <w:lastRenderedPageBreak/>
        <w:t>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w:t>
      </w:r>
      <w:r w:rsidR="004174A3">
        <w:rPr>
          <w:rFonts w:ascii="Times New Roman" w:eastAsia="Times New Roman" w:hAnsi="Times New Roman" w:cs="Times New Roman"/>
          <w:sz w:val="24"/>
          <w:szCs w:val="24"/>
        </w:rPr>
        <w:t xml:space="preserve"> will in turn</w:t>
      </w:r>
      <w:r>
        <w:rPr>
          <w:rFonts w:ascii="Times New Roman" w:eastAsia="Times New Roman" w:hAnsi="Times New Roman" w:cs="Times New Roman"/>
          <w:sz w:val="24"/>
          <w:szCs w:val="24"/>
        </w:rPr>
        <w:t xml:space="preserve"> move faster than the left one</w:t>
      </w:r>
      <w:r w:rsidR="004174A3">
        <w:rPr>
          <w:rFonts w:ascii="Times New Roman" w:eastAsia="Times New Roman" w:hAnsi="Times New Roman" w:cs="Times New Roman"/>
          <w:sz w:val="24"/>
          <w:szCs w:val="24"/>
        </w:rPr>
        <w:t xml:space="preserve">, thereby causing </w:t>
      </w:r>
      <w:r>
        <w:rPr>
          <w:rFonts w:ascii="Times New Roman" w:eastAsia="Times New Roman" w:hAnsi="Times New Roman" w:cs="Times New Roman"/>
          <w:sz w:val="24"/>
          <w:szCs w:val="24"/>
        </w:rPr>
        <w:t xml:space="preserve">the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1272FBB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Analysis being “more difficult than invention” and induction taking “more time than deduction” capture this difficulty quite nicely.  </w:t>
      </w:r>
    </w:p>
    <w:p w14:paraId="56439000" w14:textId="1730878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One straightforward solution to this problem is to start with a mechanism and then work out its behavioral consequences. Yet this </w:t>
      </w:r>
      <w:r w:rsidR="006845BB">
        <w:rPr>
          <w:rFonts w:ascii="Times New Roman" w:eastAsia="Times New Roman" w:hAnsi="Times New Roman" w:cs="Times New Roman"/>
          <w:sz w:val="24"/>
          <w:szCs w:val="24"/>
        </w:rPr>
        <w:t xml:space="preserve">is a solution that is rarely implemented </w:t>
      </w:r>
      <w:r>
        <w:rPr>
          <w:rFonts w:ascii="Times New Roman" w:eastAsia="Times New Roman" w:hAnsi="Times New Roman" w:cs="Times New Roman"/>
          <w:sz w:val="24"/>
          <w:szCs w:val="24"/>
        </w:rPr>
        <w:t xml:space="preserve">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w:t>
      </w:r>
      <w:r>
        <w:rPr>
          <w:rFonts w:ascii="Times New Roman" w:eastAsia="Times New Roman" w:hAnsi="Times New Roman" w:cs="Times New Roman"/>
          <w:sz w:val="24"/>
          <w:szCs w:val="24"/>
        </w:rPr>
        <w:lastRenderedPageBreak/>
        <w:t xml:space="preserve">2002). In the 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105A048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computational modeling can help researchers put Braitenberg’s dictum—starting with a candidate mechanism and then evaluating the behaviors it produces—into practice.  </w:t>
      </w:r>
    </w:p>
    <w:p w14:paraId="659A758F" w14:textId="3210164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w:t>
      </w:r>
      <w:r>
        <w:rPr>
          <w:rFonts w:ascii="Times New Roman" w:eastAsia="Times New Roman" w:hAnsi="Times New Roman" w:cs="Times New Roman"/>
          <w:sz w:val="24"/>
          <w:szCs w:val="24"/>
        </w:rPr>
        <w:lastRenderedPageBreak/>
        <w:t xml:space="preserve">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Eimas, 1997; Rakison &amp; Lupyan,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r w:rsidR="007029A5">
        <w:rPr>
          <w:rFonts w:ascii="Times New Roman" w:eastAsia="Times New Roman" w:hAnsi="Times New Roman" w:cs="Times New Roman"/>
          <w:sz w:val="24"/>
          <w:szCs w:val="24"/>
        </w:rPr>
        <w:t>has</w:t>
      </w:r>
      <w:r w:rsidR="007029A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w:t>
      </w:r>
      <w:r>
        <w:rPr>
          <w:rFonts w:ascii="Times New Roman" w:eastAsia="Times New Roman" w:hAnsi="Times New Roman" w:cs="Times New Roman"/>
          <w:sz w:val="24"/>
          <w:szCs w:val="24"/>
        </w:rPr>
        <w:lastRenderedPageBreak/>
        <w:t xml:space="preserve">sufficiently strong associations, the presence of one component of the relation will evoke a representation of the other component, even if that other component is absent. </w:t>
      </w:r>
    </w:p>
    <w:p w14:paraId="4A27DC02" w14:textId="7CF6CFF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Rovee-Collier’s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Rovee-Collier,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this type of learning from </w:t>
      </w:r>
      <w:r w:rsidR="00AF515F">
        <w:rPr>
          <w:rFonts w:ascii="Times New Roman" w:eastAsia="Times New Roman" w:hAnsi="Times New Roman" w:cs="Times New Roman"/>
          <w:sz w:val="24"/>
          <w:szCs w:val="24"/>
        </w:rPr>
        <w:t>capturing</w:t>
      </w:r>
      <w:r>
        <w:rPr>
          <w:rFonts w:ascii="Times New Roman" w:eastAsia="Times New Roman" w:hAnsi="Times New Roman" w:cs="Times New Roman"/>
          <w:sz w:val="24"/>
          <w:szCs w:val="24"/>
        </w:rPr>
        <w:t xml:space="preserve"> the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Widrow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(Widrow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w:t>
      </w:r>
      <w:r>
        <w:rPr>
          <w:rFonts w:ascii="Times New Roman" w:eastAsia="Times New Roman" w:hAnsi="Times New Roman" w:cs="Times New Roman"/>
          <w:sz w:val="24"/>
          <w:szCs w:val="24"/>
        </w:rPr>
        <w:lastRenderedPageBreak/>
        <w:t xml:space="preserve">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separable if this distinction is not possible. Although it was recognized fairly early on that solving linearly inseparable problems requires the introduction of internal representations (e.g., Minsky &amp; Papert,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Werbos,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47CAE0C8"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both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w:t>
      </w:r>
      <w:r>
        <w:rPr>
          <w:rFonts w:ascii="Times New Roman" w:eastAsia="Times New Roman" w:hAnsi="Times New Roman" w:cs="Times New Roman"/>
          <w:sz w:val="24"/>
          <w:szCs w:val="24"/>
        </w:rPr>
        <w:lastRenderedPageBreak/>
        <w:t xml:space="preserve">understands that people and objects possess different causal abilities would know that it is appropriate to request a favor from another person but incongruous to request one from a box.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The Core Knowledge perspective offers one intriguing answer (e.g., Spelke,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14EEEFCC"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Some of the initial support for this theory came from a study by Spelke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Object condition. This condition was otherwise identical to the People condition. All infants were then shown two test events, both without screens. In the Contact test event, the first person </w:t>
      </w:r>
      <w:r>
        <w:rPr>
          <w:rFonts w:ascii="Times New Roman" w:eastAsia="Times New Roman" w:hAnsi="Times New Roman" w:cs="Times New Roman"/>
          <w:sz w:val="24"/>
          <w:szCs w:val="24"/>
        </w:rPr>
        <w:lastRenderedPageBreak/>
        <w:t>(or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Spelke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Spelke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Spelke, 2006; Saxe et al., 2005; Saxe et al., 2007), would seem to support the Core Knowledge account. As the opening example made clear, however, such a conclusion may be unwarranted if a simpler mechanism and explanation can account for these findings. </w:t>
      </w:r>
    </w:p>
    <w:p w14:paraId="34985759" w14:textId="11C3E35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offered one such explanation in a recent series of papers (Benton, 2023, 2025). The crux of my proposal is that domain-general associative learning, combined with a small number of </w:t>
      </w:r>
      <w:r>
        <w:rPr>
          <w:rFonts w:ascii="Times New Roman" w:eastAsia="Times New Roman" w:hAnsi="Times New Roman" w:cs="Times New Roman"/>
          <w:sz w:val="24"/>
          <w:szCs w:val="24"/>
        </w:rPr>
        <w:lastRenderedPageBreak/>
        <w:t>inherent perceptual biases, such as preferences for faces over non-faces (e.g., Morton &amp; Johnson, 1991</w:t>
      </w:r>
      <w:r w:rsidR="00403724">
        <w:rPr>
          <w:rFonts w:ascii="Times New Roman" w:eastAsia="Times New Roman" w:hAnsi="Times New Roman" w:cs="Times New Roman"/>
          <w:sz w:val="24"/>
          <w:szCs w:val="24"/>
        </w:rPr>
        <w:t>; cf., Wilkinson et al., 2026</w:t>
      </w:r>
      <w:r>
        <w:rPr>
          <w:rFonts w:ascii="Times New Roman" w:eastAsia="Times New Roman" w:hAnsi="Times New Roman" w:cs="Times New Roman"/>
          <w:sz w:val="24"/>
          <w:szCs w:val="24"/>
        </w:rPr>
        <w:t xml:space="preserve">) and movement over non-movement (e.g., Slater, 1989; Vallortigara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generally</w:t>
      </w:r>
      <w:r w:rsidR="0050314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35A2145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Braitenberg’s vehicles, this is all that is needed to explain infants’ looking behaviors in studies that evaluate what, if anything, they know about people and object causal action; core knowledge systems are not necessary. Consider the Inanimate Object condition in Spelke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Spelke et al.’s (1995) findings, I instantiated it in a connectionist computational model. These models—much like the human 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w:t>
      </w:r>
      <w:r>
        <w:rPr>
          <w:rFonts w:ascii="Times New Roman" w:eastAsia="Times New Roman" w:hAnsi="Times New Roman" w:cs="Times New Roman"/>
          <w:sz w:val="24"/>
          <w:szCs w:val="24"/>
        </w:rPr>
        <w:lastRenderedPageBreak/>
        <w:t xml:space="preserve">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developmental (Benton, 2022, 2023, 2025; Benton et al., 2024; Mareschal &amp; Thomas, 2007; Rakison &amp; Lupyan,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sidR="00000000">
        <w:rPr>
          <w:rFonts w:ascii="Times New Roman" w:eastAsia="Times New Roman" w:hAnsi="Times New Roman" w:cs="Times New Roman"/>
          <w:sz w:val="24"/>
          <w:szCs w:val="24"/>
        </w:rPr>
        <w:br/>
      </w:r>
      <w:r w:rsidR="00000000">
        <w:rPr>
          <w:rFonts w:ascii="Times New Roman" w:eastAsia="Times New Roman" w:hAnsi="Times New Roman" w:cs="Times New Roman"/>
          <w:i/>
          <w:iCs/>
          <w:sz w:val="24"/>
          <w:szCs w:val="24"/>
        </w:rPr>
        <w:t>Note</w:t>
      </w:r>
      <w:r w:rsidR="00000000">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2BAC93BC"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different kinds of action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Spelke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3A4D7C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Spelke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Spelke et al.’s (1995) findings; associative learning is clearly sufficient. The second is that younger infants should demonstrate a qualitatively different looking pattern than did the 7-month-olds in Spelke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0A19C32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Spelke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witnessed what caused it to begin moving. I addressed this concern in a subsequent simulation by </w:t>
      </w:r>
      <w:r>
        <w:rPr>
          <w:rFonts w:ascii="Times New Roman" w:eastAsia="Times New Roman" w:hAnsi="Times New Roman" w:cs="Times New Roman"/>
          <w:sz w:val="24"/>
          <w:szCs w:val="24"/>
        </w:rPr>
        <w:lastRenderedPageBreak/>
        <w:t xml:space="preserve">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after</w:t>
      </w:r>
      <w:r w:rsidR="006A7E0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contact in the real world. Networks continued to replicate Spelke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47B3ED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Spelke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particular surface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Although all features occurred equally often with the different actions, the stronger associations nevertheless developed between the salient surface features and the patterns of causal action with which they covaried than between less salient features and those same patterns. In effect, networks identified the relevant features for themselves. </w:t>
      </w:r>
    </w:p>
    <w:p w14:paraId="156C2C5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 bag emerged from behind a screen concealing a toy truck than from behind one concealing a human hand or puppet. Finally, the model </w:t>
      </w:r>
      <w:r>
        <w:rPr>
          <w:rFonts w:ascii="Times New Roman" w:eastAsia="Times New Roman" w:hAnsi="Times New Roman" w:cs="Times New Roman"/>
          <w:sz w:val="24"/>
          <w:szCs w:val="24"/>
        </w:rPr>
        <w:lastRenderedPageBreak/>
        <w:t>reproduced Markson and Spelke’s (2006) finding that 7-month-olds looked longer at a previously self-propelled than previously made-to-move toy animal.</w:t>
      </w:r>
    </w:p>
    <w:p w14:paraId="71ED305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show looking patterns similar to those of the 7-month-olds in Spelke et al. (1995).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exhibit looking patterns more similar to those observed in the original Object condition if they are habituated to people that possess object parts (e.g., a person whose legs have been replaced with the base of a cylinder).  </w:t>
      </w:r>
    </w:p>
    <w:p w14:paraId="3364385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Presumably, each of these predictions is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w:t>
      </w:r>
      <w:r>
        <w:rPr>
          <w:rFonts w:ascii="Times New Roman" w:eastAsia="Times New Roman" w:hAnsi="Times New Roman" w:cs="Times New Roman"/>
          <w:sz w:val="24"/>
          <w:szCs w:val="24"/>
        </w:rPr>
        <w:lastRenderedPageBreak/>
        <w:t xml:space="preserve">learning—much like the sensorimotor connections in Braitenberg’s vehicles—may be sufficient to explain infants’ looking behaviors in the corresponding studies. In the same way that the seemingly intelligent and autonomous behaviors of Braitenberg’s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Putting Braitenberg’s deductive dictum into practice through computational modeling</w:t>
      </w:r>
    </w:p>
    <w:p w14:paraId="6DEB1164"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mechanism from observed behavior is insufficient because, as was previously discussed, the space of possible generating mechanisms is woefully underconstrained by behavior. The puzzle, then, is this: How can we identify the mechanisms that give rise to behavior if behavior alone cannot tell us what the mechanisms are? </w:t>
      </w:r>
    </w:p>
    <w:p w14:paraId="6E0728C7"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can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w:t>
      </w:r>
      <w:r>
        <w:rPr>
          <w:rFonts w:ascii="Times New Roman" w:eastAsia="Times New Roman" w:hAnsi="Times New Roman" w:cs="Times New Roman"/>
          <w:sz w:val="24"/>
          <w:szCs w:val="24"/>
        </w:rPr>
        <w:lastRenderedPageBreak/>
        <w:t xml:space="preserve">explain infants’ looking behaviors in studies that examined their knowledge about people and object causal action,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Yermolayeva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3A48CEB"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201D78">
        <w:rPr>
          <w:rFonts w:ascii="Times New Roman" w:eastAsia="Times New Roman" w:hAnsi="Times New Roman" w:cs="Times New Roman"/>
          <w:sz w:val="24"/>
          <w:szCs w:val="24"/>
        </w:rPr>
        <w:t>As an illustration</w:t>
      </w:r>
      <w:r>
        <w:rPr>
          <w:rFonts w:ascii="Times New Roman" w:eastAsia="Times New Roman" w:hAnsi="Times New Roman" w:cs="Times New Roman"/>
          <w:sz w:val="24"/>
          <w:szCs w:val="24"/>
        </w:rPr>
        <w:t xml:space="preserve">, imagine that a child learns, on separate occasions, that a novel machine’s activation and a heart-shaped sticker are each associated with object A. If the child subsequently infers that a novel object that possesses one of those features (say the heart-shaped sticker) is more likely to produce the effect than an otherwise identical object that possesses a different feature, they would be said to have used second-order correlation learning to make a causal inference. I showed, both in this study and in others (e.g., Benton et al., 2021; Rakison &amp; Benton, 2019), that children could do precisely this.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w:t>
      </w:r>
      <w:r>
        <w:rPr>
          <w:rFonts w:ascii="Times New Roman" w:eastAsia="Times New Roman" w:hAnsi="Times New Roman" w:cs="Times New Roman"/>
          <w:sz w:val="24"/>
          <w:szCs w:val="24"/>
        </w:rPr>
        <w:lastRenderedPageBreak/>
        <w:t xml:space="preserve">this question was twofold. First, I trained a connectionist model on a computational analogue of 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55483099"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Braitenberg’s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421E1CA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Braitenberg’s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w:t>
      </w:r>
      <w:r>
        <w:rPr>
          <w:rFonts w:ascii="Times New Roman" w:eastAsia="Times New Roman" w:hAnsi="Times New Roman" w:cs="Times New Roman"/>
          <w:sz w:val="24"/>
          <w:szCs w:val="24"/>
        </w:rPr>
        <w:lastRenderedPageBreak/>
        <w:t xml:space="preserve">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headway on this issue </w:t>
      </w:r>
      <w:r>
        <w:rPr>
          <w:rFonts w:ascii="Times New Roman" w:eastAsia="Times New Roman" w:hAnsi="Times New Roman" w:cs="Times New Roman"/>
          <w:sz w:val="24"/>
          <w:szCs w:val="24"/>
        </w:rPr>
        <w:t>by instantiating their competing verbal theories in computational models, deriving discriminating predictions from those models, and evaluating those predictions in light of infants’ and children’s actual behavior. The status quo of working backward from behavior to mechanism alone will not suffice.</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2DF5872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8">
        <w:r w:rsidR="00F65544">
          <w:rPr>
            <w:rFonts w:ascii="Times New Roman" w:eastAsia="Times New Roman" w:hAnsi="Times New Roman" w:cs="Times New Roman"/>
            <w:color w:val="467886"/>
            <w:sz w:val="24"/>
            <w:szCs w:val="24"/>
            <w:u w:val="single"/>
          </w:rPr>
          <w:t>https://doi.org/10.1037/h0060064</w:t>
        </w:r>
      </w:hyperlink>
    </w:p>
    <w:p w14:paraId="3F4E533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Adolph, K. E., &amp; Joh, A. S. (2009). Multiple learning mechanisms in the development of action.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172-207.</w:t>
      </w:r>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9">
        <w:r w:rsidR="00F65544">
          <w:rPr>
            <w:rFonts w:ascii="Times New Roman" w:eastAsia="Times New Roman" w:hAnsi="Times New Roman" w:cs="Times New Roman"/>
            <w:color w:val="467886"/>
            <w:sz w:val="24"/>
            <w:szCs w:val="24"/>
            <w:u w:val="single"/>
          </w:rPr>
          <w:t>https://doi.org/10.1016/j.dr.2022.101034</w:t>
        </w:r>
      </w:hyperlink>
    </w:p>
    <w:p w14:paraId="7E4F5F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But what is the mechanism?’: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0">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1">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2">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3">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4">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5">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6">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Braitenberg,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7">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8">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19">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0">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1">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2">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37D9D1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Johnson, S. P. (2009). Developmental origins of object perception.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47-65.</w:t>
      </w:r>
    </w:p>
    <w:p w14:paraId="3A4431F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Kosugi, D., &amp; Fujita, K. (2002). How do 8-month-old infants recognize causality in object motion and that in human action? 1.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3">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4">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5">
        <w:r w:rsidR="00F65544">
          <w:rPr>
            <w:rFonts w:ascii="Times New Roman" w:eastAsia="Times New Roman" w:hAnsi="Times New Roman" w:cs="Times New Roman"/>
            <w:color w:val="467886"/>
            <w:sz w:val="24"/>
            <w:szCs w:val="24"/>
            <w:u w:val="single"/>
          </w:rPr>
          <w:t>https://doi.org/10.1037/0012-1649.36.5.635</w:t>
        </w:r>
      </w:hyperlink>
    </w:p>
    <w:p w14:paraId="0B609108"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6">
        <w:r w:rsidR="00F65544">
          <w:rPr>
            <w:rFonts w:ascii="Times New Roman" w:eastAsia="Times New Roman" w:hAnsi="Times New Roman" w:cs="Times New Roman"/>
            <w:color w:val="467886"/>
            <w:sz w:val="24"/>
            <w:szCs w:val="24"/>
            <w:u w:val="single"/>
          </w:rPr>
          <w:t>https://doi.org/10.1002/wcs.67</w:t>
        </w:r>
      </w:hyperlink>
    </w:p>
    <w:p w14:paraId="12A89C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Markson, L., &amp; Spelke, E. S. (2006). Infants’ rapid learning about self-Propelled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7">
        <w:r w:rsidR="00F65544">
          <w:rPr>
            <w:rFonts w:ascii="Times New Roman" w:eastAsia="Times New Roman" w:hAnsi="Times New Roman" w:cs="Times New Roman"/>
            <w:color w:val="467886"/>
            <w:sz w:val="24"/>
            <w:szCs w:val="24"/>
            <w:u w:val="single"/>
          </w:rPr>
          <w:t>https://doi.org/10.1207/s15327078in0901_3</w:t>
        </w:r>
      </w:hyperlink>
    </w:p>
    <w:p w14:paraId="699517F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28">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29">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Mermier, J., Quadrelli, E., Turati, C., &amp; Bulf,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0">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Minsky, M., &amp; Papert, S. (1969). Perceptrons: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1">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2">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3">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4">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Eimas,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5">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6">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Lupyan,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i–127. </w:t>
      </w:r>
      <w:hyperlink r:id="rId37">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Rescorla, R. A., &amp; Wagner, A. R. (1972). A theory of pavlovian conditioning: Variations in the effectiveness of reinforcement and nonreinforcement. In A. H. Black &amp; W. F. Prokasy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Rovee-Collier,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38">
        <w:r w:rsidR="00F65544">
          <w:rPr>
            <w:rFonts w:ascii="Times New Roman" w:eastAsia="Times New Roman" w:hAnsi="Times New Roman" w:cs="Times New Roman"/>
            <w:color w:val="467886"/>
            <w:sz w:val="24"/>
            <w:szCs w:val="24"/>
            <w:u w:val="single"/>
          </w:rPr>
          <w:t>https://doi.org/10.1111/1467-8721.00019</w:t>
        </w:r>
      </w:hyperlink>
    </w:p>
    <w:p w14:paraId="5DD56D9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Vol. 1. Foundations (pp. 318–362).</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39">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Tzelnic, T., &amp; Carey, S. (2007). Knowing who dunnit: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0">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1">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2">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3">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oedipus).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4">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Vallortigara, G., Regolin, L., &amp; Marconato, F. (2005). Visually inexperienced chicks exhibit spontaneous preference for biological motion patterns. </w:t>
      </w:r>
      <w:r>
        <w:rPr>
          <w:rFonts w:ascii="Times New Roman" w:eastAsia="Times New Roman" w:hAnsi="Times New Roman" w:cs="Times New Roman"/>
          <w:i/>
          <w:iCs/>
          <w:sz w:val="24"/>
          <w:szCs w:val="24"/>
        </w:rPr>
        <w:t>PLoS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5">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6">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7">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Werbos,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Widrow,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739B8CF2"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 xml:space="preserve">.M, Kiessling, J., &amp; </w:t>
      </w:r>
      <w:r w:rsidR="0073346E" w:rsidRPr="0073346E">
        <w:rPr>
          <w:rFonts w:ascii="Times New Roman" w:eastAsia="Times New Roman" w:hAnsi="Times New Roman" w:cs="Times New Roman"/>
          <w:sz w:val="24"/>
          <w:szCs w:val="24"/>
        </w:rPr>
        <w:t>Gredebäck</w:t>
      </w:r>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Perspectives in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Spelke,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48">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49">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Yermolayeva,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0">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1">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3DD58" w14:textId="77777777" w:rsidR="000C3F1E" w:rsidRDefault="000C3F1E">
      <w:pPr>
        <w:spacing w:line="240" w:lineRule="auto"/>
      </w:pPr>
      <w:r>
        <w:separator/>
      </w:r>
    </w:p>
  </w:endnote>
  <w:endnote w:type="continuationSeparator" w:id="0">
    <w:p w14:paraId="75AAE967" w14:textId="77777777" w:rsidR="000C3F1E" w:rsidRDefault="000C3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E83D76D-ADD0-43CE-9FD2-87D142A16496}"/>
    <w:embedBold r:id="rId2" w:fontKey="{6C7C04CB-B72E-45BE-8BF5-2D8D88E99137}"/>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D9C88BC3-2307-44F1-B986-5A37C7EBEF64}"/>
    <w:embedItalic r:id="rId4" w:fontKey="{518A2676-ED8D-4F45-99B3-615D330F146E}"/>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532FA89F-8DD6-465C-AB15-37AF9FBB190B}"/>
    <w:embedItalic r:id="rId6" w:fontKey="{D66C6728-8073-491A-8058-CE20FAFE24C3}"/>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2A4FF0DB-58D5-4D56-BF87-37F25E422A7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0AD08" w14:textId="77777777" w:rsidR="000C3F1E" w:rsidRDefault="000C3F1E">
      <w:pPr>
        <w:spacing w:line="240" w:lineRule="auto"/>
      </w:pPr>
      <w:r>
        <w:separator/>
      </w:r>
    </w:p>
  </w:footnote>
  <w:footnote w:type="continuationSeparator" w:id="0">
    <w:p w14:paraId="1E97D6D3" w14:textId="77777777" w:rsidR="000C3F1E" w:rsidRDefault="000C3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161E2"/>
    <w:rsid w:val="00067606"/>
    <w:rsid w:val="000B7388"/>
    <w:rsid w:val="000C3F1E"/>
    <w:rsid w:val="001928FA"/>
    <w:rsid w:val="0019751C"/>
    <w:rsid w:val="001D1FCB"/>
    <w:rsid w:val="00201D78"/>
    <w:rsid w:val="00233E29"/>
    <w:rsid w:val="002432E1"/>
    <w:rsid w:val="00253044"/>
    <w:rsid w:val="0026581D"/>
    <w:rsid w:val="00335D98"/>
    <w:rsid w:val="00372998"/>
    <w:rsid w:val="0038619F"/>
    <w:rsid w:val="003A35A2"/>
    <w:rsid w:val="003B038A"/>
    <w:rsid w:val="003B669B"/>
    <w:rsid w:val="00403724"/>
    <w:rsid w:val="004174A3"/>
    <w:rsid w:val="0047277D"/>
    <w:rsid w:val="0047643E"/>
    <w:rsid w:val="004B0FCB"/>
    <w:rsid w:val="004B63B3"/>
    <w:rsid w:val="004D27A9"/>
    <w:rsid w:val="004D4543"/>
    <w:rsid w:val="00502F55"/>
    <w:rsid w:val="00503144"/>
    <w:rsid w:val="00535955"/>
    <w:rsid w:val="006025AA"/>
    <w:rsid w:val="00634186"/>
    <w:rsid w:val="00643333"/>
    <w:rsid w:val="006845BB"/>
    <w:rsid w:val="006A7E0C"/>
    <w:rsid w:val="007029A5"/>
    <w:rsid w:val="007260A5"/>
    <w:rsid w:val="0073346E"/>
    <w:rsid w:val="00786F6B"/>
    <w:rsid w:val="00787C23"/>
    <w:rsid w:val="008074D4"/>
    <w:rsid w:val="00817C6D"/>
    <w:rsid w:val="00845D1C"/>
    <w:rsid w:val="00871342"/>
    <w:rsid w:val="008922E3"/>
    <w:rsid w:val="008972CE"/>
    <w:rsid w:val="008C5754"/>
    <w:rsid w:val="008D0273"/>
    <w:rsid w:val="008E0F43"/>
    <w:rsid w:val="00990F2D"/>
    <w:rsid w:val="009A4812"/>
    <w:rsid w:val="009B63BC"/>
    <w:rsid w:val="009E61FB"/>
    <w:rsid w:val="009F7D26"/>
    <w:rsid w:val="00A02DB6"/>
    <w:rsid w:val="00A31393"/>
    <w:rsid w:val="00A32214"/>
    <w:rsid w:val="00A344EE"/>
    <w:rsid w:val="00A34AC9"/>
    <w:rsid w:val="00A3763F"/>
    <w:rsid w:val="00AC48F3"/>
    <w:rsid w:val="00AD1F5A"/>
    <w:rsid w:val="00AD482C"/>
    <w:rsid w:val="00AE5296"/>
    <w:rsid w:val="00AF515F"/>
    <w:rsid w:val="00B10FD2"/>
    <w:rsid w:val="00B26488"/>
    <w:rsid w:val="00B405C2"/>
    <w:rsid w:val="00B65775"/>
    <w:rsid w:val="00BA75D4"/>
    <w:rsid w:val="00BB5618"/>
    <w:rsid w:val="00BE0754"/>
    <w:rsid w:val="00C0708D"/>
    <w:rsid w:val="00C42618"/>
    <w:rsid w:val="00C87B34"/>
    <w:rsid w:val="00CA1EAC"/>
    <w:rsid w:val="00D164F4"/>
    <w:rsid w:val="00DA601F"/>
    <w:rsid w:val="00DB2EDD"/>
    <w:rsid w:val="00DF0716"/>
    <w:rsid w:val="00E37AE4"/>
    <w:rsid w:val="00F35B6B"/>
    <w:rsid w:val="00F65544"/>
    <w:rsid w:val="00F8377F"/>
    <w:rsid w:val="00F84A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29</Pages>
  <Words>7984</Words>
  <Characters>45513</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78</cp:revision>
  <dcterms:created xsi:type="dcterms:W3CDTF">2026-10-12T14:47:00Z</dcterms:created>
  <dcterms:modified xsi:type="dcterms:W3CDTF">2026-10-13T00:27:00Z</dcterms:modified>
</cp:coreProperties>
</file>