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743B"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2D98C2FE" w14:textId="4BE3F11B"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XXX</w:t>
      </w:r>
    </w:p>
    <w:p w14:paraId="587D4FA8" w14:textId="77777777"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under minimal information-processing demands (Experiment 1) but failed to do so under greater information processing demands (Experiment 2) and that their performance was best captured by associative learning with only minimal support for Bayesian inference.  </w:t>
      </w:r>
    </w:p>
    <w:p w14:paraId="0CBDA47F" w14:textId="77777777" w:rsidR="00B51B4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129F9666" w14:textId="77777777" w:rsidR="00B51B4F" w:rsidRDefault="00B51B4F">
      <w:pPr>
        <w:spacing w:after="0"/>
        <w:rPr>
          <w:rFonts w:ascii="Times New Roman" w:eastAsia="Times New Roman" w:hAnsi="Times New Roman" w:cs="Times New Roman"/>
          <w:sz w:val="24"/>
          <w:szCs w:val="24"/>
        </w:rPr>
      </w:pPr>
    </w:p>
    <w:p w14:paraId="0F5974EA" w14:textId="77777777" w:rsidR="00B51B4F" w:rsidRDefault="00B51B4F">
      <w:pPr>
        <w:spacing w:after="0"/>
        <w:rPr>
          <w:rFonts w:ascii="Times New Roman" w:eastAsia="Times New Roman" w:hAnsi="Times New Roman" w:cs="Times New Roman"/>
          <w:sz w:val="24"/>
          <w:szCs w:val="24"/>
        </w:rPr>
      </w:pPr>
    </w:p>
    <w:p w14:paraId="75E6EEC6"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376323D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enables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71636132"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associations between causes and effects. Connectionist models—which learn largely via associative learning—have provided </w:t>
      </w:r>
      <w:proofErr w:type="gramStart"/>
      <w:r>
        <w:rPr>
          <w:rFonts w:ascii="Times New Roman" w:eastAsia="Times New Roman" w:hAnsi="Times New Roman" w:cs="Times New Roman"/>
          <w:sz w:val="24"/>
          <w:szCs w:val="24"/>
        </w:rPr>
        <w:t>a proof</w:t>
      </w:r>
      <w:proofErr w:type="gramEnd"/>
      <w:r>
        <w:rPr>
          <w:rFonts w:ascii="Times New Roman" w:eastAsia="Times New Roman" w:hAnsi="Times New Roman" w:cs="Times New Roman"/>
          <w:sz w:val="24"/>
          <w:szCs w:val="24"/>
        </w:rPr>
        <w:t xml:space="preserve"> of concept that causal learning can emerge from such associative processes (e.g., Benton et al., 2021; McClelland &amp; Thompson, 2007). </w:t>
      </w:r>
      <w:r>
        <w:rPr>
          <w:rFonts w:ascii="Times New Roman" w:eastAsia="Times New Roman" w:hAnsi="Times New Roman" w:cs="Times New Roman"/>
          <w:sz w:val="24"/>
          <w:szCs w:val="24"/>
        </w:rPr>
        <w:lastRenderedPageBreak/>
        <w:t xml:space="preserve">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C94B6CD" w14:textId="5F4E05A2" w:rsidR="00B51B4F" w:rsidRDefault="000000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w:t>
      </w:r>
      <w:r w:rsidR="008B3EC6">
        <w:rPr>
          <w:rFonts w:ascii="Times New Roman" w:eastAsia="Times New Roman" w:hAnsi="Times New Roman" w:cs="Times New Roman"/>
          <w:sz w:val="24"/>
          <w:szCs w:val="24"/>
        </w:rPr>
        <w:t xml:space="preserve"> and that it was not a blicket when it did not activate the machine</w:t>
      </w:r>
      <w:r>
        <w:rPr>
          <w:rFonts w:ascii="Times New Roman" w:eastAsia="Times New Roman" w:hAnsi="Times New Roman" w:cs="Times New Roman"/>
          <w:sz w:val="24"/>
          <w:szCs w:val="24"/>
        </w:rPr>
        <w:t>. Their judgments of object B also differed across these conditions. Children were more likely to conclude that object B was a blicket when object A failed to activate the machine than when A activated the machine. Using modified procedures, toddlers and even infants as young as 8 months showed a similar pattern of responses (Sobel &amp; Kirkham, 2006).</w:t>
      </w:r>
    </w:p>
    <w:p w14:paraId="40357EDC" w14:textId="3056BFFA"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w:t>
      </w:r>
      <w:r>
        <w:rPr>
          <w:rFonts w:ascii="Times New Roman" w:eastAsia="Times New Roman" w:hAnsi="Times New Roman" w:cs="Times New Roman"/>
          <w:sz w:val="24"/>
          <w:szCs w:val="24"/>
        </w:rPr>
        <w:lastRenderedPageBreak/>
        <w:t xml:space="preserve">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modified </w:t>
      </w:r>
      <w:proofErr w:type="gramStart"/>
      <w:r>
        <w:rPr>
          <w:rFonts w:ascii="Times New Roman" w:eastAsia="Times New Roman" w:hAnsi="Times New Roman" w:cs="Times New Roman"/>
          <w:sz w:val="24"/>
          <w:szCs w:val="24"/>
        </w:rPr>
        <w:t>version</w:t>
      </w:r>
      <w:proofErr w:type="gramEnd"/>
      <w:r>
        <w:rPr>
          <w:rFonts w:ascii="Times New Roman" w:eastAsia="Times New Roman" w:hAnsi="Times New Roman" w:cs="Times New Roman"/>
          <w:sz w:val="24"/>
          <w:szCs w:val="24"/>
        </w:rPr>
        <w:t xml:space="preserve"> of the Rescorla-Wagner model (e.g., Van Hamme &amp; Wasserman, 1994) do not predict differences in such reasoning when the base rates of the causal effectiveness of an object is manipulated.</w:t>
      </w:r>
    </w:p>
    <w:p w14:paraId="5F509416" w14:textId="308DF001" w:rsidR="00B51B4F" w:rsidRDefault="007C08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w:t>
      </w:r>
      <w:r w:rsidR="00000000">
        <w:rPr>
          <w:rFonts w:ascii="Times New Roman" w:eastAsia="Times New Roman" w:hAnsi="Times New Roman" w:cs="Times New Roman"/>
          <w:sz w:val="24"/>
          <w:szCs w:val="24"/>
        </w:rPr>
        <w:t xml:space="preserve"> are two facets of </w:t>
      </w:r>
      <w:proofErr w:type="gramStart"/>
      <w:r w:rsidR="00000000">
        <w:rPr>
          <w:rFonts w:ascii="Times New Roman" w:eastAsia="Times New Roman" w:hAnsi="Times New Roman" w:cs="Times New Roman"/>
          <w:sz w:val="24"/>
          <w:szCs w:val="24"/>
        </w:rPr>
        <w:t>these</w:t>
      </w:r>
      <w:proofErr w:type="gramEnd"/>
      <w:r w:rsidR="00000000">
        <w:rPr>
          <w:rFonts w:ascii="Times New Roman" w:eastAsia="Times New Roman" w:hAnsi="Times New Roman" w:cs="Times New Roman"/>
          <w:sz w:val="24"/>
          <w:szCs w:val="24"/>
        </w:rPr>
        <w:t xml:space="preserv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w:t>
      </w:r>
      <w:proofErr w:type="gramStart"/>
      <w:r w:rsidR="00000000">
        <w:rPr>
          <w:rFonts w:ascii="Times New Roman" w:eastAsia="Times New Roman" w:hAnsi="Times New Roman" w:cs="Times New Roman"/>
          <w:sz w:val="24"/>
          <w:szCs w:val="24"/>
        </w:rPr>
        <w:t>independently</w:t>
      </w:r>
      <w:proofErr w:type="gramEnd"/>
      <w:r w:rsidR="00000000">
        <w:rPr>
          <w:rFonts w:ascii="Times New Roman" w:eastAsia="Times New Roman" w:hAnsi="Times New Roman" w:cs="Times New Roman"/>
          <w:sz w:val="24"/>
          <w:szCs w:val="24"/>
        </w:rPr>
        <w:t xml:space="preserve"> or the object only shown as part of the initial ambiguous data.</w:t>
      </w:r>
    </w:p>
    <w:p w14:paraId="314E0BDA" w14:textId="56E8C12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although there are investigations suggesting Bayesian models are a better account for children's retrospective reasoning (</w:t>
      </w:r>
      <w:r w:rsidR="008B3EC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w:t>
      </w:r>
      <w:r>
        <w:rPr>
          <w:rFonts w:ascii="Times New Roman" w:eastAsia="Times New Roman" w:hAnsi="Times New Roman" w:cs="Times New Roman"/>
          <w:sz w:val="24"/>
          <w:szCs w:val="24"/>
        </w:rPr>
        <w:lastRenderedPageBreak/>
        <w:t>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733FA880" w14:textId="649FCA3D" w:rsidR="008B3EC6" w:rsidRDefault="00000000" w:rsidP="008B3E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w:t>
      </w:r>
      <w:r w:rsidR="008B3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that children must keep track of n associative value</w:t>
      </w:r>
      <w:r w:rsidR="008B3E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sidR="008B3EC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causal hypotheses is correct. If, instead, children are asked to reason about just two more potential blickets for a total of four candidate blickets, then the underlying </w:t>
      </w:r>
      <w:proofErr w:type="spellStart"/>
      <w:r>
        <w:rPr>
          <w:rFonts w:ascii="Times New Roman" w:eastAsia="Times New Roman" w:hAnsi="Times New Roman" w:cs="Times New Roman"/>
          <w:sz w:val="24"/>
          <w:szCs w:val="24"/>
        </w:rPr>
        <w:t>hypotheis</w:t>
      </w:r>
      <w:proofErr w:type="spellEnd"/>
      <w:r>
        <w:rPr>
          <w:rFonts w:ascii="Times New Roman" w:eastAsia="Times New Roman" w:hAnsi="Times New Roman" w:cs="Times New Roman"/>
          <w:sz w:val="24"/>
          <w:szCs w:val="24"/>
        </w:rPr>
        <w:t xml:space="preserve">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potential causal hypotheses. Thus, if children are sensitive to this increase in the size of the underlying hypothesis space and they possess limited information-processing abilities, then they might rely on simpler modes of processing such as associative learning than on more sophisticated forms of thinking that approximate normative Bayesian inference.</w:t>
      </w:r>
      <w:r w:rsidR="008B3EC6">
        <w:rPr>
          <w:rFonts w:ascii="Times New Roman" w:eastAsia="Times New Roman" w:hAnsi="Times New Roman" w:cs="Times New Roman"/>
          <w:sz w:val="24"/>
          <w:szCs w:val="24"/>
        </w:rPr>
        <w:t xml:space="preserve"> The premise is that children have both associative and more rational causal reasoning mechanisms, but default to the former under more information processing demands.</w:t>
      </w:r>
    </w:p>
    <w:p w14:paraId="1A296757" w14:textId="6C3026F7" w:rsidR="00B51B4F" w:rsidRDefault="00B51B4F">
      <w:pPr>
        <w:spacing w:after="0" w:line="480" w:lineRule="auto"/>
        <w:ind w:firstLine="720"/>
        <w:rPr>
          <w:rFonts w:ascii="Times New Roman" w:eastAsia="Times New Roman" w:hAnsi="Times New Roman" w:cs="Times New Roman"/>
          <w:sz w:val="24"/>
          <w:szCs w:val="24"/>
        </w:rPr>
      </w:pPr>
    </w:p>
    <w:p w14:paraId="416E3079"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3B4670D1" w14:textId="712E899A"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w:t>
      </w:r>
      <w:r w:rsidR="008B3EC6">
        <w:rPr>
          <w:rFonts w:ascii="Times New Roman" w:eastAsia="Times New Roman" w:hAnsi="Times New Roman" w:cs="Times New Roman"/>
          <w:sz w:val="24"/>
          <w:szCs w:val="24"/>
        </w:rPr>
        <w:t xml:space="preserve"> causal</w:t>
      </w:r>
      <w:r>
        <w:rPr>
          <w:rFonts w:ascii="Times New Roman" w:eastAsia="Times New Roman" w:hAnsi="Times New Roman" w:cs="Times New Roman"/>
          <w:sz w:val="24"/>
          <w:szCs w:val="24"/>
        </w:rPr>
        <w:t xml:space="preserve"> reasoning tasks, as the information demands of the procedure increase, only older children between 3 and 7 years of age succeed (Fernbach et al., 2012;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r>
        <w:rPr>
          <w:rFonts w:ascii="Times New Roman" w:eastAsia="Times New Roman" w:hAnsi="Times New Roman" w:cs="Times New Roman"/>
          <w:sz w:val="24"/>
          <w:szCs w:val="24"/>
        </w:rPr>
        <w:lastRenderedPageBreak/>
        <w:t xml:space="preserve">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1862DA1E"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were better explained by Bayesian inference, associative learning, or both.  </w:t>
      </w:r>
    </w:p>
    <w:p w14:paraId="235682B9"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8E1B42B" w14:textId="3D51E32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6-year-olds observed three objects (A, B, and C) together cause a machine to activate. Then they observed that object A either caused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trials) or failed to cause </w:t>
      </w:r>
      <w:r w:rsidR="008B3EC6">
        <w:rPr>
          <w:rFonts w:ascii="Times New Roman" w:eastAsia="Times New Roman" w:hAnsi="Times New Roman" w:cs="Times New Roman"/>
          <w:sz w:val="24"/>
          <w:szCs w:val="24"/>
        </w:rPr>
        <w:t xml:space="preserve">(Indirect Screening-Off trials) </w:t>
      </w:r>
      <w:r>
        <w:rPr>
          <w:rFonts w:ascii="Times New Roman" w:eastAsia="Times New Roman" w:hAnsi="Times New Roman" w:cs="Times New Roman"/>
          <w:sz w:val="24"/>
          <w:szCs w:val="24"/>
        </w:rPr>
        <w:t xml:space="preserve">the machine to activate by itself. They were then asked whether each object individually caused the machine to activate. These experimental trials were </w:t>
      </w:r>
      <w:r>
        <w:rPr>
          <w:rFonts w:ascii="Times New Roman" w:eastAsia="Times New Roman" w:hAnsi="Times New Roman" w:cs="Times New Roman"/>
          <w:sz w:val="24"/>
          <w:szCs w:val="24"/>
        </w:rPr>
        <w:lastRenderedPageBreak/>
        <w:t>compared to control trials in which children observed three different objects (A’, B’ and C’) activate the machine together, followed by a fourth object (D), which either did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control) or did not (</w:t>
      </w:r>
      <w:r w:rsidR="00C717F0">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control) make the machine activate. </w:t>
      </w:r>
    </w:p>
    <w:p w14:paraId="78231398" w14:textId="3E0CC1E4" w:rsidR="00B51B4F" w:rsidRDefault="008B3EC6">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r>
        <w:rPr>
          <w:rFonts w:ascii="Times New Roman" w:eastAsia="Times New Roman" w:hAnsi="Times New Roman" w:cs="Times New Roman"/>
          <w:b/>
          <w:sz w:val="24"/>
          <w:szCs w:val="24"/>
        </w:rPr>
        <w:t>Method</w:t>
      </w:r>
    </w:p>
    <w:p w14:paraId="74B39983" w14:textId="3CDD7F02" w:rsidR="00B51B4F" w:rsidRDefault="0000000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lastRenderedPageBreak/>
        <w:t xml:space="preserve">Participants.  </w:t>
      </w:r>
      <w:r>
        <w:rPr>
          <w:rFonts w:ascii="Times New Roman" w:eastAsia="Times New Roman" w:hAnsi="Times New Roman" w:cs="Times New Roman"/>
          <w:sz w:val="24"/>
          <w:szCs w:val="24"/>
        </w:rPr>
        <w:t xml:space="preserve">Participants were 32 </w:t>
      </w:r>
      <w:r w:rsidR="00B9593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w:t>
      </w:r>
      <w:r w:rsidR="00B9593E">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9153AFD" w14:textId="77777777" w:rsidR="00B51B4F" w:rsidRDefault="0000000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w:t>
      </w:r>
      <w:r>
        <w:rPr>
          <w:rFonts w:ascii="Times New Roman" w:eastAsia="Times New Roman" w:hAnsi="Times New Roman" w:cs="Times New Roman"/>
          <w:sz w:val="24"/>
          <w:szCs w:val="24"/>
        </w:rPr>
        <w:lastRenderedPageBreak/>
        <w:t xml:space="preserve">script, which experimenters, but not the study participants, read. All video events were created in Microsoft PowerPoint. </w:t>
      </w:r>
    </w:p>
    <w:p w14:paraId="2E84D441" w14:textId="576BA55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All study procedures were reviewed and approved by the University’s Institutional Review Board, and parental informed consent was obtained before each experimental session. Participants were tested in a quiet room in a local children’s museum. At the beginning of the experiment, all participants were shown a pretraining video.</w:t>
      </w:r>
      <w:r w:rsidR="008B3EC6">
        <w:rPr>
          <w:rFonts w:ascii="Times New Roman" w:eastAsia="Times New Roman" w:hAnsi="Times New Roman" w:cs="Times New Roman"/>
          <w:sz w:val="24"/>
          <w:szCs w:val="24"/>
        </w:rPr>
        <w:t xml:space="preserve"> The text, “We’re going to play a game with my machine. This is a very special machine. It’s my blicket machine. Blickets make the machine go. So, let’s find all the blickets.”</w:t>
      </w:r>
      <w:r>
        <w:rPr>
          <w:rFonts w:ascii="Times New Roman" w:eastAsia="Times New Roman" w:hAnsi="Times New Roman" w:cs="Times New Roman"/>
          <w:sz w:val="24"/>
          <w:szCs w:val="24"/>
        </w:rPr>
        <w:t xml:space="preserve">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8CF7B02" w14:textId="71E8D5E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pretraining phase, participants were given four trials. Half the participants received two backwards blocking experimental trials and two backwards blocking control trials. The other half received two indirect screening-off experimental </w:t>
      </w:r>
      <w:r w:rsidR="00B9593E">
        <w:rPr>
          <w:rFonts w:ascii="Times New Roman" w:eastAsia="Times New Roman" w:hAnsi="Times New Roman" w:cs="Times New Roman"/>
          <w:sz w:val="24"/>
          <w:szCs w:val="24"/>
        </w:rPr>
        <w:t xml:space="preserve">trials </w:t>
      </w:r>
      <w:r>
        <w:rPr>
          <w:rFonts w:ascii="Times New Roman" w:eastAsia="Times New Roman" w:hAnsi="Times New Roman" w:cs="Times New Roman"/>
          <w:sz w:val="24"/>
          <w:szCs w:val="24"/>
        </w:rPr>
        <w:t xml:space="preserve">and two indirect screening-off control trials. The order of these trials within each condition was counterbalanced using a </w:t>
      </w:r>
      <w:r>
        <w:rPr>
          <w:rFonts w:ascii="Times New Roman" w:eastAsia="Times New Roman" w:hAnsi="Times New Roman" w:cs="Times New Roman"/>
          <w:sz w:val="24"/>
          <w:szCs w:val="24"/>
        </w:rPr>
        <w:lastRenderedPageBreak/>
        <w:t>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0AAEDAD0" w14:textId="77777777" w:rsidR="00B51B4F" w:rsidRDefault="00B51B4F">
      <w:pPr>
        <w:spacing w:after="0" w:line="480" w:lineRule="auto"/>
        <w:ind w:firstLine="720"/>
        <w:rPr>
          <w:rFonts w:ascii="Times New Roman" w:eastAsia="Times New Roman" w:hAnsi="Times New Roman" w:cs="Times New Roman"/>
          <w:sz w:val="24"/>
          <w:szCs w:val="24"/>
        </w:rPr>
      </w:pPr>
    </w:p>
    <w:p w14:paraId="710D244B" w14:textId="77777777" w:rsidR="00B51B4F" w:rsidRDefault="00000000">
      <w:pPr>
        <w:keepNext/>
        <w:spacing w:line="480" w:lineRule="auto"/>
      </w:pPr>
      <w:r>
        <w:rPr>
          <w:rFonts w:ascii="Times New Roman" w:eastAsia="Times New Roman" w:hAnsi="Times New Roman" w:cs="Times New Roman"/>
          <w:noProof/>
          <w:sz w:val="24"/>
          <w:szCs w:val="24"/>
        </w:rPr>
        <w:drawing>
          <wp:inline distT="0" distB="0" distL="0" distR="0" wp14:anchorId="14F6E7C2" wp14:editId="5F25C5B5">
            <wp:extent cx="3870290" cy="4143194"/>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20363D12"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5BD19DB3"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w:t>
      </w:r>
      <w:r>
        <w:rPr>
          <w:rFonts w:ascii="Times New Roman" w:eastAsia="Times New Roman" w:hAnsi="Times New Roman" w:cs="Times New Roman"/>
          <w:sz w:val="24"/>
          <w:szCs w:val="24"/>
        </w:rPr>
        <w:lastRenderedPageBreak/>
        <w:t xml:space="preserve">contacted and activated the machine. At this point, the text, “Look, these also make the machine go!” appeared above the objects. The objects then returned to their starting positions.  </w:t>
      </w:r>
    </w:p>
    <w:p w14:paraId="139BC4C8"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59D8DD9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6FB98E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3C99914A" w14:textId="77777777" w:rsidR="00B51B4F" w:rsidRDefault="00B51B4F">
      <w:pPr>
        <w:spacing w:after="0" w:line="480" w:lineRule="auto"/>
        <w:ind w:firstLine="720"/>
        <w:rPr>
          <w:rFonts w:ascii="Times New Roman" w:eastAsia="Times New Roman" w:hAnsi="Times New Roman" w:cs="Times New Roman"/>
          <w:sz w:val="24"/>
          <w:szCs w:val="24"/>
        </w:rPr>
      </w:pPr>
    </w:p>
    <w:tbl>
      <w:tblPr>
        <w:tblStyle w:val="a"/>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B51B4F" w14:paraId="5C515684" w14:textId="77777777">
        <w:tc>
          <w:tcPr>
            <w:tcW w:w="3544" w:type="dxa"/>
            <w:tcBorders>
              <w:top w:val="single" w:sz="4" w:space="0" w:color="000000"/>
              <w:left w:val="nil"/>
              <w:bottom w:val="single" w:sz="4" w:space="0" w:color="000000"/>
              <w:right w:val="nil"/>
            </w:tcBorders>
          </w:tcPr>
          <w:p w14:paraId="6A67857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20773DC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989F38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0BC55981" w14:textId="77777777">
        <w:tc>
          <w:tcPr>
            <w:tcW w:w="3544" w:type="dxa"/>
            <w:tcBorders>
              <w:top w:val="single" w:sz="4" w:space="0" w:color="000000"/>
              <w:left w:val="nil"/>
              <w:bottom w:val="nil"/>
              <w:right w:val="nil"/>
            </w:tcBorders>
          </w:tcPr>
          <w:p w14:paraId="3770EE2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Backwards blocking (experimental)</w:t>
            </w:r>
          </w:p>
        </w:tc>
        <w:tc>
          <w:tcPr>
            <w:tcW w:w="2689" w:type="dxa"/>
            <w:tcBorders>
              <w:top w:val="single" w:sz="4" w:space="0" w:color="000000"/>
              <w:left w:val="nil"/>
              <w:bottom w:val="nil"/>
              <w:right w:val="nil"/>
            </w:tcBorders>
          </w:tcPr>
          <w:p w14:paraId="026E279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56F18D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64080D8B" w14:textId="77777777">
        <w:tc>
          <w:tcPr>
            <w:tcW w:w="3544" w:type="dxa"/>
            <w:tcBorders>
              <w:top w:val="nil"/>
              <w:left w:val="nil"/>
              <w:bottom w:val="nil"/>
              <w:right w:val="nil"/>
            </w:tcBorders>
          </w:tcPr>
          <w:p w14:paraId="2D074E4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0C52DE4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225ED2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B51B4F" w14:paraId="7C89E8FF" w14:textId="77777777">
        <w:tc>
          <w:tcPr>
            <w:tcW w:w="3544" w:type="dxa"/>
            <w:tcBorders>
              <w:top w:val="nil"/>
              <w:left w:val="nil"/>
              <w:bottom w:val="nil"/>
              <w:right w:val="nil"/>
            </w:tcBorders>
          </w:tcPr>
          <w:p w14:paraId="23FC6A8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2590BA5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3C49F6B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1AB710F0" w14:textId="77777777">
        <w:tc>
          <w:tcPr>
            <w:tcW w:w="3544" w:type="dxa"/>
            <w:tcBorders>
              <w:top w:val="nil"/>
              <w:left w:val="nil"/>
              <w:bottom w:val="single" w:sz="4" w:space="0" w:color="000000"/>
              <w:right w:val="nil"/>
            </w:tcBorders>
          </w:tcPr>
          <w:p w14:paraId="51BC72C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458C04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279F0607"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7C118B38"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4816E0D9" w14:textId="77777777" w:rsidR="00B51B4F"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0BCC843" w14:textId="77777777" w:rsidR="00B51B4F" w:rsidRDefault="00B51B4F">
      <w:pPr>
        <w:keepNext/>
        <w:spacing w:after="0" w:line="240" w:lineRule="auto"/>
        <w:rPr>
          <w:rFonts w:ascii="Times New Roman" w:eastAsia="Times New Roman" w:hAnsi="Times New Roman" w:cs="Times New Roman"/>
          <w:b/>
          <w:sz w:val="24"/>
          <w:szCs w:val="24"/>
        </w:rPr>
      </w:pPr>
    </w:p>
    <w:p w14:paraId="555B8D9A" w14:textId="5EDAD4F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w:t>
      </w:r>
      <w:r w:rsidR="008B3EC6">
        <w:rPr>
          <w:rFonts w:ascii="Times New Roman" w:eastAsia="Times New Roman" w:hAnsi="Times New Roman" w:cs="Times New Roman"/>
          <w:sz w:val="24"/>
          <w:szCs w:val="24"/>
        </w:rPr>
        <w:t>All analyses were conducted with the lme4 package in R (Bates et al., 2015).  Deidentified data for all experiments, along with all analysis code, is available on OSF (</w:t>
      </w:r>
      <w:r w:rsidR="00C11047" w:rsidRPr="00C11047">
        <w:rPr>
          <w:rFonts w:ascii="Times New Roman" w:eastAsia="Times New Roman" w:hAnsi="Times New Roman" w:cs="Times New Roman"/>
          <w:sz w:val="24"/>
          <w:szCs w:val="24"/>
        </w:rPr>
        <w:t>https://osf.io/n6mvq/?view_only=a6b8231a6b9743c7bfe896ba1eab58f3</w:t>
      </w:r>
      <w:r w:rsidR="008B3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were entered into a five-way mixed-effects logistic regression with Age as a continuous fixed effect, Condition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ackwards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locking vs. </w:t>
      </w:r>
      <w:r w:rsidR="00A56A4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ndirect </w:t>
      </w:r>
      <w:r w:rsidR="00A56A4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creening-</w:t>
      </w:r>
      <w:r w:rsidR="00A56A4D">
        <w:rPr>
          <w:rFonts w:ascii="Times New Roman" w:eastAsia="Times New Roman" w:hAnsi="Times New Roman" w:cs="Times New Roman"/>
          <w:sz w:val="24"/>
          <w:szCs w:val="24"/>
        </w:rPr>
        <w:t>O</w:t>
      </w:r>
      <w:r>
        <w:rPr>
          <w:rFonts w:ascii="Times New Roman" w:eastAsia="Times New Roman" w:hAnsi="Times New Roman" w:cs="Times New Roman"/>
          <w:sz w:val="24"/>
          <w:szCs w:val="24"/>
        </w:rPr>
        <w:t>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4542FED" w14:textId="1D773D5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w:t>
      </w:r>
      <w:r w:rsidR="0065176E">
        <w:rPr>
          <w:rFonts w:ascii="Times New Roman" w:eastAsia="Times New Roman" w:hAnsi="Times New Roman" w:cs="Times New Roman"/>
          <w:sz w:val="24"/>
          <w:szCs w:val="24"/>
        </w:rPr>
        <w:t>logistic regressions</w:t>
      </w:r>
      <w:r>
        <w:rPr>
          <w:rFonts w:ascii="Times New Roman" w:eastAsia="Times New Roman" w:hAnsi="Times New Roman" w:cs="Times New Roman"/>
          <w:sz w:val="24"/>
          <w:szCs w:val="24"/>
        </w:rPr>
        <w:t xml:space="preserve"> separately for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and </w:t>
      </w:r>
      <w:r w:rsidR="0065176E">
        <w:rPr>
          <w:rFonts w:ascii="Times New Roman" w:eastAsia="Times New Roman" w:hAnsi="Times New Roman" w:cs="Times New Roman"/>
          <w:sz w:val="24"/>
          <w:szCs w:val="24"/>
        </w:rPr>
        <w:t>Indirect Screening-Off conditions</w:t>
      </w:r>
      <w:r>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65176E">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experimental and control trials within the </w:t>
      </w:r>
      <w:r w:rsidR="0065176E">
        <w:rPr>
          <w:rFonts w:ascii="Times New Roman" w:eastAsia="Times New Roman" w:hAnsi="Times New Roman" w:cs="Times New Roman"/>
          <w:sz w:val="24"/>
          <w:szCs w:val="24"/>
        </w:rPr>
        <w:lastRenderedPageBreak/>
        <w:t>Backwards Blocking</w:t>
      </w:r>
      <w:r>
        <w:rPr>
          <w:rFonts w:ascii="Times New Roman" w:eastAsia="Times New Roman" w:hAnsi="Times New Roman" w:cs="Times New Roman"/>
          <w:sz w:val="24"/>
          <w:szCs w:val="24"/>
        </w:rPr>
        <w:t xml:space="preserve"> condition. The Objects factor was treated as the sole within-participants fixed effect in these follow-up analyses. Participants were once again treated as a random effect to control for the within-participant variance from multiple responses. The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In contrast, the second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experimental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CBF6EEB" w14:textId="5BB2A1F1" w:rsidR="00B51B4F" w:rsidRDefault="0000000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w:t>
      </w:r>
      <w:r w:rsidR="0065176E">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mixed-effects regressions for the experimental and control trials within the </w:t>
      </w:r>
      <w:r w:rsidR="0053448D">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770EDC59"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471E8E7D" wp14:editId="7A4D342A">
            <wp:extent cx="5046812" cy="3309005"/>
            <wp:effectExtent l="0" t="0" r="0" b="0"/>
            <wp:docPr id="3" name="image3.png"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number of bars&#10;&#10;Description automatically generated with medium confidence"/>
                    <pic:cNvPicPr preferRelativeResize="0"/>
                  </pic:nvPicPr>
                  <pic:blipFill>
                    <a:blip r:embed="rId7"/>
                    <a:srcRect/>
                    <a:stretch>
                      <a:fillRect/>
                    </a:stretch>
                  </pic:blipFill>
                  <pic:spPr>
                    <a:xfrm>
                      <a:off x="0" y="0"/>
                      <a:ext cx="5046812" cy="3309005"/>
                    </a:xfrm>
                    <a:prstGeom prst="rect">
                      <a:avLst/>
                    </a:prstGeom>
                    <a:ln/>
                  </pic:spPr>
                </pic:pic>
              </a:graphicData>
            </a:graphic>
          </wp:inline>
        </w:drawing>
      </w:r>
    </w:p>
    <w:p w14:paraId="10283E44"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The counts of participants’ responses to whether each object was a blicket across the conditions and trial types. Bars show standard error.</w:t>
      </w:r>
    </w:p>
    <w:p w14:paraId="72E97AF6" w14:textId="77777777" w:rsidR="00B51B4F" w:rsidRDefault="00B51B4F">
      <w:pPr>
        <w:keepNext/>
        <w:spacing w:after="0" w:line="240" w:lineRule="auto"/>
        <w:rPr>
          <w:rFonts w:ascii="Times New Roman" w:eastAsia="Times New Roman" w:hAnsi="Times New Roman" w:cs="Times New Roman"/>
          <w:sz w:val="24"/>
          <w:szCs w:val="24"/>
        </w:rPr>
      </w:pPr>
    </w:p>
    <w:p w14:paraId="021F1B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88A5" w14:textId="31266BB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w:t>
      </w:r>
      <w:r w:rsidR="00C8142F">
        <w:rPr>
          <w:rFonts w:ascii="Times New Roman" w:eastAsia="Times New Roman" w:hAnsi="Times New Roman" w:cs="Times New Roman"/>
          <w:sz w:val="24"/>
          <w:szCs w:val="24"/>
        </w:rPr>
        <w:t xml:space="preserve">Backwards Blocking condition </w:t>
      </w:r>
      <w:r>
        <w:rPr>
          <w:rFonts w:ascii="Times New Roman" w:eastAsia="Times New Roman" w:hAnsi="Times New Roman" w:cs="Times New Roman"/>
          <w:sz w:val="24"/>
          <w:szCs w:val="24"/>
        </w:rPr>
        <w:t xml:space="preserve">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(1) = 17.</w:t>
      </w:r>
      <w:r w:rsidR="00D80C23">
        <w:rPr>
          <w:rFonts w:ascii="Times New Roman" w:eastAsia="Times New Roman" w:hAnsi="Times New Roman" w:cs="Times New Roman"/>
          <w:sz w:val="24"/>
          <w:szCs w:val="24"/>
        </w:rPr>
        <w:t>72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w:t>
      </w:r>
      <w:r w:rsidR="00C8142F">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showed that participants were less likely to 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7E662BA9" w14:textId="1BAC3AB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w:t>
      </w:r>
      <w:r>
        <w:rPr>
          <w:rFonts w:ascii="Times New Roman" w:eastAsia="Times New Roman" w:hAnsi="Times New Roman" w:cs="Times New Roman"/>
          <w:sz w:val="24"/>
          <w:szCs w:val="24"/>
        </w:rPr>
        <w:lastRenderedPageBreak/>
        <w:t>a follow-up</w:t>
      </w:r>
      <w:r w:rsidR="00C81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sidR="00D80C23">
        <w:rPr>
          <w:rFonts w:ascii="Times New Roman" w:eastAsia="Times New Roman" w:hAnsi="Times New Roman" w:cs="Times New Roman"/>
          <w:sz w:val="24"/>
          <w:szCs w:val="24"/>
        </w:rPr>
        <w:t>052</w:t>
      </w:r>
      <w:r>
        <w:rPr>
          <w:rFonts w:ascii="Times New Roman" w:eastAsia="Times New Roman" w:hAnsi="Times New Roman" w:cs="Times New Roman"/>
          <w:sz w:val="24"/>
          <w:szCs w:val="24"/>
        </w:rPr>
        <w:t xml:space="preserve">. </w:t>
      </w:r>
    </w:p>
    <w:p w14:paraId="30A5DDC5" w14:textId="77777777" w:rsidR="00B51B4F" w:rsidRDefault="00B51B4F">
      <w:pPr>
        <w:spacing w:after="0" w:line="480" w:lineRule="auto"/>
        <w:ind w:firstLine="720"/>
        <w:rPr>
          <w:rFonts w:ascii="Times New Roman" w:eastAsia="Times New Roman" w:hAnsi="Times New Roman" w:cs="Times New Roman"/>
          <w:sz w:val="24"/>
          <w:szCs w:val="24"/>
        </w:rPr>
      </w:pPr>
    </w:p>
    <w:p w14:paraId="66398D48"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8EDDE4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6874D21C" w14:textId="6A66A58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w:t>
      </w:r>
      <w:r w:rsidR="00C8142F">
        <w:rPr>
          <w:rFonts w:ascii="Times New Roman" w:eastAsia="Times New Roman" w:hAnsi="Times New Roman" w:cs="Times New Roman"/>
          <w:sz w:val="24"/>
          <w:szCs w:val="24"/>
        </w:rPr>
        <w:t>possible cognitive mechanisms that might underlie these data,</w:t>
      </w:r>
      <w:r>
        <w:rPr>
          <w:rFonts w:ascii="Times New Roman" w:eastAsia="Times New Roman" w:hAnsi="Times New Roman" w:cs="Times New Roman"/>
          <w:sz w:val="24"/>
          <w:szCs w:val="24"/>
        </w:rPr>
        <w:t xml:space="preserve"> we wanted to consider a second, related</w:t>
      </w:r>
      <w:r w:rsidR="00D80C23">
        <w:rPr>
          <w:rFonts w:ascii="Times New Roman" w:eastAsia="Times New Roman" w:hAnsi="Times New Roman" w:cs="Times New Roman"/>
          <w:sz w:val="24"/>
          <w:szCs w:val="24"/>
        </w:rPr>
        <w:t xml:space="preserve"> type of</w:t>
      </w:r>
      <w:r>
        <w:rPr>
          <w:rFonts w:ascii="Times New Roman" w:eastAsia="Times New Roman" w:hAnsi="Times New Roman" w:cs="Times New Roman"/>
          <w:sz w:val="24"/>
          <w:szCs w:val="24"/>
        </w:rPr>
        <w:t xml:space="preserve"> retrospective inference. In Experiment 1, following the ABC+ event participants were either shown an A+ event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or an A- event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Experiment 2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Experiment 1 except for what children observed following the ABC+ events (e.g., McCormack et al., 2009). In the experimental trial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they observed an AB+ event during the second learning phase; in the control trial in the same condition, children observed a DE+ event during the second learning phase. Children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were shown the same series of events except that the machine did not activate. If children’s ability to engage in various forms of retrospective reevaluation is related to their </w:t>
      </w:r>
      <w:r>
        <w:rPr>
          <w:rFonts w:ascii="Times New Roman" w:eastAsia="Times New Roman" w:hAnsi="Times New Roman" w:cs="Times New Roman"/>
          <w:sz w:val="24"/>
          <w:szCs w:val="24"/>
        </w:rPr>
        <w:lastRenderedPageBreak/>
        <w:t xml:space="preserve">information processing, in Experiment 2 children should be less likely to engage in retrospective reevaluation than </w:t>
      </w:r>
      <w:r w:rsidR="00BB542D">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Experiment 1. </w:t>
      </w:r>
    </w:p>
    <w:p w14:paraId="64AD5C3A"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9B81807" w14:textId="1E7A91A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w:t>
      </w:r>
      <w:r w:rsidR="00D80C23">
        <w:rPr>
          <w:rFonts w:ascii="Times New Roman" w:eastAsia="Times New Roman" w:hAnsi="Times New Roman" w:cs="Times New Roman"/>
          <w:sz w:val="24"/>
          <w:szCs w:val="24"/>
        </w:rPr>
        <w:t>analogous to</w:t>
      </w:r>
      <w:r>
        <w:rPr>
          <w:rFonts w:ascii="Times New Roman" w:eastAsia="Times New Roman" w:hAnsi="Times New Roman" w:cs="Times New Roman"/>
          <w:sz w:val="24"/>
          <w:szCs w:val="24"/>
        </w:rPr>
        <w:t xml:space="preserve"> Experiment 1 except for the number of objects that were placed on the machine during the second part of the experimental</w:t>
      </w:r>
      <w:r w:rsidR="00BB542D">
        <w:rPr>
          <w:rFonts w:ascii="Times New Roman" w:eastAsia="Times New Roman" w:hAnsi="Times New Roman" w:cs="Times New Roman"/>
          <w:sz w:val="24"/>
          <w:szCs w:val="24"/>
        </w:rPr>
        <w:t xml:space="preserve"> and control</w:t>
      </w:r>
      <w:r>
        <w:rPr>
          <w:rFonts w:ascii="Times New Roman" w:eastAsia="Times New Roman" w:hAnsi="Times New Roman" w:cs="Times New Roman"/>
          <w:sz w:val="24"/>
          <w:szCs w:val="24"/>
        </w:rPr>
        <w:t xml:space="preserve"> trials. In the experimental trial, children were shown that three objects activated the machine together, and then</w:t>
      </w:r>
      <w:r w:rsidR="009E278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two of those three objects either did </w:t>
      </w:r>
      <w:r w:rsidR="009E278A">
        <w:rPr>
          <w:rFonts w:ascii="Times New Roman" w:eastAsia="Times New Roman" w:hAnsi="Times New Roman" w:cs="Times New Roman"/>
          <w:sz w:val="24"/>
          <w:szCs w:val="24"/>
        </w:rPr>
        <w:t>or did not activate the machine when they were placed on it together.</w:t>
      </w:r>
      <w:r>
        <w:rPr>
          <w:rFonts w:ascii="Times New Roman" w:eastAsia="Times New Roman" w:hAnsi="Times New Roman" w:cs="Times New Roman"/>
          <w:sz w:val="24"/>
          <w:szCs w:val="24"/>
        </w:rPr>
        <w:t xml:space="preserve"> These data were compared with a control trial in which three different objects activated the machine, and then two additional novel objects either did or did not activate the machine in tandem. </w:t>
      </w:r>
    </w:p>
    <w:p w14:paraId="567EA127"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2F9427D" w14:textId="11569983"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w:t>
      </w:r>
      <w:r w:rsidR="00D80C23">
        <w:rPr>
          <w:rFonts w:ascii="Times New Roman" w:eastAsia="Times New Roman" w:hAnsi="Times New Roman" w:cs="Times New Roman"/>
          <w:sz w:val="24"/>
          <w:szCs w:val="24"/>
        </w:rPr>
        <w:t>, but no other specific demographic data were collected (see Experiment 1 for overall demographic data from the laboratory)</w:t>
      </w:r>
      <w:r>
        <w:rPr>
          <w:rFonts w:ascii="Times New Roman" w:eastAsia="Times New Roman" w:hAnsi="Times New Roman" w:cs="Times New Roman"/>
          <w:sz w:val="24"/>
          <w:szCs w:val="24"/>
        </w:rPr>
        <w:t>.</w:t>
      </w:r>
    </w:p>
    <w:p w14:paraId="3F788FC6" w14:textId="23464C32"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w:t>
      </w:r>
      <w:r w:rsidR="006062B9">
        <w:rPr>
          <w:rFonts w:ascii="Times New Roman" w:eastAsia="Times New Roman" w:hAnsi="Times New Roman" w:cs="Times New Roman"/>
          <w:sz w:val="24"/>
          <w:szCs w:val="24"/>
        </w:rPr>
        <w:t>experimental trials in the Backwards Blocking condition</w:t>
      </w:r>
      <w:r>
        <w:rPr>
          <w:rFonts w:ascii="Times New Roman" w:eastAsia="Times New Roman" w:hAnsi="Times New Roman" w:cs="Times New Roman"/>
          <w:sz w:val="24"/>
          <w:szCs w:val="24"/>
        </w:rPr>
        <w:t xml:space="preserve"> following an event in which objects A, B, and C together activated the machine, two objects</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and B</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descended onto and subsequently caused the machine to activate. Likewise, during the </w:t>
      </w:r>
      <w:r w:rsidR="006062B9">
        <w:rPr>
          <w:rFonts w:ascii="Times New Roman" w:eastAsia="Times New Roman" w:hAnsi="Times New Roman" w:cs="Times New Roman"/>
          <w:sz w:val="24"/>
          <w:szCs w:val="24"/>
        </w:rPr>
        <w:t>control trials in the same condition</w:t>
      </w:r>
      <w:r>
        <w:rPr>
          <w:rFonts w:ascii="Times New Roman" w:eastAsia="Times New Roman" w:hAnsi="Times New Roman" w:cs="Times New Roman"/>
          <w:sz w:val="24"/>
          <w:szCs w:val="24"/>
        </w:rPr>
        <w:t xml:space="preserve"> which consisted of 5 objects (i.e., objects A-E), objects D and E descended onto and subsequently caused the </w:t>
      </w:r>
      <w:r>
        <w:rPr>
          <w:rFonts w:ascii="Times New Roman" w:eastAsia="Times New Roman" w:hAnsi="Times New Roman" w:cs="Times New Roman"/>
          <w:sz w:val="24"/>
          <w:szCs w:val="24"/>
        </w:rPr>
        <w:lastRenderedPageBreak/>
        <w:t>machine to activate. Objects D and E did not descend onto the machine during the initial event in which A, B, and C activated the machine and in this way were unrelated to objects A, B, and C. The</w:t>
      </w:r>
      <w:r w:rsidR="005468F4">
        <w:rPr>
          <w:rFonts w:ascii="Times New Roman" w:eastAsia="Times New Roman" w:hAnsi="Times New Roman" w:cs="Times New Roman"/>
          <w:sz w:val="24"/>
          <w:szCs w:val="24"/>
        </w:rPr>
        <w:t xml:space="preserve"> experimental and control trials in the Indirect Screening-Off condition</w:t>
      </w:r>
      <w:r>
        <w:rPr>
          <w:rFonts w:ascii="Times New Roman" w:eastAsia="Times New Roman" w:hAnsi="Times New Roman" w:cs="Times New Roman"/>
          <w:sz w:val="24"/>
          <w:szCs w:val="24"/>
        </w:rPr>
        <w:t xml:space="preserve">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B51B4F" w14:paraId="29C9E588" w14:textId="77777777">
        <w:tc>
          <w:tcPr>
            <w:tcW w:w="3828" w:type="dxa"/>
            <w:tcBorders>
              <w:top w:val="single" w:sz="4" w:space="0" w:color="000000"/>
              <w:left w:val="nil"/>
              <w:bottom w:val="single" w:sz="4" w:space="0" w:color="000000"/>
              <w:right w:val="nil"/>
            </w:tcBorders>
          </w:tcPr>
          <w:p w14:paraId="0F307B05"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51EC2B5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6C4839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501DC4AA" w14:textId="77777777">
        <w:tc>
          <w:tcPr>
            <w:tcW w:w="3828" w:type="dxa"/>
            <w:tcBorders>
              <w:top w:val="single" w:sz="4" w:space="0" w:color="000000"/>
              <w:left w:val="nil"/>
              <w:bottom w:val="nil"/>
              <w:right w:val="nil"/>
            </w:tcBorders>
          </w:tcPr>
          <w:p w14:paraId="417767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1CD4065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0D033BE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31F6F830" w14:textId="77777777">
        <w:tc>
          <w:tcPr>
            <w:tcW w:w="3828" w:type="dxa"/>
            <w:tcBorders>
              <w:top w:val="nil"/>
              <w:left w:val="nil"/>
              <w:bottom w:val="nil"/>
              <w:right w:val="nil"/>
            </w:tcBorders>
          </w:tcPr>
          <w:p w14:paraId="210E8CF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4643C0F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4DC12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B51B4F" w14:paraId="75E2266B" w14:textId="77777777">
        <w:tc>
          <w:tcPr>
            <w:tcW w:w="3828" w:type="dxa"/>
            <w:tcBorders>
              <w:top w:val="nil"/>
              <w:left w:val="nil"/>
              <w:bottom w:val="nil"/>
              <w:right w:val="nil"/>
            </w:tcBorders>
          </w:tcPr>
          <w:p w14:paraId="6A9C242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324AAE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BDA14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1FF1F836" w14:textId="77777777">
        <w:tc>
          <w:tcPr>
            <w:tcW w:w="3828" w:type="dxa"/>
            <w:tcBorders>
              <w:top w:val="nil"/>
              <w:left w:val="nil"/>
              <w:bottom w:val="single" w:sz="4" w:space="0" w:color="000000"/>
              <w:right w:val="nil"/>
            </w:tcBorders>
          </w:tcPr>
          <w:p w14:paraId="7FE8DC1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23505D1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5D0EE848"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20CBF23B"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4B188744" w14:textId="77777777" w:rsidR="00B51B4F" w:rsidRDefault="00B51B4F">
      <w:pPr>
        <w:spacing w:after="0" w:line="480" w:lineRule="auto"/>
        <w:rPr>
          <w:rFonts w:ascii="Times New Roman" w:eastAsia="Times New Roman" w:hAnsi="Times New Roman" w:cs="Times New Roman"/>
          <w:sz w:val="24"/>
          <w:szCs w:val="24"/>
        </w:rPr>
      </w:pPr>
    </w:p>
    <w:p w14:paraId="070A20A3"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92B408" w14:textId="58A3628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shows participants’ responses to “Is this a blicket” for each object. Data were entered into a five-way mixed-effects logistic regression model with Age as a continuous fixed effect, Condition (Backwards </w:t>
      </w:r>
      <w:r w:rsidR="005468F4">
        <w:rPr>
          <w:rFonts w:ascii="Times New Roman" w:eastAsia="Times New Roman" w:hAnsi="Times New Roman" w:cs="Times New Roman"/>
          <w:sz w:val="24"/>
          <w:szCs w:val="24"/>
        </w:rPr>
        <w:t>Blocking vs. Indirect Screening-Off</w:t>
      </w:r>
      <w:r>
        <w:rPr>
          <w:rFonts w:ascii="Times New Roman" w:eastAsia="Times New Roman" w:hAnsi="Times New Roman" w:cs="Times New Roman"/>
          <w:sz w:val="24"/>
          <w:szCs w:val="24"/>
        </w:rPr>
        <w:t>)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w:t>
      </w:r>
      <w:r w:rsidR="004815AC">
        <w:rPr>
          <w:rFonts w:ascii="Times New Roman" w:eastAsia="Times New Roman" w:hAnsi="Times New Roman" w:cs="Times New Roman"/>
          <w:sz w:val="24"/>
          <w:szCs w:val="24"/>
        </w:rPr>
        <w:t xml:space="preserve"> Backwards Blocking and Indirect Screening-Off,</w:t>
      </w:r>
      <w:r>
        <w:rPr>
          <w:rFonts w:ascii="Times New Roman" w:eastAsia="Times New Roman" w:hAnsi="Times New Roman" w:cs="Times New Roman"/>
          <w:sz w:val="24"/>
          <w:szCs w:val="24"/>
        </w:rPr>
        <w:t xml:space="preserve"> participants were less likely to treat the objects in the experimental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blickets than objects in the control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59114DD4" w14:textId="77777777" w:rsidR="00B51B4F" w:rsidRDefault="00B51B4F">
      <w:pPr>
        <w:spacing w:after="0" w:line="480" w:lineRule="auto"/>
        <w:ind w:firstLine="720"/>
        <w:rPr>
          <w:rFonts w:ascii="Times New Roman" w:eastAsia="Times New Roman" w:hAnsi="Times New Roman" w:cs="Times New Roman"/>
          <w:sz w:val="24"/>
          <w:szCs w:val="24"/>
        </w:rPr>
      </w:pPr>
    </w:p>
    <w:p w14:paraId="07E39D54"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ED71887" wp14:editId="1CD4FB31">
            <wp:extent cx="5487918" cy="4016265"/>
            <wp:effectExtent l="0" t="0" r="0" b="0"/>
            <wp:docPr id="2" name="image2.png"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of a number of black and white bars&#10;&#10;Description automatically generated"/>
                    <pic:cNvPicPr preferRelativeResize="0"/>
                  </pic:nvPicPr>
                  <pic:blipFill>
                    <a:blip r:embed="rId8"/>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Figure 3. The counts of participants’ responses to whether each object was a blicket across the conditions and trial types. Bars show standard error.</w:t>
      </w:r>
    </w:p>
    <w:p w14:paraId="421754CA" w14:textId="77777777" w:rsidR="00B51B4F" w:rsidRDefault="00B51B4F">
      <w:pPr>
        <w:keepNext/>
        <w:spacing w:after="0" w:line="240" w:lineRule="auto"/>
        <w:rPr>
          <w:rFonts w:ascii="Times New Roman" w:eastAsia="Times New Roman" w:hAnsi="Times New Roman" w:cs="Times New Roman"/>
          <w:sz w:val="20"/>
          <w:szCs w:val="20"/>
        </w:rPr>
      </w:pPr>
    </w:p>
    <w:p w14:paraId="141CA8D8" w14:textId="3A02005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w:t>
      </w:r>
      <w:r w:rsidR="005C0D5A">
        <w:rPr>
          <w:rFonts w:ascii="Times New Roman" w:eastAsia="Times New Roman" w:hAnsi="Times New Roman" w:cs="Times New Roman"/>
          <w:sz w:val="24"/>
          <w:szCs w:val="24"/>
        </w:rPr>
        <w:t>any form of retrospective reevaluation</w:t>
      </w:r>
      <w:r>
        <w:rPr>
          <w:rFonts w:ascii="Times New Roman" w:eastAsia="Times New Roman" w:hAnsi="Times New Roman" w:cs="Times New Roman"/>
          <w:sz w:val="24"/>
          <w:szCs w:val="24"/>
        </w:rPr>
        <w:t xml:space="preserve">. This finding is likely the result of the increased demand on children’s information processing abilities: Children were not only required to reason about 3 and 4 objects (as in Experiment 1), but they were also </w:t>
      </w:r>
      <w:r>
        <w:rPr>
          <w:rFonts w:ascii="Times New Roman" w:eastAsia="Times New Roman" w:hAnsi="Times New Roman" w:cs="Times New Roman"/>
          <w:sz w:val="24"/>
          <w:szCs w:val="24"/>
        </w:rPr>
        <w:lastRenderedPageBreak/>
        <w:t xml:space="preserve">required to reason about 2 rather than 1 object during the second learning phase in the </w:t>
      </w:r>
      <w:r w:rsidR="00A65380">
        <w:rPr>
          <w:rFonts w:ascii="Times New Roman" w:eastAsia="Times New Roman" w:hAnsi="Times New Roman" w:cs="Times New Roman"/>
          <w:sz w:val="24"/>
          <w:szCs w:val="24"/>
        </w:rPr>
        <w:t>Backwards Blocking and Indirect Screening-Off</w:t>
      </w:r>
      <w:r>
        <w:rPr>
          <w:rFonts w:ascii="Times New Roman" w:eastAsia="Times New Roman" w:hAnsi="Times New Roman" w:cs="Times New Roman"/>
          <w:sz w:val="24"/>
          <w:szCs w:val="24"/>
        </w:rPr>
        <w:t xml:space="preserve"> conditions.  </w:t>
      </w:r>
    </w:p>
    <w:p w14:paraId="2A8629AE"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7F9CF6D" w14:textId="516845C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w:t>
      </w:r>
      <w:r w:rsidR="0096382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there was no evidence that children engaged in retrospective reasoning. Specifically, children treated the objects equivalently between the experimental and control trials. In the next section, we present fits from two computational models to determine whether an associative mechanism, a Bayesian mechanism, or some combination of both best captures children’s judgements across Experiments 1 and 2.  </w:t>
      </w:r>
    </w:p>
    <w:p w14:paraId="459772EC" w14:textId="77777777" w:rsidR="00B51B4F"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5E2097F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237366A1" w14:textId="68BF64A6" w:rsidR="00B51B4F"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sidR="00000454">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w:t>
      </w:r>
      <w:r>
        <w:rPr>
          <w:rFonts w:ascii="Times New Roman" w:eastAsia="Times New Roman" w:hAnsi="Times New Roman" w:cs="Times New Roman"/>
          <w:color w:val="000000"/>
          <w:sz w:val="24"/>
          <w:szCs w:val="24"/>
        </w:rPr>
        <w:t xml:space="preserve">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w:t>
      </w:r>
      <w:r w:rsidR="00000454">
        <w:rPr>
          <w:rFonts w:ascii="Times New Roman" w:eastAsia="Times New Roman" w:hAnsi="Times New Roman" w:cs="Times New Roman"/>
          <w:color w:val="000000"/>
          <w:sz w:val="24"/>
          <w:szCs w:val="24"/>
        </w:rPr>
        <w:t>—</w:t>
      </w:r>
      <w:r w:rsidR="0096382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updated belief about each hypothesis</w:t>
      </w:r>
      <w:r w:rsidR="009638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given the data. This is done using Bayes’ rule, shown in Equation 1: </w:t>
      </w:r>
    </w:p>
    <w:p w14:paraId="1D34FE4A" w14:textId="7B7705FE" w:rsidR="00B51B4F" w:rsidRDefault="00000454">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sidR="0096382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50C2185" w14:textId="7693244E" w:rsidR="00B51B4F"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w:t>
      </w:r>
      <w:r w:rsidR="00000454">
        <w:rPr>
          <w:rFonts w:ascii="Times New Roman" w:eastAsia="Times New Roman" w:hAnsi="Times New Roman" w:cs="Times New Roman"/>
          <w:color w:val="000000"/>
          <w:sz w:val="24"/>
          <w:szCs w:val="24"/>
        </w:rPr>
        <w:t xml:space="preserve">that the data </w:t>
      </w:r>
      <w:r w:rsidR="00000454">
        <w:rPr>
          <w:rFonts w:ascii="Times New Roman" w:eastAsia="Times New Roman" w:hAnsi="Times New Roman" w:cs="Times New Roman"/>
          <w:i/>
          <w:color w:val="000000"/>
          <w:sz w:val="24"/>
          <w:szCs w:val="24"/>
        </w:rPr>
        <w:t>d</w:t>
      </w:r>
      <w:r w:rsidR="00000454">
        <w:rPr>
          <w:rFonts w:ascii="Times New Roman" w:eastAsia="Times New Roman" w:hAnsi="Times New Roman" w:cs="Times New Roman"/>
          <w:color w:val="000000"/>
          <w:sz w:val="24"/>
          <w:szCs w:val="24"/>
        </w:rPr>
        <w:t xml:space="preserve"> will be observed </w:t>
      </w:r>
      <w:r w:rsidR="00000454">
        <w:rPr>
          <w:rFonts w:ascii="Times New Roman" w:eastAsia="Times New Roman" w:hAnsi="Times New Roman" w:cs="Times New Roman"/>
          <w:sz w:val="24"/>
          <w:szCs w:val="24"/>
        </w:rPr>
        <w:t xml:space="preserve">under a </w:t>
      </w:r>
      <w:r w:rsidR="00000454">
        <w:rPr>
          <w:rFonts w:ascii="Times New Roman" w:eastAsia="Times New Roman" w:hAnsi="Times New Roman" w:cs="Times New Roman"/>
          <w:color w:val="000000"/>
          <w:sz w:val="24"/>
          <w:szCs w:val="24"/>
        </w:rPr>
        <w:t xml:space="preserve">particular hypothesis </w:t>
      </w:r>
      <w:r w:rsidR="00000454">
        <w:rPr>
          <w:rFonts w:ascii="Times New Roman" w:eastAsia="Times New Roman" w:hAnsi="Times New Roman" w:cs="Times New Roman"/>
          <w:i/>
          <w:color w:val="000000"/>
          <w:sz w:val="24"/>
          <w:szCs w:val="24"/>
        </w:rPr>
        <w:t>h</w:t>
      </w:r>
      <w:r w:rsidR="00000454">
        <w:rPr>
          <w:rFonts w:ascii="Times New Roman" w:eastAsia="Times New Roman" w:hAnsi="Times New Roman" w:cs="Times New Roman"/>
          <w:iCs/>
          <w:color w:val="000000"/>
          <w:sz w:val="24"/>
          <w:szCs w:val="24"/>
        </w:rPr>
        <w:t xml:space="preserve">. This value is also known as </w:t>
      </w:r>
      <w:proofErr w:type="gramStart"/>
      <w:r w:rsidR="00000454">
        <w:rPr>
          <w:rFonts w:ascii="Times New Roman" w:eastAsia="Times New Roman" w:hAnsi="Times New Roman" w:cs="Times New Roman"/>
          <w:iCs/>
          <w:color w:val="000000"/>
          <w:sz w:val="24"/>
          <w:szCs w:val="24"/>
        </w:rPr>
        <w:t xml:space="preserve">the </w:t>
      </w:r>
      <w:r w:rsidR="00000454">
        <w:rPr>
          <w:rFonts w:ascii="Times New Roman" w:eastAsia="Times New Roman" w:hAnsi="Times New Roman" w:cs="Times New Roman"/>
          <w:color w:val="000000"/>
          <w:sz w:val="24"/>
          <w:szCs w:val="24"/>
        </w:rPr>
        <w:t xml:space="preserve"> </w:t>
      </w:r>
      <w:r w:rsidR="00000454">
        <w:rPr>
          <w:rFonts w:ascii="Times New Roman" w:eastAsia="Times New Roman" w:hAnsi="Times New Roman" w:cs="Times New Roman"/>
          <w:i/>
          <w:color w:val="000000"/>
          <w:sz w:val="24"/>
          <w:szCs w:val="24"/>
        </w:rPr>
        <w:t>likelihood</w:t>
      </w:r>
      <w:proofErr w:type="gramEnd"/>
      <w:r w:rsidR="00000454">
        <w:rPr>
          <w:rFonts w:ascii="Times New Roman" w:eastAsia="Times New Roman" w:hAnsi="Times New Roman" w:cs="Times New Roman"/>
          <w:color w:val="000000"/>
          <w:sz w:val="24"/>
          <w:szCs w:val="24"/>
        </w:rPr>
        <w:t xml:space="preserve"> of the data..</w:t>
      </w:r>
    </w:p>
    <w:p w14:paraId="079010E5" w14:textId="4630FB3C" w:rsidR="00000454" w:rsidRDefault="00000454" w:rsidP="000004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Griffiths et al. (2011) describe the formal parameterization of this hypothesis space and model that results in the hypothesis space shown in Figure 3, in which nodes A, B, and C represent objects A, B, and C each being placed on the machine respectively, and node E represents the “effect”—the machine activating. </w:t>
      </w:r>
    </w:p>
    <w:p w14:paraId="0E1D99B4" w14:textId="77777777" w:rsidR="003D1B11" w:rsidRDefault="003D1B11" w:rsidP="003D1B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B492BD4" w14:textId="77777777" w:rsidR="00B51B4F" w:rsidRDefault="00000000">
      <w:pPr>
        <w:keepNext/>
        <w:spacing w:after="0" w:line="480" w:lineRule="auto"/>
      </w:pPr>
      <w:r>
        <w:rPr>
          <w:b/>
          <w:noProof/>
        </w:rPr>
        <w:lastRenderedPageBreak/>
        <w:drawing>
          <wp:inline distT="0" distB="0" distL="0" distR="0" wp14:anchorId="31B53BED" wp14:editId="10C8C49F">
            <wp:extent cx="5563373" cy="3014030"/>
            <wp:effectExtent l="0" t="0" r="0" b="0"/>
            <wp:docPr id="5" name="image5.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medium confidence"/>
                    <pic:cNvPicPr preferRelativeResize="0"/>
                  </pic:nvPicPr>
                  <pic:blipFill>
                    <a:blip r:embed="rId9"/>
                    <a:srcRect/>
                    <a:stretch>
                      <a:fillRect/>
                    </a:stretch>
                  </pic:blipFill>
                  <pic:spPr>
                    <a:xfrm>
                      <a:off x="0" y="0"/>
                      <a:ext cx="5563373" cy="3014030"/>
                    </a:xfrm>
                    <a:prstGeom prst="rect">
                      <a:avLst/>
                    </a:prstGeom>
                    <a:ln/>
                  </pic:spPr>
                </pic:pic>
              </a:graphicData>
            </a:graphic>
          </wp:inline>
        </w:drawing>
      </w:r>
    </w:p>
    <w:p w14:paraId="7123554E" w14:textId="77777777" w:rsidR="00B51B4F"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w:t>
      </w:r>
      <w:proofErr w:type="gramStart"/>
      <w:r>
        <w:rPr>
          <w:rFonts w:ascii="Times New Roman" w:eastAsia="Times New Roman" w:hAnsi="Times New Roman" w:cs="Times New Roman"/>
          <w:sz w:val="20"/>
          <w:szCs w:val="20"/>
        </w:rPr>
        <w:t>indicating</w:t>
      </w:r>
      <w:proofErr w:type="gramEnd"/>
      <w:r>
        <w:rPr>
          <w:rFonts w:ascii="Times New Roman" w:eastAsia="Times New Roman" w:hAnsi="Times New Roman" w:cs="Times New Roman"/>
          <w:sz w:val="20"/>
          <w:szCs w:val="20"/>
        </w:rPr>
        <w:t xml:space="preserve">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738C83C0" w14:textId="77777777" w:rsidR="00B51B4F" w:rsidRDefault="00B51B4F">
      <w:pPr>
        <w:spacing w:line="240" w:lineRule="auto"/>
        <w:rPr>
          <w:rFonts w:ascii="Times New Roman" w:eastAsia="Times New Roman" w:hAnsi="Times New Roman" w:cs="Times New Roman"/>
          <w:sz w:val="20"/>
          <w:szCs w:val="20"/>
        </w:rPr>
      </w:pPr>
    </w:p>
    <w:p w14:paraId="65D3A316" w14:textId="77777777" w:rsidR="003D1B11" w:rsidRDefault="003D1B11" w:rsidP="003D1B1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03245E09" w14:textId="77777777" w:rsidR="003D1B11" w:rsidRPr="00AA0C00" w:rsidRDefault="003D1B11" w:rsidP="003D1B11">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253826FC" w14:textId="77777777" w:rsidR="003D1B11" w:rsidRDefault="003D1B11" w:rsidP="003D1B11">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18E0746F" w14:textId="77777777" w:rsidR="00B51B4F"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75DF8470" w14:textId="540447BE"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w:t>
      </w:r>
      <w:r w:rsidR="00524D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these models corresponded to Experiment 1 and the </w:t>
      </w:r>
      <w:proofErr w:type="gramStart"/>
      <w:r>
        <w:rPr>
          <w:rFonts w:ascii="Times New Roman" w:eastAsia="Times New Roman" w:hAnsi="Times New Roman" w:cs="Times New Roman"/>
          <w:sz w:val="24"/>
          <w:szCs w:val="24"/>
        </w:rPr>
        <w:t>other  corresponded</w:t>
      </w:r>
      <w:proofErr w:type="gramEnd"/>
      <w:r>
        <w:rPr>
          <w:rFonts w:ascii="Times New Roman" w:eastAsia="Times New Roman" w:hAnsi="Times New Roman" w:cs="Times New Roman"/>
          <w:sz w:val="24"/>
          <w:szCs w:val="24"/>
        </w:rPr>
        <w:t xml:space="preserve">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w:t>
      </w:r>
      <w:r w:rsidR="003D1B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 data (as shown in Figures 2 and 3).  </w:t>
      </w:r>
    </w:p>
    <w:p w14:paraId="1AE8ACC8"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6B39444D" w14:textId="05A818F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w:t>
      </w:r>
      <w:r w:rsidR="00524DD5">
        <w:rPr>
          <w:rFonts w:ascii="Times New Roman" w:eastAsia="Times New Roman" w:hAnsi="Times New Roman" w:cs="Times New Roman"/>
          <w:sz w:val="24"/>
          <w:szCs w:val="24"/>
        </w:rPr>
        <w:t>sigmoidal or logistic</w:t>
      </w:r>
      <w:r>
        <w:rPr>
          <w:rFonts w:ascii="Times New Roman" w:eastAsia="Times New Roman" w:hAnsi="Times New Roman" w:cs="Times New Roman"/>
          <w:sz w:val="24"/>
          <w:szCs w:val="24"/>
        </w:rPr>
        <w:t xml:space="preserve">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0EFE4166" w14:textId="77777777" w:rsidR="00B51B4F" w:rsidRDefault="00000000">
      <w:pPr>
        <w:keepNext/>
        <w:spacing w:after="0" w:line="240" w:lineRule="auto"/>
      </w:pPr>
      <w:r>
        <w:rPr>
          <w:noProof/>
        </w:rPr>
        <w:drawing>
          <wp:inline distT="0" distB="0" distL="0" distR="0" wp14:anchorId="012BD338" wp14:editId="0952BB74">
            <wp:extent cx="3507579" cy="2358997"/>
            <wp:effectExtent l="0" t="0" r="0" b="0"/>
            <wp:docPr id="4"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0"/>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w:t>
      </w:r>
      <w:proofErr w:type="gramStart"/>
      <w:r>
        <w:rPr>
          <w:rFonts w:ascii="Times New Roman" w:eastAsia="Times New Roman" w:hAnsi="Times New Roman" w:cs="Times New Roman"/>
          <w:sz w:val="20"/>
          <w:szCs w:val="20"/>
        </w:rPr>
        <w:t>used</w:t>
      </w:r>
      <w:proofErr w:type="gramEnd"/>
      <w:r>
        <w:rPr>
          <w:rFonts w:ascii="Times New Roman" w:eastAsia="Times New Roman" w:hAnsi="Times New Roman" w:cs="Times New Roman"/>
          <w:sz w:val="20"/>
          <w:szCs w:val="20"/>
        </w:rPr>
        <w:t xml:space="preserve"> to simulate Experiment 1. </w:t>
      </w:r>
    </w:p>
    <w:p w14:paraId="4B1FB09C" w14:textId="77777777" w:rsidR="00B51B4F" w:rsidRDefault="00B51B4F">
      <w:pPr>
        <w:spacing w:after="0" w:line="480" w:lineRule="auto"/>
        <w:ind w:firstLine="720"/>
        <w:rPr>
          <w:rFonts w:ascii="Times New Roman" w:eastAsia="Times New Roman" w:hAnsi="Times New Roman" w:cs="Times New Roman"/>
          <w:sz w:val="24"/>
          <w:szCs w:val="24"/>
        </w:rPr>
      </w:pPr>
    </w:p>
    <w:p w14:paraId="19C72040" w14:textId="63C408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w:t>
      </w:r>
      <w:r>
        <w:rPr>
          <w:rFonts w:ascii="Times New Roman" w:eastAsia="Times New Roman" w:hAnsi="Times New Roman" w:cs="Times New Roman"/>
          <w:sz w:val="24"/>
          <w:szCs w:val="24"/>
        </w:rPr>
        <w:lastRenderedPageBreak/>
        <w:t xml:space="preserve">2) were turned on, but again the model’s task was to activate the single output unit. The </w:t>
      </w:r>
      <w:r w:rsidR="00930AF2">
        <w:rPr>
          <w:rFonts w:ascii="Times New Roman" w:eastAsia="Times New Roman" w:hAnsi="Times New Roman" w:cs="Times New Roman"/>
          <w:sz w:val="24"/>
          <w:szCs w:val="24"/>
        </w:rPr>
        <w:t>control trials in the Backwards Blocking condition</w:t>
      </w:r>
      <w:r>
        <w:rPr>
          <w:rFonts w:ascii="Times New Roman" w:eastAsia="Times New Roman" w:hAnsi="Times New Roman" w:cs="Times New Roman"/>
          <w:sz w:val="24"/>
          <w:szCs w:val="24"/>
        </w:rPr>
        <w:t xml:space="preserve"> were identical to the experimental trials except that the fourth input unit (corresponding to object D in Experiment 1) or the fourth and fifth input units (corresponding to objects D and E in Experiment 2) were turned on following the ABC+ trial. The experimental and control trials </w:t>
      </w:r>
      <w:r w:rsidR="00930AF2">
        <w:rPr>
          <w:rFonts w:ascii="Times New Roman" w:eastAsia="Times New Roman" w:hAnsi="Times New Roman" w:cs="Times New Roman"/>
          <w:sz w:val="24"/>
          <w:szCs w:val="24"/>
        </w:rPr>
        <w:t xml:space="preserve">in the Indirect Screening-Off condition </w:t>
      </w:r>
      <w:r>
        <w:rPr>
          <w:rFonts w:ascii="Times New Roman" w:eastAsia="Times New Roman" w:hAnsi="Times New Roman" w:cs="Times New Roman"/>
          <w:sz w:val="24"/>
          <w:szCs w:val="24"/>
        </w:rPr>
        <w:t xml:space="preserve">were identical to the backwards blocking experimental and control trials except that the model was trained to turn off the single output unit (i.e., to produce an output activation of 0) </w:t>
      </w:r>
      <w:r w:rsidR="00930AF2">
        <w:rPr>
          <w:rFonts w:ascii="Times New Roman" w:eastAsia="Times New Roman" w:hAnsi="Times New Roman" w:cs="Times New Roman"/>
          <w:sz w:val="24"/>
          <w:szCs w:val="24"/>
        </w:rPr>
        <w:t>during the experimental and controls for the simulations of Experiments 1 and 2</w:t>
      </w:r>
      <w:r>
        <w:rPr>
          <w:rFonts w:ascii="Times New Roman" w:eastAsia="Times New Roman" w:hAnsi="Times New Roman" w:cs="Times New Roman"/>
          <w:sz w:val="24"/>
          <w:szCs w:val="24"/>
        </w:rPr>
        <w:t>.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072CE6FC"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60A5F9B5" w14:textId="3B49B016" w:rsidR="00B51B4F"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w:t>
      </w:r>
      <w:r w:rsidR="005A2B1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5A697C61" w14:textId="77777777" w:rsidR="00B51B4F" w:rsidRDefault="00B51B4F">
      <w:pPr>
        <w:spacing w:line="480" w:lineRule="auto"/>
        <w:rPr>
          <w:rFonts w:ascii="Times New Roman" w:eastAsia="Times New Roman" w:hAnsi="Times New Roman" w:cs="Times New Roman"/>
          <w:sz w:val="24"/>
          <w:szCs w:val="24"/>
        </w:rPr>
      </w:pPr>
    </w:p>
    <w:tbl>
      <w:tblPr>
        <w:tblStyle w:val="a1"/>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B51B4F" w14:paraId="6746B619" w14:textId="77777777">
        <w:trPr>
          <w:trHeight w:val="406"/>
          <w:jc w:val="center"/>
        </w:trPr>
        <w:tc>
          <w:tcPr>
            <w:tcW w:w="8885" w:type="dxa"/>
            <w:gridSpan w:val="8"/>
            <w:tcBorders>
              <w:left w:val="nil"/>
              <w:right w:val="nil"/>
            </w:tcBorders>
          </w:tcPr>
          <w:p w14:paraId="1BD5771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data overall </w:t>
            </w:r>
          </w:p>
        </w:tc>
      </w:tr>
      <w:tr w:rsidR="00B51B4F" w14:paraId="4AFF0E82" w14:textId="77777777">
        <w:trPr>
          <w:trHeight w:val="418"/>
          <w:jc w:val="center"/>
        </w:trPr>
        <w:tc>
          <w:tcPr>
            <w:tcW w:w="4495" w:type="dxa"/>
            <w:gridSpan w:val="4"/>
            <w:tcBorders>
              <w:left w:val="nil"/>
              <w:bottom w:val="single" w:sz="4" w:space="0" w:color="000000"/>
              <w:right w:val="nil"/>
            </w:tcBorders>
          </w:tcPr>
          <w:p w14:paraId="1EC4C9E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7E818CA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1245970D" w14:textId="77777777">
        <w:trPr>
          <w:trHeight w:val="406"/>
          <w:jc w:val="center"/>
        </w:trPr>
        <w:tc>
          <w:tcPr>
            <w:tcW w:w="2165" w:type="dxa"/>
            <w:gridSpan w:val="2"/>
            <w:tcBorders>
              <w:top w:val="single" w:sz="4" w:space="0" w:color="000000"/>
              <w:left w:val="nil"/>
              <w:bottom w:val="single" w:sz="4" w:space="0" w:color="000000"/>
              <w:right w:val="nil"/>
            </w:tcBorders>
          </w:tcPr>
          <w:p w14:paraId="35DC71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650131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9D390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45F2CC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6A63A822" w14:textId="77777777">
        <w:trPr>
          <w:trHeight w:val="418"/>
          <w:jc w:val="center"/>
        </w:trPr>
        <w:tc>
          <w:tcPr>
            <w:tcW w:w="1168" w:type="dxa"/>
            <w:tcBorders>
              <w:top w:val="single" w:sz="4" w:space="0" w:color="000000"/>
              <w:left w:val="nil"/>
              <w:bottom w:val="nil"/>
              <w:right w:val="nil"/>
            </w:tcBorders>
          </w:tcPr>
          <w:p w14:paraId="12C08F8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04E5A8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8F2A60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FD8705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D5A0C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92D7A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6689E7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694829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429AA467" w14:textId="77777777">
        <w:trPr>
          <w:trHeight w:val="418"/>
          <w:jc w:val="center"/>
        </w:trPr>
        <w:tc>
          <w:tcPr>
            <w:tcW w:w="1168" w:type="dxa"/>
            <w:tcBorders>
              <w:top w:val="nil"/>
              <w:left w:val="nil"/>
              <w:bottom w:val="nil"/>
              <w:right w:val="nil"/>
            </w:tcBorders>
          </w:tcPr>
          <w:p w14:paraId="0C361E2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32FBD6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981B5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702AC7E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344318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0D1C038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6C071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1FBD77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51B4F" w14:paraId="6ACADB47" w14:textId="77777777">
        <w:trPr>
          <w:trHeight w:val="406"/>
          <w:jc w:val="center"/>
        </w:trPr>
        <w:tc>
          <w:tcPr>
            <w:tcW w:w="1168" w:type="dxa"/>
            <w:tcBorders>
              <w:top w:val="nil"/>
              <w:left w:val="nil"/>
              <w:bottom w:val="single" w:sz="4" w:space="0" w:color="000000"/>
              <w:right w:val="nil"/>
            </w:tcBorders>
          </w:tcPr>
          <w:p w14:paraId="41A1D22B"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80891C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BCDC7DF"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079BFF5"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9C5DCE9"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6B8DEB7"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D44E6EC"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75BE0C7" w14:textId="77777777" w:rsidR="00B51B4F" w:rsidRDefault="00B51B4F">
            <w:pPr>
              <w:spacing w:line="480" w:lineRule="auto"/>
              <w:rPr>
                <w:rFonts w:ascii="Times New Roman" w:eastAsia="Times New Roman" w:hAnsi="Times New Roman" w:cs="Times New Roman"/>
                <w:sz w:val="24"/>
                <w:szCs w:val="24"/>
              </w:rPr>
            </w:pPr>
          </w:p>
        </w:tc>
      </w:tr>
      <w:tr w:rsidR="00B51B4F" w14:paraId="733E7D01" w14:textId="77777777">
        <w:trPr>
          <w:trHeight w:val="418"/>
          <w:jc w:val="center"/>
        </w:trPr>
        <w:tc>
          <w:tcPr>
            <w:tcW w:w="8885" w:type="dxa"/>
            <w:gridSpan w:val="8"/>
            <w:tcBorders>
              <w:top w:val="single" w:sz="4" w:space="0" w:color="000000"/>
              <w:left w:val="nil"/>
              <w:right w:val="nil"/>
            </w:tcBorders>
          </w:tcPr>
          <w:p w14:paraId="034B1A5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B51B4F" w14:paraId="5EF6BA0E" w14:textId="77777777">
        <w:trPr>
          <w:trHeight w:val="406"/>
          <w:jc w:val="center"/>
        </w:trPr>
        <w:tc>
          <w:tcPr>
            <w:tcW w:w="4495" w:type="dxa"/>
            <w:gridSpan w:val="4"/>
            <w:tcBorders>
              <w:left w:val="nil"/>
              <w:bottom w:val="single" w:sz="4" w:space="0" w:color="000000"/>
              <w:right w:val="nil"/>
            </w:tcBorders>
          </w:tcPr>
          <w:p w14:paraId="3F4E83CE"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42234ABB"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5789D5F2" w14:textId="77777777">
        <w:trPr>
          <w:trHeight w:val="418"/>
          <w:jc w:val="center"/>
        </w:trPr>
        <w:tc>
          <w:tcPr>
            <w:tcW w:w="2165" w:type="dxa"/>
            <w:gridSpan w:val="2"/>
            <w:tcBorders>
              <w:top w:val="single" w:sz="4" w:space="0" w:color="000000"/>
              <w:left w:val="nil"/>
              <w:bottom w:val="single" w:sz="4" w:space="0" w:color="000000"/>
              <w:right w:val="nil"/>
            </w:tcBorders>
          </w:tcPr>
          <w:p w14:paraId="3A4C87E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50744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2DF6F9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70C8845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8EF23A1" w14:textId="77777777">
        <w:trPr>
          <w:trHeight w:val="406"/>
          <w:jc w:val="center"/>
        </w:trPr>
        <w:tc>
          <w:tcPr>
            <w:tcW w:w="1168" w:type="dxa"/>
            <w:tcBorders>
              <w:top w:val="single" w:sz="4" w:space="0" w:color="000000"/>
              <w:left w:val="nil"/>
              <w:bottom w:val="nil"/>
              <w:right w:val="nil"/>
            </w:tcBorders>
          </w:tcPr>
          <w:p w14:paraId="5DE184B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FAE797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375A6A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3878D9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24FBEC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856F2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A96457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1F32C1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647A7D16" w14:textId="77777777">
        <w:trPr>
          <w:trHeight w:val="418"/>
          <w:jc w:val="center"/>
        </w:trPr>
        <w:tc>
          <w:tcPr>
            <w:tcW w:w="1168" w:type="dxa"/>
            <w:tcBorders>
              <w:top w:val="nil"/>
              <w:left w:val="nil"/>
              <w:bottom w:val="nil"/>
              <w:right w:val="nil"/>
            </w:tcBorders>
          </w:tcPr>
          <w:p w14:paraId="1936B6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3154B7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42FDD1A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1E5FD1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5CF2F8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704569C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31F6E5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7BD4E8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51B4F" w14:paraId="529A0F75" w14:textId="77777777">
        <w:trPr>
          <w:trHeight w:val="418"/>
          <w:jc w:val="center"/>
        </w:trPr>
        <w:tc>
          <w:tcPr>
            <w:tcW w:w="1168" w:type="dxa"/>
            <w:tcBorders>
              <w:top w:val="nil"/>
              <w:left w:val="nil"/>
              <w:bottom w:val="single" w:sz="4" w:space="0" w:color="000000"/>
              <w:right w:val="nil"/>
            </w:tcBorders>
          </w:tcPr>
          <w:p w14:paraId="4A1DB259"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4FD5BF"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1C80349"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132EDF3"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9DF425F"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501E7BD"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5242476"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697A4CD" w14:textId="77777777" w:rsidR="00B51B4F" w:rsidRDefault="00B51B4F">
            <w:pPr>
              <w:spacing w:line="480" w:lineRule="auto"/>
              <w:rPr>
                <w:rFonts w:ascii="Times New Roman" w:eastAsia="Times New Roman" w:hAnsi="Times New Roman" w:cs="Times New Roman"/>
                <w:sz w:val="24"/>
                <w:szCs w:val="24"/>
              </w:rPr>
            </w:pPr>
          </w:p>
        </w:tc>
      </w:tr>
      <w:tr w:rsidR="00B51B4F" w14:paraId="42F18909" w14:textId="77777777">
        <w:trPr>
          <w:trHeight w:val="406"/>
          <w:jc w:val="center"/>
        </w:trPr>
        <w:tc>
          <w:tcPr>
            <w:tcW w:w="8885" w:type="dxa"/>
            <w:gridSpan w:val="8"/>
            <w:tcBorders>
              <w:top w:val="single" w:sz="4" w:space="0" w:color="000000"/>
              <w:left w:val="nil"/>
              <w:bottom w:val="single" w:sz="4" w:space="0" w:color="000000"/>
              <w:right w:val="nil"/>
            </w:tcBorders>
          </w:tcPr>
          <w:p w14:paraId="7B4FE42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B51B4F" w14:paraId="22BE769B" w14:textId="77777777">
        <w:trPr>
          <w:trHeight w:val="418"/>
          <w:jc w:val="center"/>
        </w:trPr>
        <w:tc>
          <w:tcPr>
            <w:tcW w:w="4495" w:type="dxa"/>
            <w:gridSpan w:val="4"/>
            <w:tcBorders>
              <w:top w:val="single" w:sz="4" w:space="0" w:color="000000"/>
              <w:left w:val="nil"/>
              <w:bottom w:val="single" w:sz="4" w:space="0" w:color="000000"/>
              <w:right w:val="nil"/>
            </w:tcBorders>
          </w:tcPr>
          <w:p w14:paraId="4722ED5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1F72E78"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9D450D1" w14:textId="77777777">
        <w:trPr>
          <w:trHeight w:val="406"/>
          <w:jc w:val="center"/>
        </w:trPr>
        <w:tc>
          <w:tcPr>
            <w:tcW w:w="2165" w:type="dxa"/>
            <w:gridSpan w:val="2"/>
            <w:tcBorders>
              <w:top w:val="single" w:sz="4" w:space="0" w:color="000000"/>
              <w:left w:val="nil"/>
              <w:bottom w:val="single" w:sz="4" w:space="0" w:color="000000"/>
              <w:right w:val="nil"/>
            </w:tcBorders>
          </w:tcPr>
          <w:p w14:paraId="7FD8D6F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CBAFC6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C72947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2B6CC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219705E8" w14:textId="77777777">
        <w:trPr>
          <w:trHeight w:val="418"/>
          <w:jc w:val="center"/>
        </w:trPr>
        <w:tc>
          <w:tcPr>
            <w:tcW w:w="1168" w:type="dxa"/>
            <w:tcBorders>
              <w:top w:val="single" w:sz="4" w:space="0" w:color="000000"/>
              <w:left w:val="nil"/>
              <w:bottom w:val="nil"/>
              <w:right w:val="nil"/>
            </w:tcBorders>
          </w:tcPr>
          <w:p w14:paraId="212D3B1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F40D80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5ACED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60EB1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CAA91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6A2259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588994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46CEB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0CBF9116" w14:textId="77777777">
        <w:trPr>
          <w:trHeight w:val="418"/>
          <w:jc w:val="center"/>
        </w:trPr>
        <w:tc>
          <w:tcPr>
            <w:tcW w:w="1168" w:type="dxa"/>
            <w:tcBorders>
              <w:top w:val="nil"/>
              <w:left w:val="nil"/>
              <w:bottom w:val="nil"/>
              <w:right w:val="nil"/>
            </w:tcBorders>
          </w:tcPr>
          <w:p w14:paraId="39CA47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2013EF2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7C963B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440302B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428C69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FBBC5C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19E7F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38937A1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51B4F" w14:paraId="5E5358C6" w14:textId="77777777">
        <w:trPr>
          <w:trHeight w:val="406"/>
          <w:jc w:val="center"/>
        </w:trPr>
        <w:tc>
          <w:tcPr>
            <w:tcW w:w="1168" w:type="dxa"/>
            <w:tcBorders>
              <w:top w:val="nil"/>
              <w:left w:val="nil"/>
              <w:bottom w:val="single" w:sz="4" w:space="0" w:color="000000"/>
              <w:right w:val="nil"/>
            </w:tcBorders>
          </w:tcPr>
          <w:p w14:paraId="2C2DB7EF"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F6157A"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2BA2D85E"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153491F"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1328DBDE"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1879091"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8C1D800"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6F886338" w14:textId="77777777" w:rsidR="00B51B4F" w:rsidRDefault="00B51B4F">
            <w:pPr>
              <w:spacing w:line="480" w:lineRule="auto"/>
              <w:rPr>
                <w:rFonts w:ascii="Times New Roman" w:eastAsia="Times New Roman" w:hAnsi="Times New Roman" w:cs="Times New Roman"/>
                <w:sz w:val="24"/>
                <w:szCs w:val="24"/>
              </w:rPr>
            </w:pPr>
          </w:p>
        </w:tc>
      </w:tr>
      <w:tr w:rsidR="00B51B4F" w14:paraId="092A3B96" w14:textId="77777777">
        <w:trPr>
          <w:trHeight w:val="406"/>
          <w:jc w:val="center"/>
        </w:trPr>
        <w:tc>
          <w:tcPr>
            <w:tcW w:w="8885" w:type="dxa"/>
            <w:gridSpan w:val="8"/>
            <w:tcBorders>
              <w:top w:val="single" w:sz="4" w:space="0" w:color="000000"/>
              <w:left w:val="nil"/>
              <w:bottom w:val="single" w:sz="4" w:space="0" w:color="000000"/>
              <w:right w:val="nil"/>
            </w:tcBorders>
          </w:tcPr>
          <w:p w14:paraId="3E8180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B51B4F" w14:paraId="436488D0" w14:textId="77777777">
        <w:trPr>
          <w:trHeight w:val="418"/>
          <w:jc w:val="center"/>
        </w:trPr>
        <w:tc>
          <w:tcPr>
            <w:tcW w:w="4495" w:type="dxa"/>
            <w:gridSpan w:val="4"/>
            <w:tcBorders>
              <w:top w:val="single" w:sz="4" w:space="0" w:color="000000"/>
              <w:left w:val="nil"/>
              <w:bottom w:val="single" w:sz="4" w:space="0" w:color="000000"/>
              <w:right w:val="nil"/>
            </w:tcBorders>
          </w:tcPr>
          <w:p w14:paraId="343CA1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1510DFC0"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C97EF6E" w14:textId="77777777">
        <w:trPr>
          <w:trHeight w:val="406"/>
          <w:jc w:val="center"/>
        </w:trPr>
        <w:tc>
          <w:tcPr>
            <w:tcW w:w="2165" w:type="dxa"/>
            <w:gridSpan w:val="2"/>
            <w:tcBorders>
              <w:top w:val="single" w:sz="4" w:space="0" w:color="000000"/>
              <w:left w:val="nil"/>
              <w:bottom w:val="single" w:sz="4" w:space="0" w:color="000000"/>
              <w:right w:val="nil"/>
            </w:tcBorders>
          </w:tcPr>
          <w:p w14:paraId="02E1790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EEC66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E139AC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1267D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5FBB727B" w14:textId="77777777">
        <w:trPr>
          <w:trHeight w:val="418"/>
          <w:jc w:val="center"/>
        </w:trPr>
        <w:tc>
          <w:tcPr>
            <w:tcW w:w="1168" w:type="dxa"/>
            <w:tcBorders>
              <w:top w:val="single" w:sz="4" w:space="0" w:color="000000"/>
              <w:left w:val="nil"/>
              <w:bottom w:val="nil"/>
              <w:right w:val="nil"/>
            </w:tcBorders>
          </w:tcPr>
          <w:p w14:paraId="2BC920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DDECCB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76155D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C26D12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83299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8476A4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C49E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00DE29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571C49A" w14:textId="77777777">
        <w:trPr>
          <w:trHeight w:val="418"/>
          <w:jc w:val="center"/>
        </w:trPr>
        <w:tc>
          <w:tcPr>
            <w:tcW w:w="1168" w:type="dxa"/>
            <w:tcBorders>
              <w:top w:val="nil"/>
              <w:left w:val="nil"/>
              <w:bottom w:val="nil"/>
              <w:right w:val="nil"/>
            </w:tcBorders>
          </w:tcPr>
          <w:p w14:paraId="3523C39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813F2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7058F52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1FC1D6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6A4CC83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EAA39B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03757A8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4CEB2ED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51B4F" w14:paraId="435CBCA9" w14:textId="77777777">
        <w:trPr>
          <w:trHeight w:val="406"/>
          <w:jc w:val="center"/>
        </w:trPr>
        <w:tc>
          <w:tcPr>
            <w:tcW w:w="1168" w:type="dxa"/>
            <w:tcBorders>
              <w:top w:val="nil"/>
              <w:left w:val="nil"/>
              <w:bottom w:val="single" w:sz="4" w:space="0" w:color="000000"/>
              <w:right w:val="nil"/>
            </w:tcBorders>
          </w:tcPr>
          <w:p w14:paraId="28902C80"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E07FB5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3425ECC"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43B8D4E"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BA8B0F7"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199E672"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82A80D9"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19DF214" w14:textId="77777777" w:rsidR="00B51B4F" w:rsidRDefault="00B51B4F">
            <w:pPr>
              <w:spacing w:line="480" w:lineRule="auto"/>
              <w:rPr>
                <w:rFonts w:ascii="Times New Roman" w:eastAsia="Times New Roman" w:hAnsi="Times New Roman" w:cs="Times New Roman"/>
                <w:sz w:val="24"/>
                <w:szCs w:val="24"/>
              </w:rPr>
            </w:pPr>
          </w:p>
        </w:tc>
      </w:tr>
      <w:tr w:rsidR="00B51B4F" w14:paraId="4232197A" w14:textId="77777777">
        <w:trPr>
          <w:trHeight w:val="418"/>
          <w:jc w:val="center"/>
        </w:trPr>
        <w:tc>
          <w:tcPr>
            <w:tcW w:w="8885" w:type="dxa"/>
            <w:gridSpan w:val="8"/>
            <w:tcBorders>
              <w:top w:val="single" w:sz="4" w:space="0" w:color="000000"/>
              <w:left w:val="nil"/>
              <w:bottom w:val="single" w:sz="4" w:space="0" w:color="000000"/>
              <w:right w:val="nil"/>
            </w:tcBorders>
          </w:tcPr>
          <w:p w14:paraId="57BE7F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B51B4F" w14:paraId="7E83EF0B" w14:textId="77777777">
        <w:trPr>
          <w:trHeight w:val="406"/>
          <w:jc w:val="center"/>
        </w:trPr>
        <w:tc>
          <w:tcPr>
            <w:tcW w:w="4495" w:type="dxa"/>
            <w:gridSpan w:val="4"/>
            <w:tcBorders>
              <w:top w:val="single" w:sz="4" w:space="0" w:color="000000"/>
              <w:left w:val="nil"/>
              <w:bottom w:val="single" w:sz="4" w:space="0" w:color="000000"/>
              <w:right w:val="nil"/>
            </w:tcBorders>
          </w:tcPr>
          <w:p w14:paraId="170831B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0671B0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07F65BAA" w14:textId="77777777">
        <w:trPr>
          <w:trHeight w:val="418"/>
          <w:jc w:val="center"/>
        </w:trPr>
        <w:tc>
          <w:tcPr>
            <w:tcW w:w="2165" w:type="dxa"/>
            <w:gridSpan w:val="2"/>
            <w:tcBorders>
              <w:top w:val="single" w:sz="4" w:space="0" w:color="000000"/>
              <w:left w:val="nil"/>
              <w:bottom w:val="single" w:sz="4" w:space="0" w:color="000000"/>
              <w:right w:val="nil"/>
            </w:tcBorders>
          </w:tcPr>
          <w:p w14:paraId="267678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9FD6C4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A30ED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21A59D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E0B191B" w14:textId="77777777">
        <w:trPr>
          <w:trHeight w:val="406"/>
          <w:jc w:val="center"/>
        </w:trPr>
        <w:tc>
          <w:tcPr>
            <w:tcW w:w="1168" w:type="dxa"/>
            <w:tcBorders>
              <w:top w:val="single" w:sz="4" w:space="0" w:color="000000"/>
              <w:left w:val="nil"/>
              <w:bottom w:val="nil"/>
              <w:right w:val="nil"/>
            </w:tcBorders>
          </w:tcPr>
          <w:p w14:paraId="11273D3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963F9C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B7284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3545B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06438F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8E70E4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31BB5E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91D246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D66E50E" w14:textId="77777777">
        <w:trPr>
          <w:trHeight w:val="418"/>
          <w:jc w:val="center"/>
        </w:trPr>
        <w:tc>
          <w:tcPr>
            <w:tcW w:w="1168" w:type="dxa"/>
            <w:tcBorders>
              <w:top w:val="nil"/>
              <w:left w:val="nil"/>
              <w:bottom w:val="single" w:sz="4" w:space="0" w:color="000000"/>
              <w:right w:val="nil"/>
            </w:tcBorders>
          </w:tcPr>
          <w:p w14:paraId="1ACEF16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1010F3E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56906A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593147E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52A03F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68C0A31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413C795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480831AF" w14:textId="77777777" w:rsidR="00B51B4F"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6F6E4C29"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756CA752" w14:textId="77777777" w:rsidR="00B51B4F" w:rsidRDefault="00B51B4F">
      <w:pPr>
        <w:spacing w:after="0" w:line="480" w:lineRule="auto"/>
        <w:rPr>
          <w:rFonts w:ascii="Times New Roman" w:eastAsia="Times New Roman" w:hAnsi="Times New Roman" w:cs="Times New Roman"/>
          <w:sz w:val="24"/>
          <w:szCs w:val="24"/>
        </w:rPr>
      </w:pPr>
    </w:p>
    <w:p w14:paraId="645BDA51" w14:textId="43412D2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about retrospective </w:t>
      </w:r>
      <w:r w:rsidR="003D1B11">
        <w:rPr>
          <w:rFonts w:ascii="Times New Roman" w:eastAsia="Times New Roman" w:hAnsi="Times New Roman" w:cs="Times New Roman"/>
          <w:sz w:val="24"/>
          <w:szCs w:val="24"/>
        </w:rPr>
        <w:t>reaso</w:t>
      </w:r>
      <w:r w:rsidR="009015C7">
        <w:rPr>
          <w:rFonts w:ascii="Times New Roman" w:eastAsia="Times New Roman" w:hAnsi="Times New Roman" w:cs="Times New Roman"/>
          <w:sz w:val="24"/>
          <w:szCs w:val="24"/>
        </w:rPr>
        <w:t>ning</w:t>
      </w:r>
      <w:r>
        <w:rPr>
          <w:rFonts w:ascii="Times New Roman" w:eastAsia="Times New Roman" w:hAnsi="Times New Roman" w:cs="Times New Roman"/>
          <w:sz w:val="24"/>
          <w:szCs w:val="24"/>
        </w:rPr>
        <w:t xml:space="preserve">, nor do they permit the conclusion that children rely exclusively on associative learning about such inferences. Instead, these data support the conclusion that children weigh these two cognitive mechanisms differently </w:t>
      </w:r>
      <w:r>
        <w:rPr>
          <w:rFonts w:ascii="Times New Roman" w:eastAsia="Times New Roman" w:hAnsi="Times New Roman" w:cs="Times New Roman"/>
          <w:sz w:val="24"/>
          <w:szCs w:val="24"/>
        </w:rPr>
        <w:lastRenderedPageBreak/>
        <w:t xml:space="preserve">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p>
    <w:p w14:paraId="32D33410"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6B810D19" w14:textId="69A746C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w:t>
      </w:r>
      <w:r w:rsidR="008B3EC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must track the efficacy of more than two objects. Experiment 1 indicated that when shown first that three objects activated a machine together, and then that one of those objects did so </w:t>
      </w:r>
      <w:r w:rsidR="005A2B14">
        <w:rPr>
          <w:rFonts w:ascii="Times New Roman" w:eastAsia="Times New Roman" w:hAnsi="Times New Roman" w:cs="Times New Roman"/>
          <w:sz w:val="24"/>
          <w:szCs w:val="24"/>
        </w:rPr>
        <w:t>individually, the</w:t>
      </w:r>
      <w:r>
        <w:rPr>
          <w:rFonts w:ascii="Times New Roman" w:eastAsia="Times New Roman" w:hAnsi="Times New Roman" w:cs="Times New Roman"/>
          <w:sz w:val="24"/>
          <w:szCs w:val="24"/>
        </w:rPr>
        <w:t xml:space="preserve"> other two </w:t>
      </w:r>
      <w:r w:rsidR="001D3F17">
        <w:rPr>
          <w:rFonts w:ascii="Times New Roman" w:eastAsia="Times New Roman" w:hAnsi="Times New Roman" w:cs="Times New Roman"/>
          <w:sz w:val="24"/>
          <w:szCs w:val="24"/>
        </w:rPr>
        <w:t>objects were</w:t>
      </w:r>
      <w:r>
        <w:rPr>
          <w:rFonts w:ascii="Times New Roman" w:eastAsia="Times New Roman" w:hAnsi="Times New Roman" w:cs="Times New Roman"/>
          <w:sz w:val="24"/>
          <w:szCs w:val="24"/>
        </w:rPr>
        <w:t xml:space="preserv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w:t>
      </w:r>
      <w:r w:rsidR="001D3F17">
        <w:rPr>
          <w:rFonts w:ascii="Times New Roman" w:eastAsia="Times New Roman" w:hAnsi="Times New Roman" w:cs="Times New Roman"/>
          <w:sz w:val="24"/>
          <w:szCs w:val="24"/>
        </w:rPr>
        <w:t>activate</w:t>
      </w:r>
      <w:r>
        <w:rPr>
          <w:rFonts w:ascii="Times New Roman" w:eastAsia="Times New Roman" w:hAnsi="Times New Roman" w:cs="Times New Roman"/>
          <w:sz w:val="24"/>
          <w:szCs w:val="24"/>
        </w:rPr>
        <w:t xml:space="preserve"> or not activate the machine</w:t>
      </w:r>
      <w:r w:rsidR="001D3F17">
        <w:rPr>
          <w:rFonts w:ascii="Times New Roman" w:eastAsia="Times New Roman" w:hAnsi="Times New Roman" w:cs="Times New Roman"/>
          <w:sz w:val="24"/>
          <w:szCs w:val="24"/>
        </w:rPr>
        <w:t xml:space="preserve"> together (following the ABC+ event)</w:t>
      </w:r>
      <w:r>
        <w:rPr>
          <w:rFonts w:ascii="Times New Roman" w:eastAsia="Times New Roman" w:hAnsi="Times New Roman" w:cs="Times New Roman"/>
          <w:sz w:val="24"/>
          <w:szCs w:val="24"/>
        </w:rPr>
        <w:t>, children did not show evidence of retrospective inference in either type of trial.</w:t>
      </w:r>
    </w:p>
    <w:p w14:paraId="50E05644"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w:t>
      </w:r>
      <w:r>
        <w:rPr>
          <w:rFonts w:ascii="Times New Roman" w:eastAsia="Times New Roman" w:hAnsi="Times New Roman" w:cs="Times New Roman"/>
          <w:sz w:val="24"/>
          <w:szCs w:val="24"/>
        </w:rPr>
        <w:lastRenderedPageBreak/>
        <w:t xml:space="preserve">associative strategy. This was especially true in Experiment 2 where the information demands were even greater than that in Experiment 1.    </w:t>
      </w:r>
    </w:p>
    <w:p w14:paraId="495A54FB" w14:textId="046A55B2"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 in the backwards blocking condition.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t>
      </w:r>
      <w:r w:rsidR="008B3EC6">
        <w:rPr>
          <w:rFonts w:ascii="Times New Roman" w:eastAsia="Times New Roman" w:hAnsi="Times New Roman" w:cs="Times New Roman"/>
          <w:sz w:val="24"/>
          <w:szCs w:val="24"/>
        </w:rPr>
        <w:t xml:space="preserve">might also be relying on a </w:t>
      </w:r>
      <w:r>
        <w:rPr>
          <w:rFonts w:ascii="Times New Roman" w:eastAsia="Times New Roman" w:hAnsi="Times New Roman" w:cs="Times New Roman"/>
          <w:sz w:val="24"/>
          <w:szCs w:val="24"/>
        </w:rPr>
        <w:t xml:space="preserve">similar </w:t>
      </w:r>
      <w:r w:rsidR="008B3EC6">
        <w:rPr>
          <w:rFonts w:ascii="Times New Roman" w:eastAsia="Times New Roman" w:hAnsi="Times New Roman" w:cs="Times New Roman"/>
          <w:sz w:val="24"/>
          <w:szCs w:val="24"/>
        </w:rPr>
        <w:t>associative-based</w:t>
      </w:r>
      <w:r>
        <w:rPr>
          <w:rFonts w:ascii="Times New Roman" w:eastAsia="Times New Roman" w:hAnsi="Times New Roman" w:cs="Times New Roman"/>
          <w:sz w:val="24"/>
          <w:szCs w:val="24"/>
        </w:rPr>
        <w:t xml:space="preserve"> counting procedure. </w:t>
      </w:r>
    </w:p>
    <w:p w14:paraId="684746F1" w14:textId="77777777" w:rsidR="008B3EC6" w:rsidRDefault="00000000"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predicted a clear difference between the causal effectiveness of the first three objects and the fourth object. Because the fourth object was placed on the machine by itself, its causal status as an effective object is unambiguous and should be high. In contrast, when all children know is that three objects activate the machine together, the </w:t>
      </w:r>
      <w:r>
        <w:rPr>
          <w:rFonts w:ascii="Times New Roman" w:eastAsia="Times New Roman" w:hAnsi="Times New Roman" w:cs="Times New Roman"/>
          <w:sz w:val="24"/>
          <w:szCs w:val="24"/>
        </w:rPr>
        <w:lastRenderedPageBreak/>
        <w:t xml:space="preserve">only conclusion they can come to is that at least one of the other three objects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6DA3CADC" w14:textId="16F8F7CE" w:rsidR="00B51B4F" w:rsidRDefault="00540A9A"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p>
    <w:p w14:paraId="3FAA3FF9" w14:textId="5261F67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w:t>
      </w:r>
      <w:r w:rsidR="00D57761">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making an inference. If we were to have done so, and in the case where the base rate </w:t>
      </w:r>
      <w:r w:rsidR="00D57761">
        <w:rPr>
          <w:rFonts w:ascii="Times New Roman" w:eastAsia="Times New Roman" w:hAnsi="Times New Roman" w:cs="Times New Roman"/>
          <w:sz w:val="24"/>
          <w:szCs w:val="24"/>
        </w:rPr>
        <w:t xml:space="preserve">that any one object was a blicket was </w:t>
      </w:r>
      <w:r>
        <w:rPr>
          <w:rFonts w:ascii="Times New Roman" w:eastAsia="Times New Roman" w:hAnsi="Times New Roman" w:cs="Times New Roman"/>
          <w:sz w:val="24"/>
          <w:szCs w:val="24"/>
        </w:rPr>
        <w:t xml:space="preserve">rare, children might </w:t>
      </w:r>
      <w:r w:rsidR="00D5776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D57761">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cued not to use an associative counting strategy, even given multiple potential causes. In other words, their inferences about unambiguous data (i.e., individual objects that specifically do or do not activate the machine) should be unchanged, </w:t>
      </w:r>
      <w:r>
        <w:rPr>
          <w:rFonts w:ascii="Times New Roman" w:eastAsia="Times New Roman" w:hAnsi="Times New Roman" w:cs="Times New Roman"/>
          <w:sz w:val="24"/>
          <w:szCs w:val="24"/>
        </w:rPr>
        <w:lastRenderedPageBreak/>
        <w:t xml:space="preserve">but other inferences about ambiguous data might be different. Although we can think of modifications to </w:t>
      </w:r>
      <w:r w:rsidR="008B3E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associative model</w:t>
      </w:r>
      <w:r w:rsidR="008B3EC6">
        <w:rPr>
          <w:rFonts w:ascii="Times New Roman" w:eastAsia="Times New Roman" w:hAnsi="Times New Roman" w:cs="Times New Roman"/>
          <w:sz w:val="24"/>
          <w:szCs w:val="24"/>
        </w:rPr>
        <w:t xml:space="preserve"> presented here</w:t>
      </w:r>
      <w:r>
        <w:rPr>
          <w:rFonts w:ascii="Times New Roman" w:eastAsia="Times New Roman" w:hAnsi="Times New Roman" w:cs="Times New Roman"/>
          <w:sz w:val="24"/>
          <w:szCs w:val="24"/>
        </w:rPr>
        <w:t xml:space="preserve">, which could theoretically consider such base rate data, the simple connectionist model that we used to simulate the data here would be less explanatory than the Bayesian model we present.  </w:t>
      </w:r>
    </w:p>
    <w:p w14:paraId="01651C96" w14:textId="68E2A99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t>
      </w:r>
      <w:r w:rsidR="008B3EC6">
        <w:rPr>
          <w:rFonts w:ascii="Times New Roman" w:eastAsia="Times New Roman" w:hAnsi="Times New Roman" w:cs="Times New Roman"/>
          <w:sz w:val="24"/>
          <w:szCs w:val="24"/>
        </w:rPr>
        <w:t xml:space="preserve"> using real objects and a real blicket machine</w:t>
      </w:r>
      <w:r>
        <w:rPr>
          <w:rFonts w:ascii="Times New Roman" w:eastAsia="Times New Roman" w:hAnsi="Times New Roman" w:cs="Times New Roman"/>
          <w:sz w:val="24"/>
          <w:szCs w:val="24"/>
        </w:rPr>
        <w:t xml:space="preserv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1F0653E7" w14:textId="057E594E"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w:t>
      </w:r>
      <w:r w:rsidR="00D57761">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tudies with adults</w:t>
      </w:r>
      <w:r w:rsidR="00D57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r w:rsidR="008B3EC6">
        <w:rPr>
          <w:rFonts w:ascii="Times New Roman" w:eastAsia="Times New Roman" w:hAnsi="Times New Roman" w:cs="Times New Roman"/>
          <w:sz w:val="24"/>
          <w:szCs w:val="24"/>
        </w:rPr>
        <w:t xml:space="preserve">Relatedly, the logic behind our decision for the sample size of the studies was based on prior studies that demonstrated children’s reasoning that were better described by Bayesian models. </w:t>
      </w:r>
      <w:r w:rsidR="008B3EC6">
        <w:rPr>
          <w:rFonts w:ascii="Times New Roman" w:eastAsia="Times New Roman" w:hAnsi="Times New Roman" w:cs="Times New Roman"/>
          <w:sz w:val="24"/>
          <w:szCs w:val="24"/>
        </w:rPr>
        <w:lastRenderedPageBreak/>
        <w:t xml:space="preserve">The choice of aggregating children’s yes/no responses might not have been sufficiently powerful here to demonstrate some of the more subtle inferences predicted by a Bayesian account.      </w:t>
      </w:r>
      <w:r>
        <w:rPr>
          <w:rFonts w:ascii="Times New Roman" w:eastAsia="Times New Roman" w:hAnsi="Times New Roman" w:cs="Times New Roman"/>
          <w:sz w:val="24"/>
          <w:szCs w:val="24"/>
        </w:rPr>
        <w:t xml:space="preserve">     </w:t>
      </w:r>
    </w:p>
    <w:p w14:paraId="0F9DE8FC" w14:textId="0B2A305C" w:rsidR="008B3EC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t>
      </w:r>
      <w:r w:rsidR="008B3EC6">
        <w:rPr>
          <w:rFonts w:ascii="Times New Roman" w:eastAsia="Times New Roman" w:hAnsi="Times New Roman" w:cs="Times New Roman"/>
          <w:sz w:val="24"/>
          <w:szCs w:val="24"/>
        </w:rPr>
        <w:t xml:space="preserve">capacities </w:t>
      </w:r>
      <w:r>
        <w:rPr>
          <w:rFonts w:ascii="Times New Roman" w:eastAsia="Times New Roman" w:hAnsi="Times New Roman" w:cs="Times New Roman"/>
          <w:sz w:val="24"/>
          <w:szCs w:val="24"/>
        </w:rPr>
        <w: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50CD7B3E" w14:textId="07FFA88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current one—including in the use of three and four objects—adults’ backwards blocking inferences better aligned with Bayesian processes than associative ones. When one considers this finding given the current results, a clearer developmental picture emerges</w:t>
      </w:r>
      <w:r w:rsidR="00D5776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not only suggest that cognitive processing evolves from a more associative approach in younger </w:t>
      </w:r>
      <w:r>
        <w:rPr>
          <w:rFonts w:ascii="Times New Roman" w:eastAsia="Times New Roman" w:hAnsi="Times New Roman" w:cs="Times New Roman"/>
          <w:sz w:val="24"/>
          <w:szCs w:val="24"/>
        </w:rPr>
        <w:lastRenderedPageBreak/>
        <w:t xml:space="preserve">children to a more Bayesian-oriented strategy in adults but that this developmental shift may be supported by increases in underlying information-processing. Nonetheless, future research will want to test younger children than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tested here to better assess the viability of the current information-processing account.</w:t>
      </w:r>
    </w:p>
    <w:p w14:paraId="75FDD2F3" w14:textId="77777777" w:rsidR="00B51B4F"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5929922" w14:textId="77777777" w:rsidR="00B51B4F"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040973B7" w14:textId="77777777" w:rsidR="00B51B4F" w:rsidRDefault="00000000">
      <w:pPr>
        <w:rPr>
          <w:rFonts w:ascii="Times New Roman" w:eastAsia="Times New Roman" w:hAnsi="Times New Roman" w:cs="Times New Roman"/>
          <w:color w:val="000000"/>
          <w:sz w:val="24"/>
          <w:szCs w:val="24"/>
        </w:rPr>
      </w:pPr>
      <w:r>
        <w:br w:type="page"/>
      </w:r>
    </w:p>
    <w:p w14:paraId="79A8D618" w14:textId="77777777" w:rsidR="00B51B4F"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D2A53C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3BDCB2E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1CC888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42E8F9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1947341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A59AC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7B3001B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BBE842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56E0885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EDB1FA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375B719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4A2263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244B8E2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199490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7094849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0CAF5AE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3E3FA21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2A3A397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16BADC9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9ADC20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39F98EB0"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35E3D15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7FE334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584AD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83B56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7816BA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1B0BC5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2D93665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0AC97FD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6F3AB82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3AB7372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1CB0F8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061EC7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5CE674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A5CA26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0ECFF9B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BAB3A8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52F0C8C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A53203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20767A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1200F6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55FC339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475513A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25DF028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77708B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B3B96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0DC0C1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64C7C0BD" w14:textId="77777777" w:rsidR="00B51B4F"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5E3A075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7337CD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EE1D23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784B02C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70B5F12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0EF1E2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7079E80F" w14:textId="77777777" w:rsidR="00B51B4F" w:rsidRDefault="00B51B4F">
      <w:pPr>
        <w:spacing w:after="0" w:line="480" w:lineRule="auto"/>
        <w:ind w:left="720" w:hanging="720"/>
        <w:rPr>
          <w:rFonts w:ascii="Times New Roman" w:eastAsia="Times New Roman" w:hAnsi="Times New Roman" w:cs="Times New Roman"/>
          <w:color w:val="222222"/>
          <w:sz w:val="24"/>
          <w:szCs w:val="24"/>
          <w:highlight w:val="white"/>
        </w:rPr>
      </w:pPr>
    </w:p>
    <w:p w14:paraId="0FC8716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7B329E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F5B403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ABB216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77FE02D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66C03E2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81C8F9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7ABC991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04B26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E0C5B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B24547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4BC9CB7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78FC42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165459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52C876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8526AE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CDD17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8E99B47" w14:textId="77777777" w:rsidR="00B51B4F" w:rsidRDefault="00B51B4F">
      <w:pPr>
        <w:rPr>
          <w:rFonts w:ascii="Times New Roman" w:eastAsia="Times New Roman" w:hAnsi="Times New Roman" w:cs="Times New Roman"/>
          <w:color w:val="222222"/>
          <w:sz w:val="24"/>
          <w:szCs w:val="24"/>
          <w:highlight w:val="white"/>
        </w:rPr>
      </w:pPr>
    </w:p>
    <w:sectPr w:rsidR="00B51B4F">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69F1" w14:textId="77777777" w:rsidR="008F6F17" w:rsidRDefault="008F6F17">
      <w:pPr>
        <w:spacing w:after="0" w:line="240" w:lineRule="auto"/>
      </w:pPr>
      <w:r>
        <w:separator/>
      </w:r>
    </w:p>
  </w:endnote>
  <w:endnote w:type="continuationSeparator" w:id="0">
    <w:p w14:paraId="04033852" w14:textId="77777777" w:rsidR="008F6F17" w:rsidRDefault="008F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8F7F" w14:textId="77777777" w:rsidR="008F6F17" w:rsidRDefault="008F6F17">
      <w:pPr>
        <w:spacing w:after="0" w:line="240" w:lineRule="auto"/>
      </w:pPr>
      <w:r>
        <w:separator/>
      </w:r>
    </w:p>
  </w:footnote>
  <w:footnote w:type="continuationSeparator" w:id="0">
    <w:p w14:paraId="4075D338" w14:textId="77777777" w:rsidR="008F6F17" w:rsidRDefault="008F6F17">
      <w:pPr>
        <w:spacing w:after="0" w:line="240" w:lineRule="auto"/>
      </w:pPr>
      <w:r>
        <w:continuationSeparator/>
      </w:r>
    </w:p>
  </w:footnote>
  <w:footnote w:id="1">
    <w:p w14:paraId="02BD8E03" w14:textId="77777777" w:rsidR="003D1B11" w:rsidRDefault="003D1B11" w:rsidP="003D1B1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778A3332" w14:textId="77777777" w:rsidR="00B51B4F" w:rsidRDefault="00B51B4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163C1C"/>
    <w:rsid w:val="001D3F17"/>
    <w:rsid w:val="00287421"/>
    <w:rsid w:val="00323EF3"/>
    <w:rsid w:val="00337CCA"/>
    <w:rsid w:val="003D1B11"/>
    <w:rsid w:val="004815AC"/>
    <w:rsid w:val="0048164D"/>
    <w:rsid w:val="00524DD5"/>
    <w:rsid w:val="0053448D"/>
    <w:rsid w:val="00540A9A"/>
    <w:rsid w:val="005468F4"/>
    <w:rsid w:val="005822F5"/>
    <w:rsid w:val="005904E0"/>
    <w:rsid w:val="005A2B14"/>
    <w:rsid w:val="005C0D5A"/>
    <w:rsid w:val="006062B9"/>
    <w:rsid w:val="0065176E"/>
    <w:rsid w:val="00780046"/>
    <w:rsid w:val="007C0890"/>
    <w:rsid w:val="008B3EC6"/>
    <w:rsid w:val="008E46D4"/>
    <w:rsid w:val="008F6F17"/>
    <w:rsid w:val="009015C7"/>
    <w:rsid w:val="00930AF2"/>
    <w:rsid w:val="0093640C"/>
    <w:rsid w:val="00947713"/>
    <w:rsid w:val="0096382B"/>
    <w:rsid w:val="009831BC"/>
    <w:rsid w:val="009E278A"/>
    <w:rsid w:val="00A56A4D"/>
    <w:rsid w:val="00A65380"/>
    <w:rsid w:val="00B51B4F"/>
    <w:rsid w:val="00B9593E"/>
    <w:rsid w:val="00BB542D"/>
    <w:rsid w:val="00C11047"/>
    <w:rsid w:val="00C33F72"/>
    <w:rsid w:val="00C717F0"/>
    <w:rsid w:val="00C8142F"/>
    <w:rsid w:val="00D57761"/>
    <w:rsid w:val="00D80C23"/>
    <w:rsid w:val="00FA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10560</Words>
  <Characters>60194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4</cp:revision>
  <dcterms:created xsi:type="dcterms:W3CDTF">2023-10-01T15:37:00Z</dcterms:created>
  <dcterms:modified xsi:type="dcterms:W3CDTF">2023-10-01T16:01:00Z</dcterms:modified>
</cp:coreProperties>
</file>