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26D4D5E2" w14:textId="265BB76E" w:rsidR="00A403CF"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 xml:space="preserve">is much less </w:t>
      </w:r>
      <w:r w:rsidR="009D4846">
        <w:rPr>
          <w:rFonts w:ascii="Times New Roman" w:hAnsi="Times New Roman" w:cs="Times New Roman"/>
          <w:sz w:val="24"/>
          <w:szCs w:val="24"/>
        </w:rPr>
        <w:t xml:space="preserve">agreement </w:t>
      </w:r>
      <w:r w:rsidRPr="001E2FC1">
        <w:rPr>
          <w:rFonts w:ascii="Times New Roman" w:hAnsi="Times New Roman" w:cs="Times New Roman"/>
          <w:sz w:val="24"/>
          <w:szCs w:val="24"/>
        </w:rPr>
        <w:t>among</w:t>
      </w:r>
      <w:r w:rsidR="009D4846">
        <w:rPr>
          <w:rFonts w:ascii="Times New Roman" w:hAnsi="Times New Roman" w:cs="Times New Roman"/>
          <w:sz w:val="24"/>
          <w:szCs w:val="24"/>
        </w:rPr>
        <w:t xml:space="preserve"> researchers and</w:t>
      </w:r>
      <w:r w:rsidRPr="001E2FC1">
        <w:rPr>
          <w:rFonts w:ascii="Times New Roman" w:hAnsi="Times New Roman" w:cs="Times New Roman"/>
          <w:sz w:val="24"/>
          <w:szCs w:val="24"/>
        </w:rPr>
        <w:t xml:space="preserve"> theorists about</w:t>
      </w:r>
      <w:r w:rsidR="00424602">
        <w:rPr>
          <w:rFonts w:ascii="Times New Roman" w:hAnsi="Times New Roman" w:cs="Times New Roman"/>
          <w:sz w:val="24"/>
          <w:szCs w:val="24"/>
        </w:rPr>
        <w:t xml:space="preserve"> </w:t>
      </w:r>
      <w:r w:rsidR="00424602">
        <w:rPr>
          <w:rFonts w:ascii="Times New Roman" w:hAnsi="Times New Roman" w:cs="Times New Roman"/>
          <w:i/>
          <w:iCs/>
          <w:sz w:val="24"/>
          <w:szCs w:val="24"/>
        </w:rPr>
        <w:t>how</w:t>
      </w:r>
      <w:r w:rsidR="00424602">
        <w:rPr>
          <w:rFonts w:ascii="Times New Roman" w:hAnsi="Times New Roman" w:cs="Times New Roman"/>
          <w:sz w:val="24"/>
          <w:szCs w:val="24"/>
        </w:rPr>
        <w:t>—that is, by what</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sidR="00424602">
        <w:rPr>
          <w:rFonts w:ascii="Times New Roman" w:hAnsi="Times New Roman" w:cs="Times New Roman"/>
          <w:sz w:val="24"/>
          <w:szCs w:val="24"/>
        </w:rPr>
        <w:t>—</w:t>
      </w:r>
      <w:r>
        <w:rPr>
          <w:rFonts w:ascii="Times New Roman" w:hAnsi="Times New Roman" w:cs="Times New Roman"/>
          <w:sz w:val="24"/>
          <w:szCs w:val="24"/>
        </w:rPr>
        <w:t>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as has 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w:t>
      </w:r>
      <w:r w:rsidR="00424602">
        <w:rPr>
          <w:rFonts w:ascii="Times New Roman" w:hAnsi="Times New Roman" w:cs="Times New Roman"/>
          <w:sz w:val="24"/>
          <w:szCs w:val="24"/>
        </w:rPr>
        <w:t xml:space="preserve"> more rational processes such</w:t>
      </w:r>
      <w:r>
        <w:rPr>
          <w:rFonts w:ascii="Times New Roman" w:hAnsi="Times New Roman" w:cs="Times New Roman"/>
          <w:sz w:val="24"/>
          <w:szCs w:val="24"/>
        </w:rPr>
        <w:t xml:space="preserve"> Bayesian-inference mechanism</w:t>
      </w:r>
      <w:r w:rsidR="00424602">
        <w:rPr>
          <w:rFonts w:ascii="Times New Roman" w:hAnsi="Times New Roman" w:cs="Times New Roman"/>
          <w:sz w:val="24"/>
          <w:szCs w:val="24"/>
        </w:rPr>
        <w:t>s</w:t>
      </w:r>
      <w:r w:rsidRPr="001E2FC1">
        <w:rPr>
          <w:rFonts w:ascii="Times New Roman" w:hAnsi="Times New Roman" w:cs="Times New Roman"/>
          <w:sz w:val="24"/>
          <w:szCs w:val="24"/>
        </w:rPr>
        <w:t>.</w:t>
      </w:r>
      <w:r>
        <w:rPr>
          <w:rFonts w:ascii="Times New Roman" w:hAnsi="Times New Roman" w:cs="Times New Roman"/>
          <w:sz w:val="24"/>
          <w:szCs w:val="24"/>
        </w:rPr>
        <w:t xml:space="preserve"> </w:t>
      </w:r>
    </w:p>
    <w:p w14:paraId="0BB2E22F" w14:textId="77777777" w:rsidR="002F1763" w:rsidRDefault="002F1763" w:rsidP="002F176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w:t>
      </w:r>
      <w:proofErr w:type="spellStart"/>
      <w:r>
        <w:rPr>
          <w:rFonts w:ascii="Times New Roman" w:hAnsi="Times New Roman" w:cs="Times New Roman"/>
          <w:sz w:val="24"/>
          <w:szCs w:val="24"/>
        </w:rPr>
        <w:t>Rakison</w:t>
      </w:r>
      <w:proofErr w:type="spellEnd"/>
      <w:r>
        <w:rPr>
          <w:rFonts w:ascii="Times New Roman" w:hAnsi="Times New Roman" w:cs="Times New Roman"/>
          <w:sz w:val="24"/>
          <w:szCs w:val="24"/>
        </w:rPr>
        <w:t xml:space="preserve">,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 xml:space="preserve">Meltzoff, </w:t>
      </w:r>
      <w:proofErr w:type="spellStart"/>
      <w:r w:rsidRPr="00B26745">
        <w:rPr>
          <w:rFonts w:ascii="Times New Roman" w:hAnsi="Times New Roman" w:cs="Times New Roman"/>
          <w:sz w:val="24"/>
          <w:szCs w:val="24"/>
        </w:rPr>
        <w:t>Waismeyer</w:t>
      </w:r>
      <w:proofErr w:type="spellEnd"/>
      <w:r w:rsidRPr="00B26745">
        <w:rPr>
          <w:rFonts w:ascii="Times New Roman" w:hAnsi="Times New Roman" w:cs="Times New Roman"/>
          <w:sz w:val="24"/>
          <w:szCs w:val="24"/>
        </w:rPr>
        <w:t>,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variations on this design </w:t>
      </w:r>
      <w:r>
        <w:rPr>
          <w:rFonts w:ascii="Times New Roman" w:hAnsi="Times New Roman" w:cs="Times New Roman"/>
          <w:sz w:val="24"/>
          <w:szCs w:val="24"/>
        </w:rPr>
        <w:lastRenderedPageBreak/>
        <w:t>have been used to evaluate adults’ causal reasoning abilities (e.g., Griffiths et al., 2011),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14DA89C3" w14:textId="2403D0FB" w:rsidR="00D30402" w:rsidRDefault="00E44489" w:rsidP="00D30402">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Pr="00E3186E">
        <w:rPr>
          <w:rFonts w:ascii="Times New Roman" w:hAnsi="Times New Roman" w:cs="Times New Roman"/>
          <w:sz w:val="24"/>
          <w:szCs w:val="24"/>
        </w:rPr>
        <w:t>Of the findings</w:t>
      </w:r>
      <w:r>
        <w:rPr>
          <w:rFonts w:ascii="Times New Roman" w:hAnsi="Times New Roman" w:cs="Times New Roman"/>
          <w:sz w:val="24"/>
          <w:szCs w:val="24"/>
        </w:rPr>
        <w:t xml:space="preserve"> that have been reported by researchers who have used the blicket-detector methodology,</w:t>
      </w:r>
      <w:r w:rsidRPr="00E3186E">
        <w:rPr>
          <w:rFonts w:ascii="Times New Roman" w:hAnsi="Times New Roman" w:cs="Times New Roman"/>
          <w:sz w:val="24"/>
          <w:szCs w:val="24"/>
        </w:rPr>
        <w:t xml:space="preserve"> perhaps</w:t>
      </w:r>
      <w:r>
        <w:rPr>
          <w:rFonts w:ascii="Times New Roman" w:hAnsi="Times New Roman" w:cs="Times New Roman"/>
          <w:sz w:val="24"/>
          <w:szCs w:val="24"/>
        </w:rPr>
        <w:t xml:space="preserve"> none have been more controversial than that by Sobel, Tenenbaum, and Gopnik (2004). They showed</w:t>
      </w:r>
      <w:r w:rsidRPr="00E3186E">
        <w:rPr>
          <w:rFonts w:ascii="Times New Roman" w:hAnsi="Times New Roman" w:cs="Times New Roman"/>
          <w:sz w:val="24"/>
          <w:szCs w:val="24"/>
        </w:rPr>
        <w:t xml:space="preserve"> </w:t>
      </w:r>
      <w:r>
        <w:rPr>
          <w:rFonts w:ascii="Times New Roman" w:hAnsi="Times New Roman" w:cs="Times New Roman"/>
          <w:sz w:val="24"/>
          <w:szCs w:val="24"/>
        </w:rPr>
        <w:t>that</w:t>
      </w:r>
      <w:r w:rsidRPr="00E3186E">
        <w:rPr>
          <w:rFonts w:ascii="Times New Roman" w:hAnsi="Times New Roman" w:cs="Times New Roman"/>
          <w:sz w:val="24"/>
          <w:szCs w:val="24"/>
        </w:rPr>
        <w:t xml:space="preserve"> </w:t>
      </w:r>
      <w:r>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267F79">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w:t>
      </w:r>
      <w:r>
        <w:rPr>
          <w:rFonts w:ascii="Times New Roman" w:hAnsi="Times New Roman" w:cs="Times New Roman"/>
          <w:sz w:val="24"/>
          <w:szCs w:val="24"/>
        </w:rPr>
        <w:t>engage in BB</w:t>
      </w:r>
      <w:r w:rsidRPr="00E3186E">
        <w:rPr>
          <w:rFonts w:ascii="Times New Roman" w:hAnsi="Times New Roman" w:cs="Times New Roman"/>
          <w:sz w:val="24"/>
          <w:szCs w:val="24"/>
        </w:rPr>
        <w:t xml:space="preserve"> reasoning</w:t>
      </w:r>
      <w:r>
        <w:rPr>
          <w:rFonts w:ascii="Times New Roman" w:hAnsi="Times New Roman" w:cs="Times New Roman"/>
          <w:sz w:val="24"/>
          <w:szCs w:val="24"/>
        </w:rPr>
        <w:t xml:space="preserve"> and IS reasoning</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D95302">
        <w:rPr>
          <w:rFonts w:ascii="Times New Roman" w:hAnsi="Times New Roman" w:cs="Times New Roman"/>
          <w:sz w:val="24"/>
          <w:szCs w:val="24"/>
        </w:rPr>
        <w:t>Children</w:t>
      </w:r>
      <w:r w:rsidRPr="00E3186E">
        <w:rPr>
          <w:rFonts w:ascii="Times New Roman" w:hAnsi="Times New Roman" w:cs="Times New Roman"/>
          <w:sz w:val="24"/>
          <w:szCs w:val="24"/>
        </w:rPr>
        <w:t xml:space="preserve"> were shown initially that </w:t>
      </w:r>
      <w:r>
        <w:rPr>
          <w:rFonts w:ascii="Times New Roman" w:hAnsi="Times New Roman" w:cs="Times New Roman"/>
          <w:sz w:val="24"/>
          <w:szCs w:val="24"/>
        </w:rPr>
        <w:t>two novel objects</w:t>
      </w:r>
      <w:r w:rsidRPr="00E3186E">
        <w:rPr>
          <w:rFonts w:ascii="Times New Roman" w:hAnsi="Times New Roman" w:cs="Times New Roman"/>
          <w:sz w:val="24"/>
          <w:szCs w:val="24"/>
        </w:rPr>
        <w:t xml:space="preserve"> A and B</w:t>
      </w:r>
      <w:r>
        <w:rPr>
          <w:rFonts w:ascii="Times New Roman" w:hAnsi="Times New Roman" w:cs="Times New Roman"/>
          <w:sz w:val="24"/>
          <w:szCs w:val="24"/>
        </w:rPr>
        <w:t xml:space="preserve"> together</w:t>
      </w:r>
      <w:r w:rsidRPr="00E3186E">
        <w:rPr>
          <w:rFonts w:ascii="Times New Roman" w:hAnsi="Times New Roman" w:cs="Times New Roman"/>
          <w:sz w:val="24"/>
          <w:szCs w:val="24"/>
        </w:rPr>
        <w:t xml:space="preserve"> caused the detector </w:t>
      </w:r>
      <w:r>
        <w:rPr>
          <w:rFonts w:ascii="Times New Roman" w:hAnsi="Times New Roman" w:cs="Times New Roman"/>
          <w:sz w:val="24"/>
          <w:szCs w:val="24"/>
        </w:rPr>
        <w:t>to activate</w:t>
      </w:r>
      <w:r w:rsidRPr="00E3186E">
        <w:rPr>
          <w:rFonts w:ascii="Times New Roman" w:hAnsi="Times New Roman" w:cs="Times New Roman"/>
          <w:sz w:val="24"/>
          <w:szCs w:val="24"/>
        </w:rPr>
        <w:t xml:space="preserve"> </w:t>
      </w:r>
      <w:r>
        <w:rPr>
          <w:rFonts w:ascii="Times New Roman" w:hAnsi="Times New Roman" w:cs="Times New Roman"/>
          <w:sz w:val="24"/>
          <w:szCs w:val="24"/>
        </w:rPr>
        <w:t>and</w:t>
      </w:r>
      <w:r w:rsidRPr="00E3186E">
        <w:rPr>
          <w:rFonts w:ascii="Times New Roman" w:hAnsi="Times New Roman" w:cs="Times New Roman"/>
          <w:sz w:val="24"/>
          <w:szCs w:val="24"/>
        </w:rPr>
        <w:t xml:space="preserve"> then that object A</w:t>
      </w:r>
      <w:r>
        <w:rPr>
          <w:rFonts w:ascii="Times New Roman" w:hAnsi="Times New Roman" w:cs="Times New Roman"/>
          <w:sz w:val="24"/>
          <w:szCs w:val="24"/>
        </w:rPr>
        <w:t xml:space="preserve"> alone either</w:t>
      </w:r>
      <w:r w:rsidRPr="00E3186E">
        <w:rPr>
          <w:rFonts w:ascii="Times New Roman" w:hAnsi="Times New Roman" w:cs="Times New Roman"/>
          <w:sz w:val="24"/>
          <w:szCs w:val="24"/>
        </w:rPr>
        <w:t xml:space="preserve"> failed to activate the detector (i.e., AB+ A-</w:t>
      </w:r>
      <w:r>
        <w:rPr>
          <w:rFonts w:ascii="Times New Roman" w:hAnsi="Times New Roman" w:cs="Times New Roman"/>
          <w:sz w:val="24"/>
          <w:szCs w:val="24"/>
        </w:rPr>
        <w:t>; IS condition</w:t>
      </w:r>
      <w:r w:rsidRPr="00E3186E">
        <w:rPr>
          <w:rFonts w:ascii="Times New Roman" w:hAnsi="Times New Roman" w:cs="Times New Roman"/>
          <w:sz w:val="24"/>
          <w:szCs w:val="24"/>
        </w:rPr>
        <w:t>)</w:t>
      </w:r>
      <w:r>
        <w:rPr>
          <w:rFonts w:ascii="Times New Roman" w:hAnsi="Times New Roman" w:cs="Times New Roman"/>
          <w:sz w:val="24"/>
          <w:szCs w:val="24"/>
        </w:rPr>
        <w:t xml:space="preserve"> or activated the detector when placed on it (i.e., AB+, A+; BB condition)</w:t>
      </w:r>
      <w:r w:rsidRPr="00E3186E">
        <w:rPr>
          <w:rFonts w:ascii="Times New Roman" w:hAnsi="Times New Roman" w:cs="Times New Roman"/>
          <w:sz w:val="24"/>
          <w:szCs w:val="24"/>
        </w:rPr>
        <w:t xml:space="preserve">.  Children in both conditions were then asked which of the two objects were blickets and to make the machine go by placing </w:t>
      </w:r>
      <w:r>
        <w:rPr>
          <w:rFonts w:ascii="Times New Roman" w:hAnsi="Times New Roman" w:cs="Times New Roman"/>
          <w:sz w:val="24"/>
          <w:szCs w:val="24"/>
        </w:rPr>
        <w:t>the blicket</w:t>
      </w:r>
      <w:r w:rsidRPr="00E3186E">
        <w:rPr>
          <w:rFonts w:ascii="Times New Roman" w:hAnsi="Times New Roman" w:cs="Times New Roman"/>
          <w:sz w:val="24"/>
          <w:szCs w:val="24"/>
        </w:rPr>
        <w:t xml:space="preserve"> on </w:t>
      </w:r>
      <w:r>
        <w:rPr>
          <w:rFonts w:ascii="Times New Roman" w:hAnsi="Times New Roman" w:cs="Times New Roman"/>
          <w:sz w:val="24"/>
          <w:szCs w:val="24"/>
        </w:rPr>
        <w:t>the detector</w:t>
      </w:r>
      <w:r w:rsidRPr="00E3186E">
        <w:rPr>
          <w:rFonts w:ascii="Times New Roman" w:hAnsi="Times New Roman" w:cs="Times New Roman"/>
          <w:sz w:val="24"/>
          <w:szCs w:val="24"/>
        </w:rPr>
        <w:t xml:space="preserve">. It is worth noting that the </w:t>
      </w:r>
      <w:r>
        <w:rPr>
          <w:rFonts w:ascii="Times New Roman" w:hAnsi="Times New Roman" w:cs="Times New Roman"/>
          <w:sz w:val="24"/>
          <w:szCs w:val="24"/>
        </w:rPr>
        <w:t>BB</w:t>
      </w:r>
      <w:r w:rsidRPr="00E3186E">
        <w:rPr>
          <w:rFonts w:ascii="Times New Roman" w:hAnsi="Times New Roman" w:cs="Times New Roman"/>
          <w:sz w:val="24"/>
          <w:szCs w:val="24"/>
        </w:rPr>
        <w:t xml:space="preserve"> condition is so called because after observing that A alone</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activate the detector, </w:t>
      </w:r>
      <w:r>
        <w:rPr>
          <w:rFonts w:ascii="Times New Roman" w:hAnsi="Times New Roman" w:cs="Times New Roman"/>
          <w:sz w:val="24"/>
          <w:szCs w:val="24"/>
        </w:rPr>
        <w:t>children who engage in this form of reasoning are</w:t>
      </w:r>
      <w:r w:rsidRPr="00E3186E">
        <w:rPr>
          <w:rFonts w:ascii="Times New Roman" w:hAnsi="Times New Roman" w:cs="Times New Roman"/>
          <w:sz w:val="24"/>
          <w:szCs w:val="24"/>
        </w:rPr>
        <w:t xml:space="preserve"> thought </w:t>
      </w:r>
      <w:r>
        <w:rPr>
          <w:rFonts w:ascii="Times New Roman" w:hAnsi="Times New Roman" w:cs="Times New Roman"/>
          <w:sz w:val="24"/>
          <w:szCs w:val="24"/>
        </w:rPr>
        <w:t>to</w:t>
      </w:r>
      <w:r w:rsidRPr="00E3186E">
        <w:rPr>
          <w:rFonts w:ascii="Times New Roman" w:hAnsi="Times New Roman" w:cs="Times New Roman"/>
          <w:sz w:val="24"/>
          <w:szCs w:val="24"/>
        </w:rPr>
        <w:t xml:space="preserve"> </w:t>
      </w:r>
      <w:r>
        <w:rPr>
          <w:rFonts w:ascii="Times New Roman" w:hAnsi="Times New Roman" w:cs="Times New Roman"/>
          <w:sz w:val="24"/>
          <w:szCs w:val="24"/>
        </w:rPr>
        <w:t>disregard or block retrospectively object B as a potential cause because A was shown unequivocally to produce the effect.</w:t>
      </w:r>
      <w:r w:rsidRPr="00E3186E">
        <w:rPr>
          <w:rFonts w:ascii="Times New Roman" w:hAnsi="Times New Roman" w:cs="Times New Roman"/>
          <w:sz w:val="24"/>
          <w:szCs w:val="24"/>
        </w:rPr>
        <w:t xml:space="preserve"> </w:t>
      </w:r>
      <w:r>
        <w:rPr>
          <w:rFonts w:ascii="Times New Roman" w:hAnsi="Times New Roman" w:cs="Times New Roman"/>
          <w:sz w:val="24"/>
          <w:szCs w:val="24"/>
        </w:rPr>
        <w:t>In contrast, the</w:t>
      </w:r>
      <w:r w:rsidRPr="00E3186E">
        <w:rPr>
          <w:rFonts w:ascii="Times New Roman" w:hAnsi="Times New Roman" w:cs="Times New Roman"/>
          <w:sz w:val="24"/>
          <w:szCs w:val="24"/>
        </w:rPr>
        <w:t xml:space="preserve"> IS</w:t>
      </w:r>
      <w:r>
        <w:rPr>
          <w:rFonts w:ascii="Times New Roman" w:hAnsi="Times New Roman" w:cs="Times New Roman"/>
          <w:sz w:val="24"/>
          <w:szCs w:val="24"/>
        </w:rPr>
        <w:t>O</w:t>
      </w:r>
      <w:r w:rsidRPr="00E3186E">
        <w:rPr>
          <w:rFonts w:ascii="Times New Roman" w:hAnsi="Times New Roman" w:cs="Times New Roman"/>
          <w:sz w:val="24"/>
          <w:szCs w:val="24"/>
        </w:rPr>
        <w:t xml:space="preserve"> condition is so</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called because B is assumed </w:t>
      </w:r>
      <w:r>
        <w:rPr>
          <w:rFonts w:ascii="Times New Roman" w:hAnsi="Times New Roman" w:cs="Times New Roman"/>
          <w:sz w:val="24"/>
          <w:szCs w:val="24"/>
        </w:rPr>
        <w:t xml:space="preserve">indirectly </w:t>
      </w:r>
      <w:r w:rsidRPr="00E3186E">
        <w:rPr>
          <w:rFonts w:ascii="Times New Roman" w:hAnsi="Times New Roman" w:cs="Times New Roman"/>
          <w:sz w:val="24"/>
          <w:szCs w:val="24"/>
        </w:rPr>
        <w:t>to "screen off" or to block object A</w:t>
      </w:r>
      <w:r>
        <w:rPr>
          <w:rFonts w:ascii="Times New Roman" w:hAnsi="Times New Roman" w:cs="Times New Roman"/>
          <w:sz w:val="24"/>
          <w:szCs w:val="24"/>
        </w:rPr>
        <w:t xml:space="preserve"> as a potential cause given that A alone </w:t>
      </w:r>
      <w:r>
        <w:rPr>
          <w:rFonts w:ascii="Times New Roman" w:hAnsi="Times New Roman" w:cs="Times New Roman"/>
          <w:sz w:val="24"/>
          <w:szCs w:val="24"/>
        </w:rPr>
        <w:lastRenderedPageBreak/>
        <w:t>failed to activate the machine</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w:t>
      </w:r>
      <w:r w:rsidR="00B5769C">
        <w:rPr>
          <w:rFonts w:ascii="Times New Roman" w:hAnsi="Times New Roman" w:cs="Times New Roman"/>
          <w:sz w:val="24"/>
          <w:szCs w:val="24"/>
        </w:rPr>
        <w:t>trial by</w:t>
      </w:r>
      <w:r w:rsidR="007D7F7C">
        <w:rPr>
          <w:rFonts w:ascii="Times New Roman" w:hAnsi="Times New Roman" w:cs="Times New Roman"/>
          <w:sz w:val="24"/>
          <w:szCs w:val="24"/>
        </w:rPr>
        <w:t xml:space="preserve">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D30402">
        <w:rPr>
          <w:rFonts w:ascii="Times New Roman" w:hAnsi="Times New Roman" w:cs="Times New Roman"/>
          <w:sz w:val="24"/>
          <w:szCs w:val="24"/>
        </w:rPr>
        <w:t>they were told that the</w:t>
      </w:r>
      <w:r w:rsidR="00A45E84">
        <w:rPr>
          <w:rFonts w:ascii="Times New Roman" w:hAnsi="Times New Roman" w:cs="Times New Roman"/>
          <w:sz w:val="24"/>
          <w:szCs w:val="24"/>
        </w:rPr>
        <w:t xml:space="preserve"> “Mr. Blicket” </w:t>
      </w:r>
      <w:r w:rsidR="00D30402">
        <w:rPr>
          <w:rFonts w:ascii="Times New Roman" w:hAnsi="Times New Roman" w:cs="Times New Roman"/>
          <w:sz w:val="24"/>
          <w:szCs w:val="24"/>
        </w:rPr>
        <w:t>liked</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p>
    <w:p w14:paraId="57ED4D15" w14:textId="5B74F798" w:rsidR="00E528F3" w:rsidRDefault="009E165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not only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r w:rsidR="00250965">
        <w:rPr>
          <w:rFonts w:ascii="Times New Roman" w:hAnsi="Times New Roman" w:cs="Times New Roman"/>
          <w:sz w:val="24"/>
          <w:szCs w:val="24"/>
        </w:rPr>
        <w:t xml:space="preserve"> but</w:t>
      </w:r>
      <w:r w:rsidR="00D30402">
        <w:rPr>
          <w:rFonts w:ascii="Times New Roman" w:hAnsi="Times New Roman" w:cs="Times New Roman"/>
          <w:sz w:val="24"/>
          <w:szCs w:val="24"/>
        </w:rPr>
        <w:t xml:space="preserve"> that human causal reasoning is subserved by a </w:t>
      </w:r>
      <w:r w:rsidR="00DE2D6A">
        <w:rPr>
          <w:rFonts w:ascii="Times New Roman" w:hAnsi="Times New Roman" w:cs="Times New Roman"/>
          <w:sz w:val="24"/>
          <w:szCs w:val="24"/>
        </w:rPr>
        <w:t>Bayesian-inference mechanism rather</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xml:space="preserve">, this process involves combining prior beliefs about each hypothesis with observed data to update </w:t>
      </w:r>
      <w:r w:rsidR="00743C7C">
        <w:rPr>
          <w:rFonts w:ascii="Times New Roman" w:hAnsi="Times New Roman" w:cs="Times New Roman"/>
          <w:sz w:val="24"/>
          <w:szCs w:val="24"/>
        </w:rPr>
        <w:t>our beliefs about each</w:t>
      </w:r>
      <w:r w:rsidR="00E43539">
        <w:rPr>
          <w:rFonts w:ascii="Times New Roman" w:hAnsi="Times New Roman" w:cs="Times New Roman"/>
          <w:sz w:val="24"/>
          <w:szCs w:val="24"/>
        </w:rPr>
        <w:t xml:space="preserve"> </w:t>
      </w:r>
      <w:r w:rsidR="00EE2C24">
        <w:rPr>
          <w:rFonts w:ascii="Times New Roman" w:hAnsi="Times New Roman" w:cs="Times New Roman"/>
          <w:sz w:val="24"/>
          <w:szCs w:val="24"/>
        </w:rPr>
        <w:t>hypothesis</w:t>
      </w:r>
      <w:r w:rsidR="00E43539">
        <w:rPr>
          <w:rFonts w:ascii="Times New Roman" w:hAnsi="Times New Roman" w:cs="Times New Roman"/>
          <w:sz w:val="24"/>
          <w:szCs w:val="24"/>
        </w:rPr>
        <w:t>.</w:t>
      </w:r>
    </w:p>
    <w:p w14:paraId="34FCBB4C" w14:textId="3B4E2A26" w:rsidR="00AD0D43" w:rsidRDefault="00EE2C24"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100EF">
        <w:rPr>
          <w:rFonts w:ascii="Times New Roman" w:hAnsi="Times New Roman" w:cs="Times New Roman"/>
          <w:sz w:val="24"/>
          <w:szCs w:val="24"/>
        </w:rPr>
        <w:t>This model has been challenged for</w:t>
      </w:r>
      <w:r w:rsidR="00B56EE2">
        <w:rPr>
          <w:rFonts w:ascii="Times New Roman" w:hAnsi="Times New Roman" w:cs="Times New Roman"/>
          <w:sz w:val="24"/>
          <w:szCs w:val="24"/>
        </w:rPr>
        <w:t xml:space="preserve">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w:t>
      </w:r>
      <w:r w:rsidR="00B100EF">
        <w:rPr>
          <w:rFonts w:ascii="Times New Roman" w:hAnsi="Times New Roman" w:cs="Times New Roman"/>
          <w:sz w:val="24"/>
          <w:szCs w:val="24"/>
        </w:rPr>
        <w:t xml:space="preserve">does not match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w:t>
      </w:r>
      <w:r w:rsidR="00B100EF">
        <w:rPr>
          <w:rFonts w:ascii="Times New Roman" w:hAnsi="Times New Roman" w:cs="Times New Roman"/>
          <w:sz w:val="24"/>
          <w:szCs w:val="24"/>
        </w:rPr>
        <w:lastRenderedPageBreak/>
        <w:t xml:space="preserve">object </w:t>
      </w:r>
      <w:r w:rsidR="005C62AD">
        <w:rPr>
          <w:rFonts w:ascii="Times New Roman" w:hAnsi="Times New Roman" w:cs="Times New Roman"/>
          <w:sz w:val="24"/>
          <w:szCs w:val="24"/>
        </w:rPr>
        <w:t>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276B3">
        <w:rPr>
          <w:rFonts w:ascii="Times New Roman" w:hAnsi="Times New Roman" w:cs="Times New Roman"/>
          <w:sz w:val="24"/>
          <w:szCs w:val="24"/>
        </w:rPr>
        <w:t xml:space="preserve"> for modestly set learning parameters</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w:t>
      </w:r>
      <w:r w:rsidR="00E115E4">
        <w:rPr>
          <w:rFonts w:ascii="Times New Roman" w:hAnsi="Times New Roman" w:cs="Times New Roman"/>
          <w:sz w:val="24"/>
          <w:szCs w:val="24"/>
        </w:rPr>
        <w:t>,</w:t>
      </w:r>
      <w:r w:rsidR="004B414A">
        <w:rPr>
          <w:rFonts w:ascii="Times New Roman" w:hAnsi="Times New Roman" w:cs="Times New Roman"/>
          <w:sz w:val="24"/>
          <w:szCs w:val="24"/>
        </w:rPr>
        <w:t xml:space="preser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A53BE3">
        <w:rPr>
          <w:rFonts w:ascii="Times New Roman" w:hAnsi="Times New Roman" w:cs="Times New Roman"/>
          <w:sz w:val="24"/>
          <w:szCs w:val="24"/>
        </w:rPr>
        <w:t>the RW model</w:t>
      </w:r>
      <w:r w:rsidR="00BF64AE">
        <w:rPr>
          <w:rFonts w:ascii="Times New Roman" w:hAnsi="Times New Roman" w:cs="Times New Roman"/>
          <w:sz w:val="24"/>
          <w:szCs w:val="24"/>
        </w:rPr>
        <w:t xml:space="preserve">, unlike Bayesian inference, </w:t>
      </w:r>
      <w:r w:rsidR="00A53BE3">
        <w:rPr>
          <w:rFonts w:ascii="Times New Roman" w:hAnsi="Times New Roman" w:cs="Times New Roman"/>
          <w:sz w:val="24"/>
          <w:szCs w:val="24"/>
        </w:rPr>
        <w:t>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naturally</w:t>
      </w:r>
      <w:r w:rsidR="00E115E4">
        <w:rPr>
          <w:rFonts w:ascii="Times New Roman" w:hAnsi="Times New Roman" w:cs="Times New Roman"/>
          <w:sz w:val="24"/>
          <w:szCs w:val="24"/>
        </w:rPr>
        <w:t xml:space="preserve"> capture</w:t>
      </w:r>
      <w:r w:rsidR="00F43032">
        <w:rPr>
          <w:rFonts w:ascii="Times New Roman" w:hAnsi="Times New Roman" w:cs="Times New Roman"/>
          <w:sz w:val="24"/>
          <w:szCs w:val="24"/>
        </w:rPr>
        <w:t xml:space="preserve"> </w:t>
      </w:r>
      <w:r w:rsidR="00BF64AE">
        <w:rPr>
          <w:rFonts w:ascii="Times New Roman" w:hAnsi="Times New Roman" w:cs="Times New Roman"/>
          <w:sz w:val="24"/>
          <w:szCs w:val="24"/>
        </w:rPr>
        <w:t xml:space="preserve">base-rate information, to which children </w:t>
      </w:r>
      <w:r w:rsidR="00E115E4">
        <w:rPr>
          <w:rFonts w:ascii="Times New Roman" w:hAnsi="Times New Roman" w:cs="Times New Roman"/>
          <w:sz w:val="24"/>
          <w:szCs w:val="24"/>
        </w:rPr>
        <w:t>are</w:t>
      </w:r>
      <w:r w:rsidR="00BF64AE">
        <w:rPr>
          <w:rFonts w:ascii="Times New Roman" w:hAnsi="Times New Roman" w:cs="Times New Roman"/>
          <w:sz w:val="24"/>
          <w:szCs w:val="24"/>
        </w:rPr>
        <w:t xml:space="preserve"> sensitive (e.g., Sobel et al., 2004)</w:t>
      </w:r>
      <w:r w:rsidR="00FF6AE6">
        <w:rPr>
          <w:rFonts w:ascii="Times New Roman" w:hAnsi="Times New Roman" w:cs="Times New Roman"/>
          <w:sz w:val="24"/>
          <w:szCs w:val="24"/>
        </w:rPr>
        <w:t>.</w:t>
      </w:r>
      <w:r w:rsidR="00E968B3">
        <w:rPr>
          <w:rFonts w:ascii="Times New Roman" w:hAnsi="Times New Roman" w:cs="Times New Roman"/>
          <w:sz w:val="24"/>
          <w:szCs w:val="24"/>
        </w:rPr>
        <w:t xml:space="preserve"> </w:t>
      </w:r>
    </w:p>
    <w:p w14:paraId="77787138" w14:textId="42217E21" w:rsidR="00375ED6" w:rsidRDefault="004A0AE3" w:rsidP="00F82E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 xml:space="preserve">se criticisms or </w:t>
      </w:r>
      <w:r>
        <w:rPr>
          <w:rFonts w:ascii="Times New Roman" w:hAnsi="Times New Roman" w:cs="Times New Roman"/>
          <w:sz w:val="24"/>
          <w:szCs w:val="24"/>
        </w:rPr>
        <w:t>the conclusion that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to exercise caution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with how BB reasoning has been operationalized in previous research. For example, Sobel et al. (2004</w:t>
      </w:r>
      <w:r w:rsidR="00B62BD5">
        <w:rPr>
          <w:rFonts w:ascii="Times New Roman" w:hAnsi="Times New Roman" w:cs="Times New Roman"/>
          <w:sz w:val="24"/>
          <w:szCs w:val="24"/>
        </w:rPr>
        <w:t xml:space="preserve">; see also </w:t>
      </w:r>
      <w:proofErr w:type="spellStart"/>
      <w:r w:rsidR="00815C87">
        <w:rPr>
          <w:rFonts w:ascii="Times New Roman" w:hAnsi="Times New Roman" w:cs="Times New Roman"/>
          <w:sz w:val="24"/>
          <w:szCs w:val="24"/>
        </w:rPr>
        <w:t>Beckers</w:t>
      </w:r>
      <w:proofErr w:type="spellEnd"/>
      <w:r w:rsidR="00815C87">
        <w:rPr>
          <w:rFonts w:ascii="Times New Roman" w:hAnsi="Times New Roman" w:cs="Times New Roman"/>
          <w:sz w:val="24"/>
          <w:szCs w:val="24"/>
        </w:rPr>
        <w:t xml:space="preserve">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49647A">
        <w:rPr>
          <w:rFonts w:ascii="Times New Roman" w:hAnsi="Times New Roman" w:cs="Times New Roman"/>
          <w:sz w:val="24"/>
          <w:szCs w:val="24"/>
        </w:rPr>
        <w:t>authors</w:t>
      </w:r>
      <w:r w:rsidR="00C155AC">
        <w:rPr>
          <w:rFonts w:ascii="Times New Roman" w:hAnsi="Times New Roman" w:cs="Times New Roman"/>
          <w:sz w:val="24"/>
          <w:szCs w:val="24"/>
        </w:rPr>
        <w:t xml:space="preserve"> 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w:t>
      </w:r>
      <w:proofErr w:type="spellStart"/>
      <w:r w:rsidR="00F62D4B">
        <w:rPr>
          <w:rFonts w:ascii="Times New Roman" w:hAnsi="Times New Roman" w:cs="Times New Roman"/>
          <w:sz w:val="24"/>
          <w:szCs w:val="24"/>
        </w:rPr>
        <w:t>Beckers</w:t>
      </w:r>
      <w:proofErr w:type="spellEnd"/>
      <w:r w:rsidR="00F62D4B">
        <w:rPr>
          <w:rFonts w:ascii="Times New Roman" w:hAnsi="Times New Roman" w:cs="Times New Roman"/>
          <w:sz w:val="24"/>
          <w:szCs w:val="24"/>
        </w:rPr>
        <w:t xml:space="preserve">,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 xml:space="preserve">object A—which can be </w:t>
      </w:r>
      <w:r w:rsidR="000B359F">
        <w:rPr>
          <w:rFonts w:ascii="Times New Roman" w:hAnsi="Times New Roman" w:cs="Times New Roman"/>
          <w:sz w:val="24"/>
          <w:szCs w:val="24"/>
        </w:rPr>
        <w:lastRenderedPageBreak/>
        <w:t>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w:t>
      </w:r>
      <w:r w:rsidR="007503ED">
        <w:rPr>
          <w:rFonts w:ascii="Times New Roman" w:hAnsi="Times New Roman" w:cs="Times New Roman"/>
          <w:sz w:val="24"/>
          <w:szCs w:val="24"/>
        </w:rPr>
        <w:t>However</w:t>
      </w:r>
      <w:r w:rsidR="004C2EFC">
        <w:rPr>
          <w:rFonts w:ascii="Times New Roman" w:hAnsi="Times New Roman" w:cs="Times New Roman"/>
          <w:sz w:val="24"/>
          <w:szCs w:val="24"/>
        </w:rPr>
        <w:t>,</w:t>
      </w:r>
      <w:r w:rsidR="007503ED">
        <w:rPr>
          <w:rFonts w:ascii="Times New Roman" w:hAnsi="Times New Roman" w:cs="Times New Roman"/>
          <w:sz w:val="24"/>
          <w:szCs w:val="24"/>
        </w:rPr>
        <w:t xml:space="preserve"> the</w:t>
      </w:r>
      <w:r w:rsidR="004120C8">
        <w:rPr>
          <w:rFonts w:ascii="Times New Roman" w:hAnsi="Times New Roman" w:cs="Times New Roman"/>
          <w:sz w:val="24"/>
          <w:szCs w:val="24"/>
        </w:rPr>
        <w:t xml:space="preserve">re are two key limitations with this operationalization. First, as </w:t>
      </w:r>
      <w:proofErr w:type="spellStart"/>
      <w:r w:rsidR="004B7FC7">
        <w:rPr>
          <w:rFonts w:ascii="Times New Roman" w:hAnsi="Times New Roman" w:cs="Times New Roman"/>
          <w:sz w:val="24"/>
          <w:szCs w:val="24"/>
        </w:rPr>
        <w:t>Beckers</w:t>
      </w:r>
      <w:proofErr w:type="spellEnd"/>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 </w:t>
      </w:r>
      <w:proofErr w:type="spellStart"/>
      <w:r w:rsidR="004B7FC7">
        <w:rPr>
          <w:rFonts w:ascii="Times New Roman" w:hAnsi="Times New Roman" w:cs="Times New Roman"/>
          <w:sz w:val="24"/>
          <w:szCs w:val="24"/>
        </w:rPr>
        <w:t>Butterfill</w:t>
      </w:r>
      <w:proofErr w:type="spellEnd"/>
      <w:r w:rsidR="004B7FC7">
        <w:rPr>
          <w:rFonts w:ascii="Times New Roman" w:hAnsi="Times New Roman" w:cs="Times New Roman"/>
          <w:sz w:val="24"/>
          <w:szCs w:val="24"/>
        </w:rPr>
        <w:t xml:space="preserve">, </w:t>
      </w:r>
      <w:proofErr w:type="spellStart"/>
      <w:r w:rsidR="004B7FC7">
        <w:rPr>
          <w:rFonts w:ascii="Times New Roman" w:hAnsi="Times New Roman" w:cs="Times New Roman"/>
          <w:sz w:val="24"/>
          <w:szCs w:val="24"/>
        </w:rPr>
        <w:t>Hoerl</w:t>
      </w:r>
      <w:proofErr w:type="spellEnd"/>
      <w:r w:rsidR="004B7FC7">
        <w:rPr>
          <w:rFonts w:ascii="Times New Roman" w:hAnsi="Times New Roman" w:cs="Times New Roman"/>
          <w:sz w:val="24"/>
          <w:szCs w:val="24"/>
        </w:rPr>
        <w:t xml:space="preserve">, and Burns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cannot be determined from this operationalization of BB reasoning</w:t>
      </w:r>
      <w:r w:rsidR="00E97AEE">
        <w:rPr>
          <w:rFonts w:ascii="Times New Roman" w:hAnsi="Times New Roman" w:cs="Times New Roman"/>
          <w:sz w:val="24"/>
          <w:szCs w:val="24"/>
        </w:rPr>
        <w:t xml:space="preserve"> why participants treated object B differently between the BB and ISO condition. Such differences could have been due to</w:t>
      </w:r>
      <w:r w:rsidR="00A01028">
        <w:rPr>
          <w:rFonts w:ascii="Times New Roman" w:hAnsi="Times New Roman" w:cs="Times New Roman"/>
          <w:sz w:val="24"/>
          <w:szCs w:val="24"/>
        </w:rPr>
        <w:t xml:space="preserve"> a BB effect, an ISO effect, or both. Second</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w:t>
      </w:r>
      <w:r w:rsidR="00E97AEE">
        <w:rPr>
          <w:rFonts w:ascii="Times New Roman" w:hAnsi="Times New Roman" w:cs="Times New Roman"/>
          <w:sz w:val="24"/>
          <w:szCs w:val="24"/>
        </w:rPr>
        <w:t xml:space="preserve">simply </w:t>
      </w:r>
      <w:r w:rsidR="00D3741C">
        <w:rPr>
          <w:rFonts w:ascii="Times New Roman" w:hAnsi="Times New Roman" w:cs="Times New Roman"/>
          <w:sz w:val="24"/>
          <w:szCs w:val="24"/>
        </w:rPr>
        <w:t>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6AA77C5" w:rsidR="009348D6" w:rsidRDefault="00B049FC"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such, w</w:t>
      </w:r>
      <w:r w:rsidR="00386972">
        <w:rPr>
          <w:rFonts w:ascii="Times New Roman" w:hAnsi="Times New Roman" w:cs="Times New Roman"/>
          <w:sz w:val="24"/>
          <w:szCs w:val="24"/>
        </w:rPr>
        <w:t>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w:t>
      </w:r>
      <w:r w:rsidR="00386972">
        <w:rPr>
          <w:rFonts w:ascii="Times New Roman" w:hAnsi="Times New Roman" w:cs="Times New Roman"/>
          <w:sz w:val="24"/>
          <w:szCs w:val="24"/>
        </w:rPr>
        <w:t>—which captures the intended inference—</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lastRenderedPageBreak/>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07155B">
        <w:rPr>
          <w:rFonts w:ascii="Times New Roman" w:hAnsi="Times New Roman" w:cs="Times New Roman"/>
          <w:sz w:val="24"/>
          <w:szCs w:val="24"/>
        </w:rPr>
        <w:t>have no bearing on how</w:t>
      </w:r>
      <w:r w:rsidR="001747BC">
        <w:rPr>
          <w:rFonts w:ascii="Times New Roman" w:hAnsi="Times New Roman" w:cs="Times New Roman"/>
          <w:sz w:val="24"/>
          <w:szCs w:val="24"/>
        </w:rPr>
        <w:t xml:space="preserve"> 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w:t>
      </w:r>
      <w:r w:rsidR="0007155B">
        <w:rPr>
          <w:rFonts w:ascii="Times New Roman" w:hAnsi="Times New Roman" w:cs="Times New Roman"/>
          <w:sz w:val="24"/>
          <w:szCs w:val="24"/>
        </w:rPr>
        <w:t>the machine activates in both cases.</w:t>
      </w:r>
      <w:r>
        <w:rPr>
          <w:rFonts w:ascii="Times New Roman" w:hAnsi="Times New Roman" w:cs="Times New Roman"/>
          <w:sz w:val="24"/>
          <w:szCs w:val="24"/>
        </w:rPr>
        <w:t xml:space="preserve"> </w:t>
      </w:r>
      <w:r w:rsidR="00793603">
        <w:rPr>
          <w:rFonts w:ascii="Times New Roman" w:hAnsi="Times New Roman" w:cs="Times New Roman"/>
          <w:sz w:val="24"/>
          <w:szCs w:val="24"/>
        </w:rPr>
        <w:t xml:space="preserve">If participants </w:t>
      </w:r>
      <w:r w:rsidR="00595E80">
        <w:rPr>
          <w:rFonts w:ascii="Times New Roman" w:hAnsi="Times New Roman" w:cs="Times New Roman"/>
          <w:sz w:val="24"/>
          <w:szCs w:val="24"/>
        </w:rPr>
        <w:t xml:space="preserve">do </w:t>
      </w:r>
      <w:r w:rsidR="00793603">
        <w:rPr>
          <w:rFonts w:ascii="Times New Roman" w:hAnsi="Times New Roman" w:cs="Times New Roman"/>
          <w:sz w:val="24"/>
          <w:szCs w:val="24"/>
        </w:rPr>
        <w:t xml:space="preserve">engage in BB reasoning in this </w:t>
      </w:r>
      <w:r w:rsidR="00354B88">
        <w:rPr>
          <w:rFonts w:ascii="Times New Roman" w:hAnsi="Times New Roman" w:cs="Times New Roman"/>
          <w:sz w:val="24"/>
          <w:szCs w:val="24"/>
        </w:rPr>
        <w:t xml:space="preserve">new </w:t>
      </w:r>
      <w:r w:rsidR="00793603">
        <w:rPr>
          <w:rFonts w:ascii="Times New Roman" w:hAnsi="Times New Roman" w:cs="Times New Roman"/>
          <w:sz w:val="24"/>
          <w:szCs w:val="24"/>
        </w:rPr>
        <w:t>context</w:t>
      </w:r>
      <w:r w:rsidR="00354B88">
        <w:rPr>
          <w:rFonts w:ascii="Times New Roman" w:hAnsi="Times New Roman" w:cs="Times New Roman"/>
          <w:sz w:val="24"/>
          <w:szCs w:val="24"/>
        </w:rPr>
        <w:t xml:space="preserve"> with an appropriate control</w:t>
      </w:r>
      <w:r w:rsidR="005754E2">
        <w:rPr>
          <w:rFonts w:ascii="Times New Roman" w:hAnsi="Times New Roman" w:cs="Times New Roman"/>
          <w:sz w:val="24"/>
          <w:szCs w:val="24"/>
        </w:rPr>
        <w:t>,</w:t>
      </w:r>
      <w:r w:rsidR="001C3D27">
        <w:rPr>
          <w:rFonts w:ascii="Times New Roman" w:hAnsi="Times New Roman" w:cs="Times New Roman"/>
          <w:sz w:val="24"/>
          <w:szCs w:val="24"/>
        </w:rPr>
        <w:t xml:space="preserve"> </w:t>
      </w:r>
      <w:r w:rsidR="00595E80">
        <w:rPr>
          <w:rFonts w:ascii="Times New Roman" w:hAnsi="Times New Roman" w:cs="Times New Roman"/>
          <w:sz w:val="24"/>
          <w:szCs w:val="24"/>
        </w:rPr>
        <w:t>and BB reasoning is treated as an indirect measure of the operation of a Bayesian-inference mechanism as has typically been the case (e.g., Griffiths et al., 2011; Sobel &amp; Kirkham, 2006; Sobel et al., 2004</w:t>
      </w:r>
      <w:proofErr w:type="gramStart"/>
      <w:r w:rsidR="00595E80">
        <w:rPr>
          <w:rFonts w:ascii="Times New Roman" w:hAnsi="Times New Roman" w:cs="Times New Roman"/>
          <w:sz w:val="24"/>
          <w:szCs w:val="24"/>
        </w:rPr>
        <w:t>),</w:t>
      </w:r>
      <w:r w:rsidR="005754E2">
        <w:rPr>
          <w:rFonts w:ascii="Times New Roman" w:hAnsi="Times New Roman" w:cs="Times New Roman"/>
          <w:sz w:val="24"/>
          <w:szCs w:val="24"/>
        </w:rPr>
        <w:t>then</w:t>
      </w:r>
      <w:proofErr w:type="gramEnd"/>
      <w:r w:rsidR="005754E2">
        <w:rPr>
          <w:rFonts w:ascii="Times New Roman" w:hAnsi="Times New Roman" w:cs="Times New Roman"/>
          <w:sz w:val="24"/>
          <w:szCs w:val="24"/>
        </w:rPr>
        <w:t xml:space="preserve"> </w:t>
      </w:r>
      <w:r w:rsidR="00793603">
        <w:rPr>
          <w:rFonts w:ascii="Times New Roman" w:hAnsi="Times New Roman" w:cs="Times New Roman"/>
          <w:sz w:val="24"/>
          <w:szCs w:val="24"/>
        </w:rPr>
        <w:t xml:space="preserve">this would provide stronger evidence that </w:t>
      </w:r>
      <w:r w:rsidR="005C3CFF">
        <w:rPr>
          <w:rFonts w:ascii="Times New Roman" w:hAnsi="Times New Roman" w:cs="Times New Roman"/>
          <w:sz w:val="24"/>
          <w:szCs w:val="24"/>
        </w:rPr>
        <w:t>such a mechanism is available to human children</w:t>
      </w:r>
      <w:r w:rsidR="001E64CE">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61C35FA9" w:rsidR="006C7493" w:rsidRDefault="005C3CFF"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still another reason to</w:t>
      </w:r>
      <w:r w:rsidR="00D3453B">
        <w:rPr>
          <w:rFonts w:ascii="Times New Roman" w:hAnsi="Times New Roman" w:cs="Times New Roman"/>
          <w:sz w:val="24"/>
          <w:szCs w:val="24"/>
        </w:rPr>
        <w:t xml:space="preserve"> exercise caution before accepting the claim that human beings</w:t>
      </w:r>
      <w:r w:rsidR="00135AD9">
        <w:rPr>
          <w:rFonts w:ascii="Times New Roman" w:hAnsi="Times New Roman" w:cs="Times New Roman"/>
          <w:sz w:val="24"/>
          <w:szCs w:val="24"/>
        </w:rPr>
        <w:t xml:space="preserve"> engage in BB reasoning and rely on a Bayesian-inference mechanism to do it</w:t>
      </w:r>
      <w:r>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as measured by participants’ BB performance, </w:t>
      </w:r>
      <w:r w:rsidR="00724B77">
        <w:rPr>
          <w:rFonts w:ascii="Times New Roman" w:hAnsi="Times New Roman" w:cs="Times New Roman"/>
          <w:sz w:val="24"/>
          <w:szCs w:val="24"/>
        </w:rPr>
        <w:t xml:space="preserve">then </w:t>
      </w:r>
      <w:r w:rsidR="00724B77">
        <w:rPr>
          <w:rFonts w:ascii="Times New Roman" w:hAnsi="Times New Roman" w:cs="Times New Roman"/>
          <w:sz w:val="24"/>
          <w:szCs w:val="24"/>
        </w:rPr>
        <w:lastRenderedPageBreak/>
        <w:t xml:space="preserve">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one of the goals of </w:t>
      </w:r>
      <w:r w:rsidR="00951DB8">
        <w:rPr>
          <w:rFonts w:ascii="Times New Roman" w:hAnsi="Times New Roman" w:cs="Times New Roman"/>
          <w:sz w:val="24"/>
          <w:szCs w:val="24"/>
        </w:rPr>
        <w:t xml:space="preserve">research </w:t>
      </w:r>
      <w:r w:rsidR="002D56CA">
        <w:rPr>
          <w:rFonts w:ascii="Times New Roman" w:hAnsi="Times New Roman" w:cs="Times New Roman"/>
          <w:sz w:val="24"/>
          <w:szCs w:val="24"/>
        </w:rPr>
        <w:t>on causal reasoning in human children</w:t>
      </w:r>
      <w:r w:rsidR="00951DB8">
        <w:rPr>
          <w:rFonts w:ascii="Times New Roman" w:hAnsi="Times New Roman" w:cs="Times New Roman"/>
          <w:sz w:val="24"/>
          <w:szCs w:val="24"/>
        </w:rPr>
        <w:t xml:space="preserve"> </w:t>
      </w:r>
      <w:r w:rsidR="00C9270A">
        <w:rPr>
          <w:rFonts w:ascii="Times New Roman" w:hAnsi="Times New Roman" w:cs="Times New Roman"/>
          <w:sz w:val="24"/>
          <w:szCs w:val="24"/>
        </w:rPr>
        <w:t xml:space="preserve">is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2D56CA">
        <w:rPr>
          <w:rFonts w:ascii="Times New Roman" w:hAnsi="Times New Roman" w:cs="Times New Roman"/>
          <w:sz w:val="24"/>
          <w:szCs w:val="24"/>
        </w:rPr>
        <w:t xml:space="preserve"> such as those with multiple objects</w:t>
      </w:r>
      <w:r w:rsidR="008E0B7F">
        <w:rPr>
          <w:rFonts w:ascii="Times New Roman" w:hAnsi="Times New Roman" w:cs="Times New Roman"/>
          <w:sz w:val="24"/>
          <w:szCs w:val="24"/>
        </w:rPr>
        <w:t>.</w:t>
      </w:r>
    </w:p>
    <w:p w14:paraId="465ED97B" w14:textId="2A2EC30B"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7D10BD">
        <w:rPr>
          <w:rFonts w:ascii="Times New Roman" w:hAnsi="Times New Roman" w:cs="Times New Roman"/>
          <w:sz w:val="24"/>
          <w:szCs w:val="24"/>
        </w:rPr>
        <w:t xml:space="preserve"> a setting in which children</w:t>
      </w:r>
      <w:r w:rsidR="005415F9">
        <w:rPr>
          <w:rFonts w:ascii="Times New Roman" w:hAnsi="Times New Roman" w:cs="Times New Roman"/>
          <w:sz w:val="24"/>
          <w:szCs w:val="24"/>
        </w:rPr>
        <w:t xml:space="preserve"> are asked to reason about three and four objects</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really would tell us more about the nature of the cognitive mechanism that supports causal learning</w:t>
      </w:r>
      <w:r w:rsidR="0092361F">
        <w:rPr>
          <w:rFonts w:ascii="Times New Roman" w:hAnsi="Times New Roman" w:cs="Times New Roman"/>
          <w:sz w:val="24"/>
          <w:szCs w:val="24"/>
        </w:rPr>
        <w:t xml:space="preserve"> and BB reasoning</w:t>
      </w:r>
      <w:r w:rsidR="005415F9">
        <w:rPr>
          <w:rFonts w:ascii="Times New Roman" w:hAnsi="Times New Roman" w:cs="Times New Roman"/>
          <w:sz w:val="24"/>
          <w:szCs w:val="24"/>
        </w:rPr>
        <w:t xml:space="preserve"> than the typical setting in which children are asked to reason about two objects.  </w:t>
      </w:r>
      <w:r>
        <w:rPr>
          <w:rFonts w:ascii="Times New Roman" w:hAnsi="Times New Roman" w:cs="Times New Roman"/>
          <w:sz w:val="24"/>
          <w:szCs w:val="24"/>
        </w:rPr>
        <w:t>This is because these two settings differ by</w:t>
      </w:r>
      <w:r w:rsidR="0092361F">
        <w:rPr>
          <w:rFonts w:ascii="Times New Roman" w:hAnsi="Times New Roman" w:cs="Times New Roman"/>
          <w:sz w:val="24"/>
          <w:szCs w:val="24"/>
        </w:rPr>
        <w:t xml:space="preserve"> at most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sidR="009139A7">
        <w:rPr>
          <w:rFonts w:ascii="Times New Roman" w:hAnsi="Times New Roman" w:cs="Times New Roman"/>
          <w:sz w:val="24"/>
          <w:szCs w:val="24"/>
        </w:rPr>
        <w:t xml:space="preserve">, which </w:t>
      </w:r>
      <w:r w:rsidR="00DA56D1">
        <w:rPr>
          <w:rFonts w:ascii="Times New Roman" w:hAnsi="Times New Roman" w:cs="Times New Roman"/>
          <w:sz w:val="24"/>
          <w:szCs w:val="24"/>
        </w:rPr>
        <w:t>is a difference that may seem trivial</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92361F">
        <w:rPr>
          <w:rFonts w:ascii="Times New Roman" w:hAnsi="Times New Roman" w:cs="Times New Roman"/>
          <w:sz w:val="24"/>
          <w:szCs w:val="24"/>
        </w:rPr>
        <w:t xml:space="preserve"> and BB inference</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This is not a trivial difference.</w:t>
      </w:r>
      <w:r w:rsidR="00AC0CD1">
        <w:rPr>
          <w:rFonts w:ascii="Times New Roman" w:hAnsi="Times New Roman" w:cs="Times New Roman"/>
          <w:sz w:val="24"/>
          <w:szCs w:val="24"/>
        </w:rPr>
        <w:t xml:space="preserve"> </w:t>
      </w:r>
    </w:p>
    <w:p w14:paraId="03667386" w14:textId="5EFD55EF" w:rsidR="004A4EA2" w:rsidRDefault="0058711F"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w:t>
      </w:r>
      <w:r w:rsidR="00CC260E">
        <w:rPr>
          <w:rFonts w:ascii="Times New Roman" w:hAnsi="Times New Roman" w:cs="Times New Roman"/>
          <w:sz w:val="24"/>
          <w:szCs w:val="24"/>
        </w:rPr>
        <w:lastRenderedPageBreak/>
        <w:t>fuller discussion)</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w:t>
      </w:r>
      <w:r w:rsidR="00C006CE">
        <w:rPr>
          <w:rFonts w:ascii="Times New Roman" w:hAnsi="Times New Roman" w:cs="Times New Roman"/>
          <w:sz w:val="24"/>
          <w:szCs w:val="24"/>
        </w:rPr>
        <w:t xml:space="preserve"> or some other associative-learning process</w:t>
      </w:r>
      <w:r w:rsidR="00AB0248">
        <w:rPr>
          <w:rFonts w:ascii="Times New Roman" w:hAnsi="Times New Roman" w:cs="Times New Roman"/>
          <w:sz w:val="24"/>
          <w:szCs w:val="24"/>
        </w:rPr>
        <w:t xml:space="preserve">. </w:t>
      </w:r>
    </w:p>
    <w:p w14:paraId="404EF233" w14:textId="37D6A2F7" w:rsidR="00ED7C6E" w:rsidRDefault="00613C73"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r w:rsidR="00381E4D">
        <w:rPr>
          <w:rFonts w:ascii="Times New Roman" w:hAnsi="Times New Roman" w:cs="Times New Roman"/>
          <w:sz w:val="24"/>
          <w:szCs w:val="24"/>
        </w:rPr>
        <w:t xml:space="preserve"> or to the predictions of even simpler models of associative learning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 xml:space="preserve">that </w:t>
      </w:r>
      <w:r w:rsidR="000F4519">
        <w:rPr>
          <w:rFonts w:ascii="Times New Roman" w:hAnsi="Times New Roman" w:cs="Times New Roman"/>
          <w:sz w:val="24"/>
          <w:szCs w:val="24"/>
        </w:rPr>
        <w:t>the traditional RW model</w:t>
      </w:r>
      <w:r w:rsidR="00381E4D">
        <w:rPr>
          <w:rFonts w:ascii="Times New Roman" w:hAnsi="Times New Roman" w:cs="Times New Roman"/>
          <w:sz w:val="24"/>
          <w:szCs w:val="24"/>
        </w:rPr>
        <w:t xml:space="preserve"> or other associative processes</w:t>
      </w:r>
      <w:r w:rsidR="00976CAF">
        <w:rPr>
          <w:rFonts w:ascii="Times New Roman" w:hAnsi="Times New Roman" w:cs="Times New Roman"/>
          <w:sz w:val="24"/>
          <w:szCs w:val="24"/>
        </w:rPr>
        <w:t xml:space="preserve"> </w:t>
      </w:r>
      <w:r w:rsidR="00381E4D">
        <w:rPr>
          <w:rFonts w:ascii="Times New Roman" w:hAnsi="Times New Roman" w:cs="Times New Roman"/>
          <w:sz w:val="24"/>
          <w:szCs w:val="24"/>
        </w:rPr>
        <w:t xml:space="preserve">are </w:t>
      </w:r>
      <w:r w:rsidR="00976CAF">
        <w:rPr>
          <w:rFonts w:ascii="Times New Roman" w:hAnsi="Times New Roman" w:cs="Times New Roman"/>
          <w:sz w:val="24"/>
          <w:szCs w:val="24"/>
        </w:rPr>
        <w:t>ill-equipped to explain causal reasoning in</w:t>
      </w:r>
      <w:r w:rsidR="00381E4D">
        <w:rPr>
          <w:rFonts w:ascii="Times New Roman" w:hAnsi="Times New Roman" w:cs="Times New Roman"/>
          <w:sz w:val="24"/>
          <w:szCs w:val="24"/>
        </w:rPr>
        <w:t xml:space="preserve"> human children</w:t>
      </w:r>
      <w:r w:rsidR="005E499A">
        <w:rPr>
          <w:rFonts w:ascii="Times New Roman" w:hAnsi="Times New Roman" w:cs="Times New Roman"/>
          <w:sz w:val="24"/>
          <w:szCs w:val="24"/>
        </w:rPr>
        <w:t xml:space="preserve"> may have been made prematurely</w:t>
      </w:r>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1FBDE712"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determine what predictions </w:t>
      </w:r>
      <w:r w:rsidR="00A4747B">
        <w:rPr>
          <w:rFonts w:ascii="Times New Roman" w:hAnsi="Times New Roman" w:cs="Times New Roman"/>
          <w:sz w:val="24"/>
          <w:szCs w:val="24"/>
        </w:rPr>
        <w:t>a Bayesian-inference mechanism</w:t>
      </w:r>
      <w:r w:rsidR="00BA716D">
        <w:rPr>
          <w:rFonts w:ascii="Times New Roman" w:hAnsi="Times New Roman" w:cs="Times New Roman"/>
          <w:sz w:val="24"/>
          <w:szCs w:val="24"/>
        </w:rPr>
        <w:t xml:space="preserve">, the traditional RW model, and a simple associative-learning counting mechanism </w:t>
      </w:r>
      <w:r w:rsidR="00B41877">
        <w:rPr>
          <w:rFonts w:ascii="Times New Roman" w:hAnsi="Times New Roman" w:cs="Times New Roman"/>
          <w:sz w:val="24"/>
          <w:szCs w:val="24"/>
        </w:rPr>
        <w:t xml:space="preserve">makes </w:t>
      </w:r>
      <w:r w:rsidR="00BA716D">
        <w:rPr>
          <w:rFonts w:ascii="Times New Roman" w:hAnsi="Times New Roman" w:cs="Times New Roman"/>
          <w:sz w:val="24"/>
          <w:szCs w:val="24"/>
        </w:rPr>
        <w:t>for how participants should perform in the present context. Note that</w:t>
      </w:r>
      <w:r w:rsidR="008E38EB">
        <w:rPr>
          <w:rFonts w:ascii="Times New Roman" w:hAnsi="Times New Roman" w:cs="Times New Roman"/>
          <w:sz w:val="24"/>
          <w:szCs w:val="24"/>
        </w:rPr>
        <w:t xml:space="preserve">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w:t>
      </w:r>
      <w:r w:rsidR="005B30E9">
        <w:rPr>
          <w:rFonts w:ascii="Times New Roman" w:hAnsi="Times New Roman" w:cs="Times New Roman"/>
          <w:sz w:val="24"/>
          <w:szCs w:val="24"/>
        </w:rPr>
        <w:t xml:space="preserve"> and outline their predictions</w:t>
      </w:r>
      <w:r w:rsidR="00DB2471">
        <w:rPr>
          <w:rFonts w:ascii="Times New Roman" w:hAnsi="Times New Roman" w:cs="Times New Roman"/>
          <w:sz w:val="24"/>
          <w:szCs w:val="24"/>
        </w:rPr>
        <w:t xml:space="preserve"> at a high </w:t>
      </w:r>
      <w:r w:rsidR="005B30E9">
        <w:rPr>
          <w:rFonts w:ascii="Times New Roman" w:hAnsi="Times New Roman" w:cs="Times New Roman"/>
          <w:sz w:val="24"/>
          <w:szCs w:val="24"/>
        </w:rPr>
        <w:t>level</w:t>
      </w:r>
      <w:r w:rsidR="00DB2471">
        <w:rPr>
          <w:rFonts w:ascii="Times New Roman" w:hAnsi="Times New Roman" w:cs="Times New Roman"/>
          <w:sz w:val="24"/>
          <w:szCs w:val="24"/>
        </w:rPr>
        <w:t>.</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 xml:space="preserve">the formal details of the Bayesian model and the details of the </w:t>
      </w:r>
      <w:r w:rsidR="004E5704">
        <w:rPr>
          <w:rFonts w:ascii="Times New Roman" w:hAnsi="Times New Roman" w:cs="Times New Roman"/>
          <w:sz w:val="24"/>
          <w:szCs w:val="24"/>
        </w:rPr>
        <w:t>traditional RW model</w:t>
      </w:r>
      <w:r w:rsidR="008E38EB">
        <w:rPr>
          <w:rFonts w:ascii="Times New Roman" w:hAnsi="Times New Roman" w:cs="Times New Roman"/>
          <w:sz w:val="24"/>
          <w:szCs w:val="24"/>
        </w:rPr>
        <w:t>.</w:t>
      </w:r>
    </w:p>
    <w:p w14:paraId="5F63CF5C" w14:textId="77777777"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is th</w:t>
      </w:r>
      <w:r w:rsidR="00556C7C">
        <w:rPr>
          <w:rFonts w:ascii="Times New Roman" w:hAnsi="Times New Roman" w:cs="Times New Roman"/>
          <w:sz w:val="24"/>
          <w:szCs w:val="24"/>
        </w:rPr>
        <w:t>e</w:t>
      </w:r>
      <w:r w:rsidR="000E2AF7">
        <w:rPr>
          <w:rFonts w:ascii="Times New Roman" w:hAnsi="Times New Roman" w:cs="Times New Roman"/>
          <w:sz w:val="24"/>
          <w:szCs w:val="24"/>
        </w:rPr>
        <w:t xml:space="preserve"> one that is </w:t>
      </w:r>
      <w:proofErr w:type="spellStart"/>
      <w:r w:rsidR="00556C7C">
        <w:rPr>
          <w:rFonts w:ascii="Times New Roman" w:hAnsi="Times New Roman" w:cs="Times New Roman"/>
          <w:sz w:val="24"/>
          <w:szCs w:val="24"/>
        </w:rPr>
        <w:lastRenderedPageBreak/>
        <w:t>generatings</w:t>
      </w:r>
      <w:proofErr w:type="spellEnd"/>
      <w:r w:rsidR="000E2AF7">
        <w:rPr>
          <w:rFonts w:ascii="Times New Roman" w:hAnsi="Times New Roman" w:cs="Times New Roman"/>
          <w:sz w:val="24"/>
          <w:szCs w:val="24"/>
        </w:rPr>
        <w:t xml:space="preserve"> some observed data.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learners determine such a “winning” hypothesis is by combining 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22FAD">
        <w:rPr>
          <w:rFonts w:ascii="Times New Roman" w:hAnsi="Times New Roman" w:cs="Times New Roman"/>
          <w:sz w:val="24"/>
          <w:szCs w:val="24"/>
        </w:rPr>
        <w:t>with whether the observed data is likely to have been produced by the hypothesis that is currently under consideration</w:t>
      </w:r>
      <w:r w:rsidR="00E267F5">
        <w:rPr>
          <w:rFonts w:ascii="Times New Roman" w:hAnsi="Times New Roman" w:cs="Times New Roman"/>
          <w:sz w:val="24"/>
          <w:szCs w:val="24"/>
        </w:rPr>
        <w:t xml:space="preserve"> (this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 xml:space="preserve">it can produce the observed data. </w:t>
      </w:r>
      <w:r w:rsidR="00A31077">
        <w:rPr>
          <w:rFonts w:ascii="Times New Roman" w:hAnsi="Times New Roman" w:cs="Times New Roman"/>
          <w:sz w:val="24"/>
          <w:szCs w:val="24"/>
        </w:rPr>
        <w:t xml:space="preserve">Learners </w:t>
      </w:r>
      <w:r w:rsidR="00BD2BA6">
        <w:rPr>
          <w:rFonts w:ascii="Times New Roman" w:hAnsi="Times New Roman" w:cs="Times New Roman"/>
          <w:sz w:val="24"/>
          <w:szCs w:val="24"/>
        </w:rPr>
        <w:t>will</w:t>
      </w:r>
      <w:r w:rsidR="00A31077">
        <w:rPr>
          <w:rFonts w:ascii="Times New Roman" w:hAnsi="Times New Roman" w:cs="Times New Roman"/>
          <w:sz w:val="24"/>
          <w:szCs w:val="24"/>
        </w:rPr>
        <w:t xml:space="preserve"> discard a hypothesis when it no longer can produce the data.</w:t>
      </w:r>
      <w:r w:rsidR="00E77C63">
        <w:rPr>
          <w:rFonts w:ascii="Times New Roman" w:hAnsi="Times New Roman" w:cs="Times New Roman"/>
          <w:sz w:val="24"/>
          <w:szCs w:val="24"/>
        </w:rPr>
        <w:t xml:space="preserve"> </w:t>
      </w:r>
      <w:r w:rsidR="00390018">
        <w:rPr>
          <w:rFonts w:ascii="Times New Roman" w:hAnsi="Times New Roman" w:cs="Times New Roman"/>
          <w:sz w:val="24"/>
          <w:szCs w:val="24"/>
        </w:rPr>
        <w:t>A core assumption of Bayesian inference is that</w:t>
      </w:r>
      <w:r w:rsidR="00E77C63">
        <w:rPr>
          <w:rFonts w:ascii="Times New Roman" w:hAnsi="Times New Roman" w:cs="Times New Roman"/>
          <w:sz w:val="24"/>
          <w:szCs w:val="24"/>
        </w:rPr>
        <w:t xml:space="preserve"> the probability of a given hypothesis (given some </w:t>
      </w:r>
      <w:proofErr w:type="gramStart"/>
      <w:r w:rsidR="00E77C63">
        <w:rPr>
          <w:rFonts w:ascii="Times New Roman" w:hAnsi="Times New Roman" w:cs="Times New Roman"/>
          <w:sz w:val="24"/>
          <w:szCs w:val="24"/>
        </w:rPr>
        <w:t>data</w:t>
      </w:r>
      <w:r w:rsidR="005C4949">
        <w:rPr>
          <w:rFonts w:ascii="Times New Roman" w:hAnsi="Times New Roman" w:cs="Times New Roman"/>
          <w:sz w:val="24"/>
          <w:szCs w:val="24"/>
        </w:rPr>
        <w:t>;</w:t>
      </w:r>
      <w:proofErr w:type="gramEnd"/>
      <w:r w:rsidR="005C4949">
        <w:rPr>
          <w:rFonts w:ascii="Times New Roman" w:hAnsi="Times New Roman" w:cs="Times New Roman"/>
          <w:sz w:val="24"/>
          <w:szCs w:val="24"/>
        </w:rPr>
        <w:t xml:space="preserve"> i.e., the “posterior probability” of a given hypothesis</w:t>
      </w:r>
      <w:r w:rsidR="00E77C63">
        <w:rPr>
          <w:rFonts w:ascii="Times New Roman" w:hAnsi="Times New Roman" w:cs="Times New Roman"/>
          <w:sz w:val="24"/>
          <w:szCs w:val="24"/>
        </w:rPr>
        <w:t xml:space="preserve">) at one </w:t>
      </w:r>
      <w:r w:rsidR="00083100">
        <w:rPr>
          <w:rFonts w:ascii="Times New Roman" w:hAnsi="Times New Roman" w:cs="Times New Roman"/>
          <w:sz w:val="24"/>
          <w:szCs w:val="24"/>
        </w:rPr>
        <w:t>point in time</w:t>
      </w:r>
      <w:r w:rsidR="00E77C63">
        <w:rPr>
          <w:rFonts w:ascii="Times New Roman" w:hAnsi="Times New Roman" w:cs="Times New Roman"/>
          <w:sz w:val="24"/>
          <w:szCs w:val="24"/>
        </w:rPr>
        <w:t xml:space="preserve"> becomes the prior probability of that hypothesis at the next </w:t>
      </w:r>
      <w:r w:rsidR="003757E8">
        <w:rPr>
          <w:rFonts w:ascii="Times New Roman" w:hAnsi="Times New Roman" w:cs="Times New Roman"/>
          <w:sz w:val="24"/>
          <w:szCs w:val="24"/>
        </w:rPr>
        <w:t>point in time,</w:t>
      </w:r>
      <w:r w:rsidR="00E77C63">
        <w:rPr>
          <w:rFonts w:ascii="Times New Roman" w:hAnsi="Times New Roman" w:cs="Times New Roman"/>
          <w:sz w:val="24"/>
          <w:szCs w:val="24"/>
        </w:rPr>
        <w:t xml:space="preserve"> and the process</w:t>
      </w:r>
      <w:r w:rsidR="003757E8">
        <w:rPr>
          <w:rFonts w:ascii="Times New Roman" w:hAnsi="Times New Roman" w:cs="Times New Roman"/>
          <w:sz w:val="24"/>
          <w:szCs w:val="24"/>
        </w:rPr>
        <w:t xml:space="preserve"> that was just described</w:t>
      </w:r>
      <w:r w:rsidR="00E77C63">
        <w:rPr>
          <w:rFonts w:ascii="Times New Roman" w:hAnsi="Times New Roman" w:cs="Times New Roman"/>
          <w:sz w:val="24"/>
          <w:szCs w:val="24"/>
        </w:rPr>
        <w:t xml:space="preserve"> for </w:t>
      </w:r>
      <w:r w:rsidR="003757E8">
        <w:rPr>
          <w:rFonts w:ascii="Times New Roman" w:hAnsi="Times New Roman" w:cs="Times New Roman"/>
          <w:sz w:val="24"/>
          <w:szCs w:val="24"/>
        </w:rPr>
        <w:t>how one isolates the</w:t>
      </w:r>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r w:rsidR="003757E8">
        <w:rPr>
          <w:rFonts w:ascii="Times New Roman" w:hAnsi="Times New Roman" w:cs="Times New Roman"/>
          <w:sz w:val="24"/>
          <w:szCs w:val="24"/>
        </w:rPr>
        <w:t xml:space="preserve">Crucially, once the </w:t>
      </w:r>
      <w:r w:rsidR="00BC7949">
        <w:rPr>
          <w:rFonts w:ascii="Times New Roman" w:hAnsi="Times New Roman" w:cs="Times New Roman"/>
          <w:sz w:val="24"/>
          <w:szCs w:val="24"/>
        </w:rPr>
        <w:t>posterior probabilities have been computed</w:t>
      </w:r>
      <w:r w:rsidR="003757E8">
        <w:rPr>
          <w:rFonts w:ascii="Times New Roman" w:hAnsi="Times New Roman" w:cs="Times New Roman"/>
          <w:sz w:val="24"/>
          <w:szCs w:val="24"/>
        </w:rPr>
        <w:t>,</w:t>
      </w:r>
      <w:r w:rsidR="00D8490F">
        <w:rPr>
          <w:rFonts w:ascii="Times New Roman" w:hAnsi="Times New Roman" w:cs="Times New Roman"/>
          <w:sz w:val="24"/>
          <w:szCs w:val="24"/>
        </w:rPr>
        <w:t xml:space="preserve"> learners may</w:t>
      </w:r>
      <w:r w:rsidR="003757E8">
        <w:rPr>
          <w:rFonts w:ascii="Times New Roman" w:hAnsi="Times New Roman" w:cs="Times New Roman"/>
          <w:sz w:val="24"/>
          <w:szCs w:val="24"/>
        </w:rPr>
        <w:t xml:space="preserve"> use them</w:t>
      </w:r>
      <w:r w:rsidR="00D8490F">
        <w:rPr>
          <w:rFonts w:ascii="Times New Roman" w:hAnsi="Times New Roman" w:cs="Times New Roman"/>
          <w:sz w:val="24"/>
          <w:szCs w:val="24"/>
        </w:rPr>
        <w:t xml:space="preserve"> to update their beliefs about the likelihood that </w:t>
      </w:r>
      <w:proofErr w:type="gramStart"/>
      <w:r w:rsidR="00E808F1">
        <w:rPr>
          <w:rFonts w:ascii="Times New Roman" w:hAnsi="Times New Roman" w:cs="Times New Roman"/>
          <w:sz w:val="24"/>
          <w:szCs w:val="24"/>
        </w:rPr>
        <w:t>particular objects</w:t>
      </w:r>
      <w:proofErr w:type="gramEnd"/>
      <w:r w:rsidR="00E808F1">
        <w:rPr>
          <w:rFonts w:ascii="Times New Roman" w:hAnsi="Times New Roman" w:cs="Times New Roman"/>
          <w:sz w:val="24"/>
          <w:szCs w:val="24"/>
        </w:rPr>
        <w:t>, rather than particular hypotheses, are</w:t>
      </w:r>
      <w:r w:rsidR="00D8490F">
        <w:rPr>
          <w:rFonts w:ascii="Times New Roman" w:hAnsi="Times New Roman" w:cs="Times New Roman"/>
          <w:sz w:val="24"/>
          <w:szCs w:val="24"/>
        </w:rPr>
        <w:t xml:space="preserve"> blicket</w:t>
      </w:r>
      <w:r w:rsidR="00E808F1">
        <w:rPr>
          <w:rFonts w:ascii="Times New Roman" w:hAnsi="Times New Roman" w:cs="Times New Roman"/>
          <w:sz w:val="24"/>
          <w:szCs w:val="24"/>
        </w:rPr>
        <w:t>s</w:t>
      </w:r>
      <w:r w:rsidR="00D8490F">
        <w:rPr>
          <w:rFonts w:ascii="Times New Roman" w:hAnsi="Times New Roman" w:cs="Times New Roman"/>
          <w:sz w:val="24"/>
          <w:szCs w:val="24"/>
        </w:rPr>
        <w:t xml:space="preserve">. </w:t>
      </w:r>
    </w:p>
    <w:p w14:paraId="4904DB4F" w14:textId="252389A2" w:rsidR="00E57977" w:rsidRDefault="00222FAD"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Thus, </w:t>
      </w:r>
      <w:r w:rsidR="0010419D">
        <w:rPr>
          <w:rFonts w:ascii="Times New Roman" w:hAnsi="Times New Roman" w:cs="Times New Roman"/>
          <w:sz w:val="24"/>
          <w:szCs w:val="24"/>
        </w:rPr>
        <w:t xml:space="preserve">given that learners are asked to reason about a maximum of </w:t>
      </w:r>
      <w:r w:rsidR="00DE0A15">
        <w:rPr>
          <w:rFonts w:ascii="Times New Roman" w:hAnsi="Times New Roman" w:cs="Times New Roman"/>
          <w:sz w:val="24"/>
          <w:szCs w:val="24"/>
        </w:rPr>
        <w:t xml:space="preserve">three candidate causes (i.e., objects A-C) during the experimental trials in the both the BB and ISO conditions and a maximum of </w:t>
      </w:r>
      <w:r w:rsidR="0010419D">
        <w:rPr>
          <w:rFonts w:ascii="Times New Roman" w:hAnsi="Times New Roman" w:cs="Times New Roman"/>
          <w:sz w:val="24"/>
          <w:szCs w:val="24"/>
        </w:rPr>
        <w:t xml:space="preserve">four candidate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Pr>
          <w:rFonts w:ascii="Times New Roman" w:hAnsi="Times New Roman" w:cs="Times New Roman"/>
          <w:sz w:val="24"/>
          <w:szCs w:val="24"/>
        </w:rPr>
        <w:t xml:space="preserve"> </w:t>
      </w:r>
      <w:r w:rsidR="00CE3ABA">
        <w:rPr>
          <w:rFonts w:ascii="Times New Roman" w:hAnsi="Times New Roman" w:cs="Times New Roman"/>
          <w:sz w:val="24"/>
          <w:szCs w:val="24"/>
        </w:rPr>
        <w:t>(</w:t>
      </w:r>
      <w:r>
        <w:rPr>
          <w:rFonts w:ascii="Times New Roman" w:hAnsi="Times New Roman" w:cs="Times New Roman"/>
          <w:sz w:val="24"/>
          <w:szCs w:val="24"/>
        </w:rPr>
        <w:t>Fig</w:t>
      </w:r>
      <w:r w:rsidR="00604542">
        <w:rPr>
          <w:rFonts w:ascii="Times New Roman" w:hAnsi="Times New Roman" w:cs="Times New Roman"/>
          <w:sz w:val="24"/>
          <w:szCs w:val="24"/>
        </w:rPr>
        <w:t>s</w:t>
      </w:r>
      <w:r w:rsidR="00CE3ABA">
        <w:rPr>
          <w:rFonts w:ascii="Times New Roman" w:hAnsi="Times New Roman" w:cs="Times New Roman"/>
          <w:sz w:val="24"/>
          <w:szCs w:val="24"/>
        </w:rPr>
        <w:t>.</w:t>
      </w:r>
      <w:r>
        <w:rPr>
          <w:rFonts w:ascii="Times New Roman" w:hAnsi="Times New Roman" w:cs="Times New Roman"/>
          <w:sz w:val="24"/>
          <w:szCs w:val="24"/>
        </w:rPr>
        <w:t xml:space="preserve"> </w:t>
      </w:r>
      <w:r w:rsidR="00CF6C50">
        <w:rPr>
          <w:rFonts w:ascii="Times New Roman" w:hAnsi="Times New Roman" w:cs="Times New Roman"/>
          <w:sz w:val="24"/>
          <w:szCs w:val="24"/>
        </w:rPr>
        <w:t>1</w:t>
      </w:r>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r>
        <w:rPr>
          <w:rFonts w:ascii="Times New Roman" w:hAnsi="Times New Roman" w:cs="Times New Roman"/>
          <w:sz w:val="24"/>
          <w:szCs w:val="24"/>
        </w:rPr>
        <w:t xml:space="preserve">. </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77F2EC34"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4036C236" w:rsidR="00883033" w:rsidRPr="00B603EE" w:rsidRDefault="00883033" w:rsidP="008830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r>
        <w:rPr>
          <w:rFonts w:ascii="Times New Roman" w:hAnsi="Times New Roman" w:cs="Times New Roman"/>
          <w:sz w:val="24"/>
          <w:szCs w:val="24"/>
        </w:rPr>
        <w:t xml:space="preserve"> 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a blicket but</w:t>
      </w:r>
      <w:r w:rsidR="005C4ED8">
        <w:rPr>
          <w:rFonts w:ascii="Times New Roman" w:hAnsi="Times New Roman" w:cs="Times New Roman"/>
          <w:sz w:val="24"/>
          <w:szCs w:val="24"/>
        </w:rPr>
        <w:t xml:space="preserve"> should</w:t>
      </w:r>
      <w:r>
        <w:rPr>
          <w:rFonts w:ascii="Times New Roman" w:hAnsi="Times New Roman" w:cs="Times New Roman"/>
          <w:sz w:val="24"/>
          <w:szCs w:val="24"/>
        </w:rPr>
        <w:t xml:space="preserve">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45038AF"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3</w:t>
      </w:r>
      <w:r w:rsidR="00BD2B10">
        <w:rPr>
          <w:rFonts w:ascii="Times New Roman" w:hAnsi="Times New Roman" w:cs="Times New Roman"/>
          <w:sz w:val="24"/>
          <w:szCs w:val="24"/>
        </w:rPr>
        <w:t>.</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26700B94"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4</w:t>
      </w:r>
      <w:r w:rsidR="00834ACC">
        <w:rPr>
          <w:rFonts w:ascii="Times New Roman" w:hAnsi="Times New Roman" w:cs="Times New Roman"/>
          <w:sz w:val="24"/>
          <w:szCs w:val="24"/>
        </w:rPr>
        <w:t>.</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6F84E550" w14:textId="0BEA9344" w:rsidR="008D56B6" w:rsidRDefault="005C4ED8"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Table</w:t>
      </w:r>
      <w:r w:rsidR="00A4171D">
        <w:rPr>
          <w:rFonts w:ascii="Times New Roman" w:hAnsi="Times New Roman" w:cs="Times New Roman"/>
          <w:sz w:val="24"/>
          <w:szCs w:val="24"/>
        </w:rPr>
        <w:t xml:space="preserve"> 4</w:t>
      </w:r>
      <w:r w:rsidR="00A866B3">
        <w:rPr>
          <w:rFonts w:ascii="Times New Roman" w:hAnsi="Times New Roman" w:cs="Times New Roman"/>
          <w:sz w:val="24"/>
          <w:szCs w:val="24"/>
        </w:rPr>
        <w:t xml:space="preserve">, the model predicts that for any probability </w:t>
      </w:r>
      <w:r w:rsidR="00A866B3">
        <w:rPr>
          <w:rFonts w:ascii="Times New Roman" w:hAnsi="Times New Roman" w:cs="Times New Roman"/>
          <w:i/>
          <w:iCs/>
          <w:sz w:val="24"/>
          <w:szCs w:val="24"/>
        </w:rPr>
        <w:t>p</w:t>
      </w:r>
      <w:r w:rsidR="00A866B3">
        <w:rPr>
          <w:rFonts w:ascii="Times New Roman" w:hAnsi="Times New Roman" w:cs="Times New Roman"/>
          <w:sz w:val="24"/>
          <w:szCs w:val="24"/>
        </w:rPr>
        <w:t xml:space="preserve">, following the ABC+ D- ISO control trials participants should be maximally confident that object D is </w:t>
      </w:r>
      <w:r w:rsidR="00A866B3">
        <w:rPr>
          <w:rFonts w:ascii="Times New Roman" w:hAnsi="Times New Roman" w:cs="Times New Roman"/>
          <w:i/>
          <w:iCs/>
          <w:sz w:val="24"/>
          <w:szCs w:val="24"/>
        </w:rPr>
        <w:t xml:space="preserve">not </w:t>
      </w:r>
      <w:r w:rsidR="00A866B3">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41B5C5BD" w14:textId="0FC55B5A"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to the difference between the outcome that participants observe</w:t>
      </w:r>
      <w:r w:rsidR="00A9215C">
        <w:rPr>
          <w:rFonts w:ascii="Times New Roman" w:hAnsi="Times New Roman" w:cs="Times New Roman"/>
          <w:sz w:val="24"/>
          <w:szCs w:val="24"/>
        </w:rPr>
        <w:t xml:space="preserve">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w:t>
      </w:r>
      <w:r w:rsidR="00285F5D">
        <w:rPr>
          <w:rFonts w:ascii="Times New Roman" w:hAnsi="Times New Roman" w:cs="Times New Roman"/>
          <w:sz w:val="24"/>
          <w:szCs w:val="24"/>
        </w:rPr>
        <w:t xml:space="preserve"> simple Bayesian-inference model above</w:t>
      </w:r>
      <w:r w:rsidR="008033E4">
        <w:rPr>
          <w:rFonts w:ascii="Times New Roman" w:hAnsi="Times New Roman" w:cs="Times New Roman"/>
          <w:sz w:val="24"/>
          <w:szCs w:val="24"/>
        </w:rPr>
        <w:t>,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 for how participants should treat the objects after the BB main and control trials and</w:t>
      </w:r>
      <w:r w:rsidR="00285F5D">
        <w:rPr>
          <w:rFonts w:ascii="Times New Roman" w:hAnsi="Times New Roman" w:cs="Times New Roman"/>
          <w:sz w:val="24"/>
          <w:szCs w:val="24"/>
        </w:rPr>
        <w:t xml:space="preserve"> after</w:t>
      </w:r>
      <w:r w:rsidR="0038478B">
        <w:rPr>
          <w:rFonts w:ascii="Times New Roman" w:hAnsi="Times New Roman" w:cs="Times New Roman"/>
          <w:sz w:val="24"/>
          <w:szCs w:val="24"/>
        </w:rPr>
        <w:t xml:space="preserve"> the ISO main and control trials are shown below</w:t>
      </w:r>
      <w:r w:rsidR="00285F5D">
        <w:rPr>
          <w:rFonts w:ascii="Times New Roman" w:hAnsi="Times New Roman" w:cs="Times New Roman"/>
          <w:sz w:val="24"/>
          <w:szCs w:val="24"/>
        </w:rPr>
        <w:t xml:space="preserve"> in Table 5</w:t>
      </w:r>
      <w:r w:rsidR="0038478B">
        <w:rPr>
          <w:rFonts w:ascii="Times New Roman" w:hAnsi="Times New Roman" w:cs="Times New Roman"/>
          <w:sz w:val="24"/>
          <w:szCs w:val="24"/>
        </w:rPr>
        <w:t>.</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16ADC676" w14:textId="07925E50" w:rsidR="008D56B6" w:rsidRPr="00756AF0" w:rsidRDefault="00BC6B9D" w:rsidP="00296A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296A89">
        <w:rPr>
          <w:rFonts w:ascii="Times New Roman" w:hAnsi="Times New Roman" w:cs="Times New Roman"/>
          <w:sz w:val="24"/>
          <w:szCs w:val="24"/>
        </w:rPr>
        <w:t>can be seen in Table 5</w:t>
      </w:r>
      <w:r>
        <w:rPr>
          <w:rFonts w:ascii="Times New Roman" w:hAnsi="Times New Roman" w:cs="Times New Roman"/>
          <w:sz w:val="24"/>
          <w:szCs w:val="24"/>
        </w:rPr>
        <w:t>, this model, like the simple Bayesian model, predicts that learners should be maximally confident about the status of a candidate cause when it is shown in isolation, but should treat objects that are shown in combination</w:t>
      </w:r>
      <w:r w:rsidR="00296A89">
        <w:rPr>
          <w:rFonts w:ascii="Times New Roman" w:hAnsi="Times New Roman" w:cs="Times New Roman"/>
          <w:sz w:val="24"/>
          <w:szCs w:val="24"/>
        </w:rPr>
        <w:t xml:space="preserve"> (and never alone)</w:t>
      </w:r>
      <w:r>
        <w:rPr>
          <w:rFonts w:ascii="Times New Roman" w:hAnsi="Times New Roman" w:cs="Times New Roman"/>
          <w:sz w:val="24"/>
          <w:szCs w:val="24"/>
        </w:rPr>
        <w:t xml:space="preserve"> equivalently. Thus, if participants’ performance </w:t>
      </w:r>
      <w:r w:rsidR="00805021">
        <w:rPr>
          <w:rFonts w:ascii="Times New Roman" w:hAnsi="Times New Roman" w:cs="Times New Roman"/>
          <w:sz w:val="24"/>
          <w:szCs w:val="24"/>
        </w:rPr>
        <w:t>aligns</w:t>
      </w:r>
      <w:r>
        <w:rPr>
          <w:rFonts w:ascii="Times New Roman" w:hAnsi="Times New Roman" w:cs="Times New Roman"/>
          <w:sz w:val="24"/>
          <w:szCs w:val="24"/>
        </w:rPr>
        <w:t xml:space="preserve"> with the predictions of these two models, it should be impossible to determine whether a Bayesian mechanism or an associative-learning mechanism—</w:t>
      </w:r>
      <w:r>
        <w:rPr>
          <w:rFonts w:ascii="Times New Roman" w:hAnsi="Times New Roman" w:cs="Times New Roman"/>
          <w:sz w:val="24"/>
          <w:szCs w:val="24"/>
        </w:rPr>
        <w:lastRenderedPageBreak/>
        <w:t>based on the mechanics of the traditional RW model—underlies children’s performance in this task</w:t>
      </w:r>
      <w:r w:rsidR="00805021">
        <w:rPr>
          <w:rFonts w:ascii="Times New Roman" w:hAnsi="Times New Roman" w:cs="Times New Roman"/>
          <w:sz w:val="24"/>
          <w:szCs w:val="24"/>
        </w:rPr>
        <w:t>, and an additional experiment will need to be conducted</w:t>
      </w:r>
      <w:r>
        <w:rPr>
          <w:rFonts w:ascii="Times New Roman" w:hAnsi="Times New Roman" w:cs="Times New Roman"/>
          <w:sz w:val="24"/>
          <w:szCs w:val="24"/>
        </w:rPr>
        <w:t xml:space="preserve">. </w:t>
      </w:r>
    </w:p>
    <w:p w14:paraId="03017B50" w14:textId="214E34FC"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To understand how this cognitive mechanism works</w:t>
      </w:r>
      <w:r w:rsidR="000B13D6">
        <w:rPr>
          <w:rFonts w:ascii="Times New Roman" w:hAnsi="Times New Roman" w:cs="Times New Roman"/>
          <w:sz w:val="24"/>
          <w:szCs w:val="24"/>
        </w:rPr>
        <w:t xml:space="preserve"> to produce causal judgements</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r w:rsidR="00657E2C">
        <w:rPr>
          <w:rFonts w:ascii="Times New Roman" w:hAnsi="Times New Roman" w:cs="Times New Roman"/>
          <w:sz w:val="24"/>
          <w:szCs w:val="24"/>
        </w:rPr>
        <w:t xml:space="preserve">counting is </w:t>
      </w:r>
      <w:r w:rsidR="00572DC7">
        <w:rPr>
          <w:rFonts w:ascii="Times New Roman" w:hAnsi="Times New Roman" w:cs="Times New Roman"/>
          <w:sz w:val="24"/>
          <w:szCs w:val="24"/>
        </w:rPr>
        <w:t xml:space="preserve">the cognitive mechanism that best explains learners’ inferences in the present task, </w:t>
      </w:r>
      <w:r w:rsidR="00657E2C">
        <w:rPr>
          <w:rFonts w:ascii="Times New Roman" w:hAnsi="Times New Roman" w:cs="Times New Roman"/>
          <w:sz w:val="24"/>
          <w:szCs w:val="24"/>
        </w:rPr>
        <w:t xml:space="preserve">then </w:t>
      </w:r>
      <w:r w:rsidR="00572DC7">
        <w:rPr>
          <w:rFonts w:ascii="Times New Roman" w:hAnsi="Times New Roman" w:cs="Times New Roman"/>
          <w:sz w:val="24"/>
          <w:szCs w:val="24"/>
        </w:rPr>
        <w:t xml:space="preserve">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w:t>
      </w:r>
      <w:r w:rsidR="00657E2C">
        <w:rPr>
          <w:rFonts w:ascii="Times New Roman" w:hAnsi="Times New Roman" w:cs="Times New Roman"/>
          <w:sz w:val="24"/>
          <w:szCs w:val="24"/>
        </w:rPr>
        <w:t>d</w:t>
      </w:r>
      <w:r w:rsidR="00F035D5">
        <w:rPr>
          <w:rFonts w:ascii="Times New Roman" w:hAnsi="Times New Roman" w:cs="Times New Roman"/>
          <w:sz w:val="24"/>
          <w:szCs w:val="24"/>
        </w:rPr>
        <w:t xml:space="preserve"> trials during which objects </w:t>
      </w:r>
      <w:r w:rsidR="00657E2C">
        <w:rPr>
          <w:rFonts w:ascii="Times New Roman" w:hAnsi="Times New Roman" w:cs="Times New Roman"/>
          <w:sz w:val="24"/>
          <w:szCs w:val="24"/>
        </w:rPr>
        <w:t xml:space="preserve">were </w:t>
      </w:r>
      <w:r w:rsidR="00F035D5">
        <w:rPr>
          <w:rFonts w:ascii="Times New Roman" w:hAnsi="Times New Roman" w:cs="Times New Roman"/>
          <w:sz w:val="24"/>
          <w:szCs w:val="24"/>
        </w:rPr>
        <w:t>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45894073"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clear that although</w:t>
      </w:r>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associative-learning processes</w:t>
      </w:r>
      <w:r w:rsidR="00607FAD">
        <w:rPr>
          <w:rFonts w:ascii="Times New Roman" w:hAnsi="Times New Roman" w:cs="Times New Roman"/>
          <w:sz w:val="24"/>
          <w:szCs w:val="24"/>
        </w:rPr>
        <w:t xml:space="preserve"> and thus are related</w:t>
      </w:r>
      <w:r w:rsidR="00A46D61">
        <w:rPr>
          <w:rFonts w:ascii="Times New Roman" w:hAnsi="Times New Roman" w:cs="Times New Roman"/>
          <w:sz w:val="24"/>
          <w:szCs w:val="24"/>
        </w:rPr>
        <w:t xml:space="preserve">, they differ </w:t>
      </w:r>
      <w:r w:rsidR="00607FAD">
        <w:rPr>
          <w:rFonts w:ascii="Times New Roman" w:hAnsi="Times New Roman" w:cs="Times New Roman"/>
          <w:sz w:val="24"/>
          <w:szCs w:val="24"/>
        </w:rPr>
        <w:t>crucially in their predictions</w:t>
      </w:r>
      <w:r w:rsidR="00A46D61">
        <w:rPr>
          <w:rFonts w:ascii="Times New Roman" w:hAnsi="Times New Roman" w:cs="Times New Roman"/>
          <w:sz w:val="24"/>
          <w:szCs w:val="24"/>
        </w:rPr>
        <w:t xml:space="preserve">. </w:t>
      </w:r>
      <w:r w:rsidR="003E580E">
        <w:rPr>
          <w:rFonts w:ascii="Times New Roman" w:hAnsi="Times New Roman" w:cs="Times New Roman"/>
          <w:sz w:val="24"/>
          <w:szCs w:val="24"/>
        </w:rPr>
        <w:t>For instance, l</w:t>
      </w:r>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w:t>
      </w:r>
      <w:r w:rsidR="00A46D61">
        <w:rPr>
          <w:rFonts w:ascii="Times New Roman" w:hAnsi="Times New Roman" w:cs="Times New Roman"/>
          <w:sz w:val="24"/>
          <w:szCs w:val="24"/>
        </w:rPr>
        <w:lastRenderedPageBreak/>
        <w:t xml:space="preserve">error. In contrast, </w:t>
      </w:r>
      <w:r w:rsidR="00736720">
        <w:rPr>
          <w:rFonts w:ascii="Times New Roman" w:hAnsi="Times New Roman" w:cs="Times New Roman"/>
          <w:sz w:val="24"/>
          <w:szCs w:val="24"/>
        </w:rPr>
        <w:t>if a simple counting-based mechanism underlies learners’ causal inferences in the present context, then they</w:t>
      </w:r>
      <w:r w:rsidR="00A46D61">
        <w:rPr>
          <w:rFonts w:ascii="Times New Roman" w:hAnsi="Times New Roman" w:cs="Times New Roman"/>
          <w:sz w:val="24"/>
          <w:szCs w:val="24"/>
        </w:rPr>
        <w:t xml:space="preserve"> should increase their belief that a given object is causally effective based on the </w:t>
      </w:r>
      <w:r w:rsidR="00736720">
        <w:rPr>
          <w:rFonts w:ascii="Times New Roman" w:hAnsi="Times New Roman" w:cs="Times New Roman"/>
          <w:sz w:val="24"/>
          <w:szCs w:val="24"/>
        </w:rPr>
        <w:t xml:space="preserve">number of </w:t>
      </w:r>
      <w:r w:rsidR="00607FAD">
        <w:rPr>
          <w:rFonts w:ascii="Times New Roman" w:hAnsi="Times New Roman" w:cs="Times New Roman"/>
          <w:sz w:val="24"/>
          <w:szCs w:val="24"/>
        </w:rPr>
        <w:t xml:space="preserve">times that that object and the machine’s activation have been paired.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6</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586C9F3" w14:textId="679D40E8" w:rsidR="00D51EE7" w:rsidRDefault="00D51EE7"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w:t>
      </w:r>
      <w:r w:rsidR="004F7E13">
        <w:rPr>
          <w:rFonts w:ascii="Times New Roman" w:hAnsi="Times New Roman" w:cs="Times New Roman"/>
          <w:sz w:val="24"/>
          <w:szCs w:val="24"/>
        </w:rPr>
        <w:t xml:space="preserve">from the table above </w:t>
      </w:r>
      <w:r>
        <w:rPr>
          <w:rFonts w:ascii="Times New Roman" w:hAnsi="Times New Roman" w:cs="Times New Roman"/>
          <w:sz w:val="24"/>
          <w:szCs w:val="24"/>
        </w:rPr>
        <w:t xml:space="preserve">that this account predicts that </w:t>
      </w:r>
      <w:r w:rsidR="004F7E13">
        <w:rPr>
          <w:rFonts w:ascii="Times New Roman" w:hAnsi="Times New Roman" w:cs="Times New Roman"/>
          <w:sz w:val="24"/>
          <w:szCs w:val="24"/>
        </w:rPr>
        <w:t xml:space="preserve">for the BB main trials </w:t>
      </w:r>
      <w:r>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 whereas object A would have been paired with the machine twice.</w:t>
      </w:r>
      <w:r>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 xml:space="preserve">This prediction results from the fact that all four </w:t>
      </w:r>
      <w:r w:rsidR="00DA6ED4">
        <w:rPr>
          <w:rFonts w:ascii="Times New Roman" w:hAnsi="Times New Roman" w:cs="Times New Roman"/>
          <w:sz w:val="24"/>
          <w:szCs w:val="24"/>
        </w:rPr>
        <w:lastRenderedPageBreak/>
        <w:t>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in other words, the effect of seeing object A paired with the machine’s activation during the ABC+ trials should be exactly canceled out by the effect of seeing object A paired with the machine’s inactivation during the A- trials.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50535E3E"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D21D0E">
        <w:rPr>
          <w:rFonts w:ascii="Times New Roman" w:hAnsi="Times New Roman" w:cs="Times New Roman"/>
          <w:sz w:val="24"/>
          <w:szCs w:val="24"/>
        </w:rPr>
        <w:t>three goals</w:t>
      </w:r>
      <w:r w:rsidR="00E922F8">
        <w:rPr>
          <w:rFonts w:ascii="Times New Roman" w:hAnsi="Times New Roman" w:cs="Times New Roman"/>
          <w:sz w:val="24"/>
          <w:szCs w:val="24"/>
        </w:rPr>
        <w:t>.</w:t>
      </w:r>
      <w:r w:rsidR="00736720">
        <w:rPr>
          <w:rFonts w:ascii="Times New Roman" w:hAnsi="Times New Roman" w:cs="Times New Roman"/>
          <w:sz w:val="24"/>
          <w:szCs w:val="24"/>
        </w:rPr>
        <w:t xml:space="preserve"> </w:t>
      </w:r>
      <w:r w:rsidR="00D21D0E">
        <w:rPr>
          <w:rFonts w:ascii="Times New Roman" w:hAnsi="Times New Roman" w:cs="Times New Roman"/>
          <w:sz w:val="24"/>
          <w:szCs w:val="24"/>
        </w:rPr>
        <w:t>The first goal</w:t>
      </w:r>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 xml:space="preserve">objects. </w:t>
      </w:r>
      <w:r w:rsidR="009A3415">
        <w:rPr>
          <w:rFonts w:ascii="Times New Roman" w:hAnsi="Times New Roman" w:cs="Times New Roman"/>
          <w:sz w:val="24"/>
          <w:szCs w:val="24"/>
        </w:rPr>
        <w:t>A second goal</w:t>
      </w:r>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r w:rsidR="00354586">
        <w:rPr>
          <w:rFonts w:ascii="Times New Roman" w:hAnsi="Times New Roman" w:cs="Times New Roman"/>
          <w:sz w:val="24"/>
          <w:szCs w:val="24"/>
        </w:rPr>
        <w:t>A third</w:t>
      </w:r>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354586">
        <w:rPr>
          <w:rFonts w:ascii="Times New Roman" w:hAnsi="Times New Roman" w:cs="Times New Roman"/>
          <w:sz w:val="24"/>
          <w:szCs w:val="24"/>
        </w:rPr>
        <w:t xml:space="preserve">Specifically, </w:t>
      </w:r>
      <w:r w:rsidR="00B40413">
        <w:rPr>
          <w:rFonts w:ascii="Times New Roman" w:hAnsi="Times New Roman" w:cs="Times New Roman"/>
          <w:sz w:val="24"/>
          <w:szCs w:val="24"/>
        </w:rPr>
        <w:t>we wanted to</w:t>
      </w:r>
      <w:r w:rsidR="00354586">
        <w:rPr>
          <w:rFonts w:ascii="Times New Roman" w:hAnsi="Times New Roman" w:cs="Times New Roman"/>
          <w:sz w:val="24"/>
          <w:szCs w:val="24"/>
        </w:rPr>
        <w:t xml:space="preserve"> determine which of the three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r w:rsidR="00CB191A">
        <w:rPr>
          <w:rFonts w:ascii="Times New Roman" w:hAnsi="Times New Roman" w:cs="Times New Roman"/>
          <w:sz w:val="24"/>
          <w:szCs w:val="24"/>
        </w:rPr>
        <w:t xml:space="preserve">better </w:t>
      </w:r>
      <w:r w:rsidR="00D657C3">
        <w:rPr>
          <w:rFonts w:ascii="Times New Roman" w:hAnsi="Times New Roman" w:cs="Times New Roman"/>
          <w:sz w:val="24"/>
          <w:szCs w:val="24"/>
        </w:rPr>
        <w:t>accounts for children’s causal inferences in the present context.</w:t>
      </w:r>
      <w:r w:rsidR="00CB2709">
        <w:rPr>
          <w:rFonts w:ascii="Times New Roman" w:hAnsi="Times New Roman" w:cs="Times New Roman"/>
          <w:sz w:val="24"/>
          <w:szCs w:val="24"/>
        </w:rPr>
        <w:t xml:space="preserve"> The ideal mechanism is one that explains </w:t>
      </w:r>
      <w:proofErr w:type="gramStart"/>
      <w:r w:rsidR="00CB2709">
        <w:rPr>
          <w:rFonts w:ascii="Times New Roman" w:hAnsi="Times New Roman" w:cs="Times New Roman"/>
          <w:sz w:val="24"/>
          <w:szCs w:val="24"/>
        </w:rPr>
        <w:t>all of</w:t>
      </w:r>
      <w:proofErr w:type="gramEnd"/>
      <w:r w:rsidR="00CB2709">
        <w:rPr>
          <w:rFonts w:ascii="Times New Roman" w:hAnsi="Times New Roman" w:cs="Times New Roman"/>
          <w:sz w:val="24"/>
          <w:szCs w:val="24"/>
        </w:rPr>
        <w:t xml:space="preserve"> the data rather than a subset of it.</w:t>
      </w:r>
      <w:r w:rsidR="00D657C3">
        <w:rPr>
          <w:rFonts w:ascii="Times New Roman" w:hAnsi="Times New Roman" w:cs="Times New Roman"/>
          <w:sz w:val="24"/>
          <w:szCs w:val="24"/>
        </w:rPr>
        <w:t xml:space="preserve"> </w:t>
      </w:r>
      <w:r w:rsidR="008D2045">
        <w:rPr>
          <w:rFonts w:ascii="Times New Roman" w:hAnsi="Times New Roman" w:cs="Times New Roman"/>
          <w:sz w:val="24"/>
          <w:szCs w:val="24"/>
        </w:rPr>
        <w:t xml:space="preserve">Finally, </w:t>
      </w:r>
      <w:r w:rsidR="00A22C6C">
        <w:rPr>
          <w:rFonts w:ascii="Times New Roman" w:hAnsi="Times New Roman" w:cs="Times New Roman"/>
          <w:sz w:val="24"/>
          <w:szCs w:val="24"/>
        </w:rPr>
        <w:t>given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present series of experiments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7526F62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w:t>
      </w:r>
      <w:r w:rsidR="004863E8">
        <w:rPr>
          <w:rFonts w:ascii="Times New Roman" w:hAnsi="Times New Roman" w:cs="Times New Roman"/>
          <w:sz w:val="24"/>
          <w:szCs w:val="24"/>
        </w:rPr>
        <w:t xml:space="preserve">either </w:t>
      </w:r>
      <w:r>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are then </w:t>
      </w:r>
      <w:r>
        <w:rPr>
          <w:rFonts w:ascii="Times New Roman" w:hAnsi="Times New Roman" w:cs="Times New Roman"/>
          <w:sz w:val="24"/>
          <w:szCs w:val="24"/>
        </w:rPr>
        <w:t xml:space="preserve">asked to indicate whether the objects in each trial were blickets. In this experiment, only a single object was shown during the elemental portion of the BB experimental event. </w:t>
      </w:r>
      <w:r w:rsidR="00B02CAD">
        <w:rPr>
          <w:rFonts w:ascii="Times New Roman" w:hAnsi="Times New Roman" w:cs="Times New Roman"/>
          <w:sz w:val="24"/>
          <w:szCs w:val="24"/>
        </w:rPr>
        <w:t xml:space="preserve">Participants were randomly assigned to the BB or ISO conditions. </w:t>
      </w:r>
    </w:p>
    <w:p w14:paraId="337EF428" w14:textId="7EC83BE1"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w:t>
      </w:r>
      <w:proofErr w:type="gramStart"/>
      <w:r w:rsidR="00DC6F0B">
        <w:rPr>
          <w:rFonts w:ascii="Times New Roman" w:hAnsi="Times New Roman" w:cs="Times New Roman"/>
          <w:sz w:val="24"/>
          <w:szCs w:val="24"/>
        </w:rPr>
        <w:t>equally-spaced</w:t>
      </w:r>
      <w:proofErr w:type="gramEnd"/>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 to ensure that all participants </w:t>
      </w:r>
      <w:r w:rsidR="00DC6F0B">
        <w:rPr>
          <w:rFonts w:ascii="Times New Roman" w:hAnsi="Times New Roman" w:cs="Times New Roman"/>
          <w:sz w:val="24"/>
          <w:szCs w:val="24"/>
        </w:rPr>
        <w:t xml:space="preserve">received </w:t>
      </w:r>
      <w:proofErr w:type="gramStart"/>
      <w:r w:rsidR="00DC6F0B">
        <w:rPr>
          <w:rFonts w:ascii="Times New Roman" w:hAnsi="Times New Roman" w:cs="Times New Roman"/>
          <w:sz w:val="24"/>
          <w:szCs w:val="24"/>
        </w:rPr>
        <w:t>exactly the</w:t>
      </w:r>
      <w:r>
        <w:rPr>
          <w:rFonts w:ascii="Times New Roman" w:hAnsi="Times New Roman" w:cs="Times New Roman"/>
          <w:sz w:val="24"/>
          <w:szCs w:val="24"/>
        </w:rPr>
        <w:t xml:space="preserve"> same</w:t>
      </w:r>
      <w:proofErr w:type="gramEnd"/>
      <w:r>
        <w:rPr>
          <w:rFonts w:ascii="Times New Roman" w:hAnsi="Times New Roman" w:cs="Times New Roman"/>
          <w:sz w:val="24"/>
          <w:szCs w:val="24"/>
        </w:rPr>
        <w:t xml:space="preserve"> instructions and received the same text throughout the </w:t>
      </w:r>
      <w:commentRangeStart w:id="0"/>
      <w:r>
        <w:rPr>
          <w:rFonts w:ascii="Times New Roman" w:hAnsi="Times New Roman" w:cs="Times New Roman"/>
          <w:sz w:val="24"/>
          <w:szCs w:val="24"/>
        </w:rPr>
        <w:t>experiment</w:t>
      </w:r>
      <w:commentRangeEnd w:id="0"/>
      <w:r>
        <w:rPr>
          <w:rStyle w:val="CommentReference"/>
        </w:rPr>
        <w:commentReference w:id="0"/>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EA3BE6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lastRenderedPageBreak/>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33D3964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03854875"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w:t>
      </w:r>
      <w:r>
        <w:rPr>
          <w:rFonts w:ascii="Times New Roman" w:hAnsi="Times New Roman" w:cs="Times New Roman"/>
          <w:sz w:val="24"/>
          <w:szCs w:val="24"/>
        </w:rPr>
        <w:lastRenderedPageBreak/>
        <w:t>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that different colors were used for the objects.  </w:t>
      </w:r>
    </w:p>
    <w:p w14:paraId="2D400C63" w14:textId="68DCFE2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42CF56A1"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273B327C"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0232D691" w14:textId="76E1D04E"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r w:rsidR="00423BD2">
        <w:rPr>
          <w:rFonts w:ascii="Times New Roman" w:hAnsi="Times New Roman" w:cs="Times New Roman"/>
          <w:sz w:val="24"/>
          <w:szCs w:val="24"/>
        </w:rPr>
        <w:t xml:space="preserve"> </w:t>
      </w:r>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 xml:space="preserve">hypothesis, respectively (Lee &amp; </w:t>
      </w:r>
      <w:proofErr w:type="spellStart"/>
      <w:r w:rsidR="00423BD2" w:rsidRPr="00862B9C">
        <w:rPr>
          <w:rFonts w:ascii="Times New Roman" w:hAnsi="Times New Roman" w:cs="Times New Roman"/>
          <w:sz w:val="24"/>
          <w:szCs w:val="24"/>
        </w:rPr>
        <w:t>Wagenmakers</w:t>
      </w:r>
      <w:proofErr w:type="spellEnd"/>
      <w:r w:rsidR="00423BD2" w:rsidRPr="00862B9C">
        <w:rPr>
          <w:rFonts w:ascii="Times New Roman" w:hAnsi="Times New Roman" w:cs="Times New Roman"/>
          <w:sz w:val="24"/>
          <w:szCs w:val="24"/>
        </w:rPr>
        <w:t>, 2014).</w:t>
      </w:r>
    </w:p>
    <w:p w14:paraId="7D73D1A3" w14:textId="62E2BFBB" w:rsidR="00845313" w:rsidRDefault="009D6EC2" w:rsidP="0084531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Add  Exp.</w:t>
      </w:r>
      <w:proofErr w:type="gramEnd"/>
      <w:r>
        <w:rPr>
          <w:rFonts w:ascii="Times New Roman" w:hAnsi="Times New Roman" w:cs="Times New Roman"/>
          <w:b/>
          <w:bCs/>
          <w:sz w:val="24"/>
          <w:szCs w:val="24"/>
        </w:rPr>
        <w:t xml:space="preserve"> 1 results here]</w:t>
      </w:r>
    </w:p>
    <w:p w14:paraId="2FE24BC4" w14:textId="59F39F8D" w:rsidR="00C65512" w:rsidRDefault="00C65512" w:rsidP="00C6551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[INSERT EXPERIMENT 1 DISCUSSION HERE]</w:t>
      </w:r>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2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4504A96B"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r w:rsidR="00E64783">
        <w:rPr>
          <w:rFonts w:ascii="Times New Roman" w:hAnsi="Times New Roman" w:cs="Times New Roman"/>
          <w:bCs/>
          <w:sz w:val="24"/>
          <w:szCs w:val="24"/>
        </w:rPr>
        <w:t xml:space="preserve">All children were tested in a quiet room at a </w:t>
      </w:r>
      <w:r w:rsidR="00733D07">
        <w:rPr>
          <w:rFonts w:ascii="Times New Roman" w:hAnsi="Times New Roman" w:cs="Times New Roman"/>
          <w:bCs/>
          <w:sz w:val="24"/>
          <w:szCs w:val="24"/>
        </w:rPr>
        <w:t>children’s museum</w:t>
      </w:r>
      <w:r w:rsidR="00E64783">
        <w:rPr>
          <w:rFonts w:ascii="Times New Roman" w:hAnsi="Times New Roman" w:cs="Times New Roman"/>
          <w:bCs/>
          <w:sz w:val="24"/>
          <w:szCs w:val="24"/>
        </w:rPr>
        <w:t>.</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187D2C05" w14:textId="69683888" w:rsidR="001E58F2" w:rsidRDefault="001E58F2" w:rsidP="001E58F2">
      <w:pPr>
        <w:spacing w:line="480" w:lineRule="auto"/>
        <w:contextualSpacing/>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E4DAAC5" wp14:editId="276024AA">
            <wp:extent cx="6477000" cy="380039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79412" cy="3801809"/>
                    </a:xfrm>
                    <a:prstGeom prst="rect">
                      <a:avLst/>
                    </a:prstGeom>
                  </pic:spPr>
                </pic:pic>
              </a:graphicData>
            </a:graphic>
          </wp:inline>
        </w:drawing>
      </w:r>
      <w:r w:rsidR="00B07901">
        <w:rPr>
          <w:rFonts w:ascii="Times New Roman" w:hAnsi="Times New Roman" w:cs="Times New Roman"/>
          <w:b/>
          <w:sz w:val="24"/>
          <w:szCs w:val="24"/>
        </w:rPr>
        <w:t xml:space="preserve"> </w:t>
      </w:r>
    </w:p>
    <w:p w14:paraId="37A41047" w14:textId="4B58D0CC" w:rsidR="006B41BB" w:rsidRDefault="004963D2"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he data were entered into a five-way linear model</w:t>
      </w:r>
      <w:r w:rsidR="00452266">
        <w:rPr>
          <w:rFonts w:ascii="Times New Roman" w:hAnsi="Times New Roman" w:cs="Times New Roman"/>
          <w:bCs/>
          <w:sz w:val="24"/>
          <w:szCs w:val="24"/>
        </w:rPr>
        <w:t xml:space="preserve"> </w:t>
      </w:r>
      <w:r>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Pr>
          <w:rFonts w:ascii="Times New Roman" w:hAnsi="Times New Roman" w:cs="Times New Roman"/>
          <w:bCs/>
          <w:sz w:val="24"/>
          <w:szCs w:val="24"/>
        </w:rPr>
        <w:t xml:space="preserve">as the between-subjects </w:t>
      </w:r>
      <w:r w:rsidR="00EA3AA3">
        <w:rPr>
          <w:rFonts w:ascii="Times New Roman" w:hAnsi="Times New Roman" w:cs="Times New Roman"/>
          <w:bCs/>
          <w:sz w:val="24"/>
          <w:szCs w:val="24"/>
        </w:rPr>
        <w:t>factor and</w:t>
      </w:r>
      <w:r>
        <w:rPr>
          <w:rFonts w:ascii="Times New Roman" w:hAnsi="Times New Roman" w:cs="Times New Roman"/>
          <w:bCs/>
          <w:sz w:val="24"/>
          <w:szCs w:val="24"/>
        </w:rPr>
        <w:t xml:space="preserve"> Condition (BB vs. ISO)</w:t>
      </w:r>
      <w:r w:rsidR="00535706">
        <w:rPr>
          <w:rFonts w:ascii="Times New Roman" w:hAnsi="Times New Roman" w:cs="Times New Roman"/>
          <w:bCs/>
          <w:sz w:val="24"/>
          <w:szCs w:val="24"/>
        </w:rPr>
        <w:t>,</w:t>
      </w:r>
      <w:r>
        <w:rPr>
          <w:rFonts w:ascii="Times New Roman" w:hAnsi="Times New Roman" w:cs="Times New Roman"/>
          <w:bCs/>
          <w:sz w:val="24"/>
          <w:szCs w:val="24"/>
        </w:rPr>
        <w:t xml:space="preserve"> 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and Objects (A vs. B vs. C vs. D)</w:t>
      </w:r>
      <w:r w:rsidR="00F1184F">
        <w:rPr>
          <w:rFonts w:ascii="Times New Roman" w:hAnsi="Times New Roman" w:cs="Times New Roman"/>
          <w:bCs/>
          <w:sz w:val="24"/>
          <w:szCs w:val="24"/>
        </w:rPr>
        <w:t xml:space="preserve"> as the within-</w:t>
      </w:r>
      <w:proofErr w:type="gramStart"/>
      <w:r w:rsidR="00F1184F">
        <w:rPr>
          <w:rFonts w:ascii="Times New Roman" w:hAnsi="Times New Roman" w:cs="Times New Roman"/>
          <w:bCs/>
          <w:sz w:val="24"/>
          <w:szCs w:val="24"/>
        </w:rPr>
        <w:t>subjects</w:t>
      </w:r>
      <w:proofErr w:type="gramEnd"/>
      <w:r w:rsidR="00F1184F">
        <w:rPr>
          <w:rFonts w:ascii="Times New Roman" w:hAnsi="Times New Roman" w:cs="Times New Roman"/>
          <w:bCs/>
          <w:sz w:val="24"/>
          <w:szCs w:val="24"/>
        </w:rPr>
        <w:t xml:space="preserve">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proofErr w:type="gramStart"/>
      <w:r w:rsidR="00A76E70">
        <w:rPr>
          <w:rFonts w:ascii="Times New Roman" w:hAnsi="Times New Roman" w:cs="Times New Roman"/>
          <w:i/>
          <w:iCs/>
          <w:sz w:val="24"/>
          <w:szCs w:val="24"/>
        </w:rPr>
        <w:t>F</w:t>
      </w:r>
      <w:r w:rsidR="00A76E70">
        <w:rPr>
          <w:rFonts w:ascii="Times New Roman" w:hAnsi="Times New Roman" w:cs="Times New Roman"/>
          <w:sz w:val="24"/>
          <w:szCs w:val="24"/>
        </w:rPr>
        <w:t>(</w:t>
      </w:r>
      <w:proofErr w:type="gramEnd"/>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proofErr w:type="gramStart"/>
      <w:r w:rsidR="00343F41">
        <w:rPr>
          <w:rFonts w:ascii="Times New Roman" w:hAnsi="Times New Roman" w:cs="Times New Roman"/>
          <w:i/>
          <w:iCs/>
          <w:sz w:val="24"/>
          <w:szCs w:val="24"/>
        </w:rPr>
        <w:t>F</w:t>
      </w:r>
      <w:r w:rsidR="00343F41">
        <w:rPr>
          <w:rFonts w:ascii="Times New Roman" w:hAnsi="Times New Roman" w:cs="Times New Roman"/>
          <w:sz w:val="24"/>
          <w:szCs w:val="24"/>
        </w:rPr>
        <w:t>(</w:t>
      </w:r>
      <w:proofErr w:type="gramEnd"/>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proofErr w:type="gramStart"/>
      <w:r w:rsidR="006B29B2">
        <w:rPr>
          <w:rFonts w:ascii="Times New Roman" w:hAnsi="Times New Roman" w:cs="Times New Roman"/>
          <w:i/>
          <w:iCs/>
          <w:sz w:val="24"/>
          <w:szCs w:val="24"/>
        </w:rPr>
        <w:t>F</w:t>
      </w:r>
      <w:r w:rsidR="006B29B2">
        <w:rPr>
          <w:rFonts w:ascii="Times New Roman" w:hAnsi="Times New Roman" w:cs="Times New Roman"/>
          <w:sz w:val="24"/>
          <w:szCs w:val="24"/>
        </w:rPr>
        <w:t>(</w:t>
      </w:r>
      <w:proofErr w:type="gramEnd"/>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proofErr w:type="gramStart"/>
      <w:r w:rsidR="00094440">
        <w:rPr>
          <w:rFonts w:ascii="Times New Roman" w:hAnsi="Times New Roman" w:cs="Times New Roman"/>
          <w:i/>
          <w:iCs/>
          <w:sz w:val="24"/>
          <w:szCs w:val="24"/>
        </w:rPr>
        <w:t>F</w:t>
      </w:r>
      <w:r w:rsidR="00094440">
        <w:rPr>
          <w:rFonts w:ascii="Times New Roman" w:hAnsi="Times New Roman" w:cs="Times New Roman"/>
          <w:sz w:val="24"/>
          <w:szCs w:val="24"/>
        </w:rPr>
        <w:t>(</w:t>
      </w:r>
      <w:proofErr w:type="gramEnd"/>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proofErr w:type="gramStart"/>
      <w:r w:rsidR="00F02371">
        <w:rPr>
          <w:rFonts w:ascii="Times New Roman" w:hAnsi="Times New Roman" w:cs="Times New Roman"/>
          <w:i/>
          <w:iCs/>
          <w:sz w:val="24"/>
          <w:szCs w:val="24"/>
        </w:rPr>
        <w:t>t</w:t>
      </w:r>
      <w:r w:rsidR="00F02371">
        <w:rPr>
          <w:rFonts w:ascii="Times New Roman" w:hAnsi="Times New Roman" w:cs="Times New Roman"/>
          <w:sz w:val="24"/>
          <w:szCs w:val="24"/>
        </w:rPr>
        <w:t>(</w:t>
      </w:r>
      <w:proofErr w:type="gramEnd"/>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5CD6D510"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under the new operationalization—in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w:t>
      </w:r>
      <w:r w:rsidR="0069375C">
        <w:rPr>
          <w:rFonts w:ascii="Times New Roman" w:hAnsi="Times New Roman" w:cs="Times New Roman"/>
          <w:sz w:val="24"/>
          <w:szCs w:val="24"/>
        </w:rPr>
        <w:lastRenderedPageBreak/>
        <w:t>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proofErr w:type="gramStart"/>
      <w:r w:rsidR="00790BB1">
        <w:rPr>
          <w:rFonts w:ascii="Times New Roman" w:hAnsi="Times New Roman" w:cs="Times New Roman"/>
          <w:i/>
          <w:iCs/>
          <w:sz w:val="24"/>
          <w:szCs w:val="24"/>
        </w:rPr>
        <w:t>F</w:t>
      </w:r>
      <w:r w:rsidR="00790BB1">
        <w:rPr>
          <w:rFonts w:ascii="Times New Roman" w:hAnsi="Times New Roman" w:cs="Times New Roman"/>
          <w:sz w:val="24"/>
          <w:szCs w:val="24"/>
        </w:rPr>
        <w:t>(</w:t>
      </w:r>
      <w:proofErr w:type="gramEnd"/>
      <w:r w:rsidR="00790BB1">
        <w:rPr>
          <w:rFonts w:ascii="Times New Roman" w:hAnsi="Times New Roman" w:cs="Times New Roman"/>
          <w:sz w:val="24"/>
          <w:szCs w:val="24"/>
        </w:rPr>
        <w:t>1, 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r w:rsidR="00766E00">
        <w:rPr>
          <w:rFonts w:ascii="Times New Roman" w:hAnsi="Times New Roman" w:cs="Times New Roman"/>
          <w:sz w:val="24"/>
          <w:szCs w:val="24"/>
        </w:rPr>
        <w:t xml:space="preserve"> gave more “Yes” responses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0.80). Crucially, </w:t>
      </w:r>
      <w:bookmarkStart w:id="1"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proofErr w:type="gramStart"/>
      <w:r w:rsidR="002B202B">
        <w:rPr>
          <w:rFonts w:ascii="Times New Roman" w:hAnsi="Times New Roman" w:cs="Times New Roman"/>
          <w:i/>
          <w:iCs/>
          <w:sz w:val="24"/>
          <w:szCs w:val="24"/>
        </w:rPr>
        <w:t>F</w:t>
      </w:r>
      <w:r w:rsidR="00AD2D28">
        <w:rPr>
          <w:rFonts w:ascii="Times New Roman" w:hAnsi="Times New Roman" w:cs="Times New Roman"/>
          <w:sz w:val="24"/>
          <w:szCs w:val="24"/>
        </w:rPr>
        <w:t>(</w:t>
      </w:r>
      <w:proofErr w:type="gramEnd"/>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1"/>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2BB5669F"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r w:rsidR="002551C3">
        <w:rPr>
          <w:rFonts w:ascii="Times New Roman" w:hAnsi="Times New Roman" w:cs="Times New Roman"/>
          <w:sz w:val="24"/>
          <w:szCs w:val="24"/>
        </w:rPr>
        <w:t xml:space="preserve"> Similar to the analysis above, the only main effect was Trial Type, </w:t>
      </w:r>
      <w:proofErr w:type="gramStart"/>
      <w:r w:rsidR="002551C3">
        <w:rPr>
          <w:rFonts w:ascii="Times New Roman" w:hAnsi="Times New Roman" w:cs="Times New Roman"/>
          <w:i/>
          <w:iCs/>
          <w:sz w:val="24"/>
          <w:szCs w:val="24"/>
        </w:rPr>
        <w:t>F</w:t>
      </w:r>
      <w:r w:rsidR="002551C3">
        <w:rPr>
          <w:rFonts w:ascii="Times New Roman" w:hAnsi="Times New Roman" w:cs="Times New Roman"/>
          <w:sz w:val="24"/>
          <w:szCs w:val="24"/>
        </w:rPr>
        <w:t>(</w:t>
      </w:r>
      <w:proofErr w:type="gramEnd"/>
      <w:r w:rsidR="002551C3">
        <w:rPr>
          <w:rFonts w:ascii="Times New Roman" w:hAnsi="Times New Roman" w:cs="Times New Roman"/>
          <w:sz w:val="24"/>
          <w:szCs w:val="24"/>
        </w:rPr>
        <w:t xml:space="preserve">1, 400) = 4.47,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xml:space="preserve">= .04, which reflected the fact that participants’ blicket ratings were higher during the control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r w:rsidR="004A24F3">
        <w:rPr>
          <w:rFonts w:ascii="Times New Roman" w:hAnsi="Times New Roman" w:cs="Times New Roman"/>
          <w:sz w:val="24"/>
          <w:szCs w:val="24"/>
        </w:rPr>
        <w:t xml:space="preserve"> </w:t>
      </w:r>
      <w:r w:rsidR="00766E00">
        <w:rPr>
          <w:rFonts w:ascii="Times New Roman" w:hAnsi="Times New Roman" w:cs="Times New Roman"/>
          <w:sz w:val="24"/>
          <w:szCs w:val="24"/>
        </w:rPr>
        <w:t>Crucially</w:t>
      </w:r>
      <w:r w:rsidR="004A24F3">
        <w:rPr>
          <w:rFonts w:ascii="Times New Roman" w:hAnsi="Times New Roman" w:cs="Times New Roman"/>
          <w:sz w:val="24"/>
          <w:szCs w:val="24"/>
        </w:rPr>
        <w:t xml:space="preserve">, neither the main effect of Objects, </w:t>
      </w:r>
      <w:proofErr w:type="gramStart"/>
      <w:r w:rsidR="004A24F3">
        <w:rPr>
          <w:rFonts w:ascii="Times New Roman" w:hAnsi="Times New Roman" w:cs="Times New Roman"/>
          <w:i/>
          <w:iCs/>
          <w:sz w:val="24"/>
          <w:szCs w:val="24"/>
        </w:rPr>
        <w:t>F</w:t>
      </w:r>
      <w:r w:rsidR="004A24F3">
        <w:rPr>
          <w:rFonts w:ascii="Times New Roman" w:hAnsi="Times New Roman" w:cs="Times New Roman"/>
          <w:sz w:val="24"/>
          <w:szCs w:val="24"/>
        </w:rPr>
        <w:t>(</w:t>
      </w:r>
      <w:proofErr w:type="gramEnd"/>
      <w:r w:rsidR="004A24F3">
        <w:rPr>
          <w:rFonts w:ascii="Times New Roman" w:hAnsi="Times New Roman" w:cs="Times New Roman"/>
          <w:sz w:val="24"/>
          <w:szCs w:val="24"/>
        </w:rPr>
        <w:t xml:space="preserve">2, 400) = 0.53,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.59,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 xml:space="preserve">(1, 400) = 0.04,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xml:space="preserve">= .83 was significant. These latter resulted indicated that participants treated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neither engaged in BB reasoning under either the new or old operationalizations of it. </w:t>
      </w:r>
      <w:r w:rsidR="002551C3">
        <w:rPr>
          <w:rFonts w:ascii="Times New Roman" w:hAnsi="Times New Roman" w:cs="Times New Roman"/>
          <w:sz w:val="24"/>
          <w:szCs w:val="24"/>
        </w:rPr>
        <w:t xml:space="preserve"> </w:t>
      </w:r>
    </w:p>
    <w:p w14:paraId="5B99869F" w14:textId="36E33AE3" w:rsidR="00A80DFC" w:rsidRDefault="007B2024" w:rsidP="007B202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6E6971C9" w14:textId="66BA2487" w:rsidR="003159D5" w:rsidRDefault="003159D5"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lastRenderedPageBreak/>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D32B61">
        <w:rPr>
          <w:rFonts w:ascii="Times New Roman" w:hAnsi="Times New Roman" w:cs="Times New Roman"/>
          <w:sz w:val="24"/>
          <w:szCs w:val="24"/>
        </w:rPr>
        <w:t>Critically</w:t>
      </w:r>
      <w:r w:rsidR="00656919">
        <w:rPr>
          <w:rFonts w:ascii="Times New Roman" w:hAnsi="Times New Roman" w:cs="Times New Roman"/>
          <w:sz w:val="24"/>
          <w:szCs w:val="24"/>
        </w:rPr>
        <w:t>,</w:t>
      </w:r>
      <w:r w:rsidR="00476BC3">
        <w:rPr>
          <w:rFonts w:ascii="Times New Roman" w:hAnsi="Times New Roman" w:cs="Times New Roman"/>
          <w:sz w:val="24"/>
          <w:szCs w:val="24"/>
        </w:rPr>
        <w:t xml:space="preserve"> are neither consistent with the predictions of a Bayesian-inference mechanism nor are they consistent with the predictions of the traditional RW model. Instead, the present results suggest that a simple associative-learning counting mechanism may have subserved participants’ performance in the present context. </w:t>
      </w:r>
      <w:r w:rsidR="00D4301C">
        <w:rPr>
          <w:rFonts w:ascii="Times New Roman" w:hAnsi="Times New Roman" w:cs="Times New Roman"/>
          <w:sz w:val="24"/>
          <w:szCs w:val="24"/>
        </w:rPr>
        <w:t xml:space="preserve">This is because such a mechanism fully accounts for the present data from both the 4-year-olds and the 5- and 6-year-olds. </w:t>
      </w:r>
      <w:r w:rsidR="00476BC3">
        <w:rPr>
          <w:rFonts w:ascii="Times New Roman" w:hAnsi="Times New Roman" w:cs="Times New Roman"/>
          <w:sz w:val="24"/>
          <w:szCs w:val="24"/>
        </w:rPr>
        <w:t xml:space="preserve"> present results are not consistent with the predictions</w:t>
      </w:r>
      <w:r w:rsidR="00656919">
        <w:rPr>
          <w:rFonts w:ascii="Times New Roman" w:hAnsi="Times New Roman" w:cs="Times New Roman"/>
          <w:sz w:val="24"/>
          <w:szCs w:val="24"/>
        </w:rPr>
        <w:t xml:space="preserve"> </w:t>
      </w:r>
      <w:r w:rsidR="007C4CF5">
        <w:rPr>
          <w:rFonts w:ascii="Times New Roman" w:hAnsi="Times New Roman" w:cs="Times New Roman"/>
          <w:sz w:val="24"/>
          <w:szCs w:val="24"/>
        </w:rPr>
        <w:t xml:space="preserve">if BB reasoning is used as an indirect measure of the operation of a Bayesian-inference mechanism, then </w:t>
      </w:r>
      <w:r w:rsidR="00656919">
        <w:rPr>
          <w:rFonts w:ascii="Times New Roman" w:hAnsi="Times New Roman" w:cs="Times New Roman"/>
          <w:sz w:val="24"/>
          <w:szCs w:val="24"/>
        </w:rPr>
        <w:t xml:space="preserve">these findings are inconsistent </w:t>
      </w:r>
      <w:r w:rsidR="007C4CF5">
        <w:rPr>
          <w:rFonts w:ascii="Times New Roman" w:hAnsi="Times New Roman" w:cs="Times New Roman"/>
          <w:sz w:val="24"/>
          <w:szCs w:val="24"/>
        </w:rPr>
        <w:t xml:space="preserve">with the notion that children use </w:t>
      </w:r>
      <w:r w:rsidR="00111181">
        <w:rPr>
          <w:rFonts w:ascii="Times New Roman" w:hAnsi="Times New Roman" w:cs="Times New Roman"/>
          <w:sz w:val="24"/>
          <w:szCs w:val="24"/>
        </w:rPr>
        <w:t>such a mechanism</w:t>
      </w:r>
      <w:r w:rsidR="007C4CF5">
        <w:rPr>
          <w:rFonts w:ascii="Times New Roman" w:hAnsi="Times New Roman" w:cs="Times New Roman"/>
          <w:sz w:val="24"/>
          <w:szCs w:val="24"/>
        </w:rPr>
        <w:t xml:space="preserve"> to reason about three objects</w:t>
      </w:r>
      <w:r w:rsidR="006357A2">
        <w:rPr>
          <w:rFonts w:ascii="Times New Roman" w:hAnsi="Times New Roman" w:cs="Times New Roman"/>
          <w:sz w:val="24"/>
          <w:szCs w:val="24"/>
        </w:rPr>
        <w:t>.</w:t>
      </w:r>
      <w:r w:rsidR="00F104E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51E6B4"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w:t>
      </w:r>
      <w:r w:rsidR="00D4301C">
        <w:rPr>
          <w:rFonts w:ascii="Times New Roman" w:hAnsi="Times New Roman" w:cs="Times New Roman"/>
          <w:sz w:val="24"/>
          <w:szCs w:val="24"/>
        </w:rPr>
        <w:t xml:space="preserve"> in which children </w:t>
      </w:r>
      <w:r w:rsidR="005168FE">
        <w:rPr>
          <w:rFonts w:ascii="Times New Roman" w:hAnsi="Times New Roman" w:cs="Times New Roman"/>
          <w:sz w:val="24"/>
          <w:szCs w:val="24"/>
        </w:rPr>
        <w:t xml:space="preserve">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 xml:space="preserve">(e.g., </w:t>
      </w:r>
      <w:proofErr w:type="spellStart"/>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Griffiths et al., 2011</w:t>
      </w:r>
      <w:r w:rsidR="004709C1">
        <w:rPr>
          <w:rFonts w:ascii="Times New Roman" w:hAnsi="Times New Roman" w:cs="Times New Roman"/>
          <w:sz w:val="24"/>
          <w:szCs w:val="24"/>
        </w:rPr>
        <w:t xml:space="preserve">;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children reason about causal events in a BB context by assessing whether their performance aligned with the predictions of a simple Bayesian model, the traditional RW model, or an associative</w:t>
      </w:r>
      <w:r w:rsidR="0084096B">
        <w:rPr>
          <w:rFonts w:ascii="Times New Roman" w:hAnsi="Times New Roman" w:cs="Times New Roman"/>
          <w:sz w:val="24"/>
          <w:szCs w:val="24"/>
        </w:rPr>
        <w:t>-learning</w:t>
      </w:r>
      <w:r w:rsidR="00EC47AB">
        <w:rPr>
          <w:rFonts w:ascii="Times New Roman" w:hAnsi="Times New Roman" w:cs="Times New Roman"/>
          <w:sz w:val="24"/>
          <w:szCs w:val="24"/>
        </w:rPr>
        <w:t xml:space="preserve"> counting mechanism. </w:t>
      </w:r>
    </w:p>
    <w:p w14:paraId="7F6FEDE4" w14:textId="4B920A2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 xml:space="preserve">s.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 BB reasoning was operationalized</w:t>
      </w:r>
      <w:r w:rsidR="000B55D3">
        <w:rPr>
          <w:rFonts w:ascii="Times New Roman" w:hAnsi="Times New Roman" w:cs="Times New Roman"/>
          <w:sz w:val="24"/>
          <w:szCs w:val="24"/>
        </w:rPr>
        <w:t xml:space="preserve">. </w:t>
      </w:r>
      <w:r w:rsidR="00AE18A6">
        <w:rPr>
          <w:rFonts w:ascii="Times New Roman" w:hAnsi="Times New Roman" w:cs="Times New Roman"/>
          <w:sz w:val="24"/>
          <w:szCs w:val="24"/>
        </w:rPr>
        <w:t>In other words</w:t>
      </w:r>
      <w:r w:rsidR="00601D64">
        <w:rPr>
          <w:rFonts w:ascii="Times New Roman" w:hAnsi="Times New Roman" w:cs="Times New Roman"/>
          <w:sz w:val="24"/>
          <w:szCs w:val="24"/>
        </w:rPr>
        <w:t xml:space="preserve">, </w:t>
      </w:r>
      <w:r w:rsidR="00141537">
        <w:rPr>
          <w:rFonts w:ascii="Times New Roman" w:hAnsi="Times New Roman" w:cs="Times New Roman"/>
          <w:sz w:val="24"/>
          <w:szCs w:val="24"/>
        </w:rPr>
        <w:t>we neither found</w:t>
      </w:r>
      <w:r w:rsidR="00912DBA">
        <w:rPr>
          <w:rFonts w:ascii="Times New Roman" w:hAnsi="Times New Roman" w:cs="Times New Roman"/>
          <w:sz w:val="24"/>
          <w:szCs w:val="24"/>
        </w:rPr>
        <w:t xml:space="preserve">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 xml:space="preserve">the BB and ISO </w:t>
      </w:r>
      <w:proofErr w:type="gramStart"/>
      <w:r>
        <w:rPr>
          <w:rFonts w:ascii="Times New Roman" w:hAnsi="Times New Roman" w:cs="Times New Roman"/>
          <w:sz w:val="24"/>
          <w:szCs w:val="24"/>
        </w:rPr>
        <w:t>conditions</w:t>
      </w:r>
      <w:proofErr w:type="gramEnd"/>
      <w:r w:rsidR="00141537">
        <w:rPr>
          <w:rFonts w:ascii="Times New Roman" w:hAnsi="Times New Roman" w:cs="Times New Roman"/>
          <w:sz w:val="24"/>
          <w:szCs w:val="24"/>
        </w:rPr>
        <w:t xml:space="preserve"> </w:t>
      </w:r>
      <w:r w:rsidR="00141537">
        <w:rPr>
          <w:rFonts w:ascii="Times New Roman" w:hAnsi="Times New Roman" w:cs="Times New Roman"/>
          <w:sz w:val="24"/>
          <w:szCs w:val="24"/>
        </w:rPr>
        <w:lastRenderedPageBreak/>
        <w:t>nor did we find</w:t>
      </w:r>
      <w:r w:rsidR="00B74B17">
        <w:rPr>
          <w:rFonts w:ascii="Times New Roman" w:hAnsi="Times New Roman" w:cs="Times New Roman"/>
          <w:sz w:val="24"/>
          <w:szCs w:val="24"/>
        </w:rPr>
        <w:t xml:space="preserve">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B0669"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 xml:space="preserve">This </w:t>
      </w:r>
      <w:r w:rsidR="00C4434E">
        <w:rPr>
          <w:rFonts w:ascii="Times New Roman" w:hAnsi="Times New Roman" w:cs="Times New Roman"/>
          <w:sz w:val="24"/>
          <w:szCs w:val="24"/>
        </w:rPr>
        <w:t>is because participants’ behavior did not align the predictions of</w:t>
      </w:r>
      <w:r w:rsidR="001C3CE9">
        <w:rPr>
          <w:rFonts w:ascii="Times New Roman" w:hAnsi="Times New Roman" w:cs="Times New Roman"/>
          <w:sz w:val="24"/>
          <w:szCs w:val="24"/>
        </w:rPr>
        <w:t xml:space="preserve"> either model.</w:t>
      </w:r>
      <w:r w:rsidR="00C82926" w:rsidRP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w:t>
      </w:r>
      <w:r w:rsidR="001C3CE9">
        <w:rPr>
          <w:rFonts w:ascii="Times New Roman" w:hAnsi="Times New Roman" w:cs="Times New Roman"/>
          <w:sz w:val="24"/>
          <w:szCs w:val="24"/>
        </w:rPr>
        <w:t>control</w:t>
      </w:r>
      <w:r w:rsidR="003032E3">
        <w:rPr>
          <w:rFonts w:ascii="Times New Roman" w:hAnsi="Times New Roman" w:cs="Times New Roman"/>
          <w:sz w:val="24"/>
          <w:szCs w:val="24"/>
        </w:rPr>
        <w:t xml:space="preserve"> trials. </w:t>
      </w:r>
    </w:p>
    <w:p w14:paraId="684706D9" w14:textId="4068AAFF" w:rsidR="000D6489" w:rsidRDefault="00AA4761"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FF4987" w:rsidRPr="00FF4987">
        <w:rPr>
          <w:rFonts w:ascii="Times New Roman" w:hAnsi="Times New Roman" w:cs="Times New Roman"/>
          <w:sz w:val="24"/>
          <w:szCs w:val="24"/>
        </w:rPr>
        <w:t xml:space="preserv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w:t>
      </w:r>
      <w:r>
        <w:rPr>
          <w:rFonts w:ascii="Times New Roman" w:hAnsi="Times New Roman" w:cs="Times New Roman"/>
          <w:sz w:val="24"/>
          <w:szCs w:val="24"/>
        </w:rPr>
        <w:t xml:space="preserve"> associative-learning</w:t>
      </w:r>
      <w:r w:rsidR="00287173">
        <w:rPr>
          <w:rFonts w:ascii="Times New Roman" w:hAnsi="Times New Roman" w:cs="Times New Roman"/>
          <w:sz w:val="24"/>
          <w:szCs w:val="24"/>
        </w:rPr>
        <w:t xml:space="preserv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xml:space="preserve">, </w:t>
      </w:r>
      <w:r>
        <w:rPr>
          <w:rFonts w:ascii="Times New Roman" w:hAnsi="Times New Roman" w:cs="Times New Roman"/>
          <w:sz w:val="24"/>
          <w:szCs w:val="24"/>
        </w:rPr>
        <w:t>however. These</w:t>
      </w:r>
      <w:r w:rsidR="008E5929">
        <w:rPr>
          <w:rFonts w:ascii="Times New Roman" w:hAnsi="Times New Roman" w:cs="Times New Roman"/>
          <w:sz w:val="24"/>
          <w:szCs w:val="24"/>
        </w:rPr>
        <w:t xml:space="preserv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p>
    <w:p w14:paraId="0DBA8B87" w14:textId="1854A42E"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 xml:space="preserve">deploy simpler associative mechanisms in causal </w:t>
      </w:r>
      <w:r>
        <w:rPr>
          <w:rFonts w:ascii="Times New Roman" w:hAnsi="Times New Roman" w:cs="Times New Roman"/>
          <w:sz w:val="24"/>
          <w:szCs w:val="24"/>
        </w:rPr>
        <w:lastRenderedPageBreak/>
        <w:t>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causes—which is the approach that has been taken in most</w:t>
      </w:r>
      <w:r w:rsidR="00284D16">
        <w:rPr>
          <w:rFonts w:ascii="Times New Roman" w:hAnsi="Times New Roman" w:cs="Times New Roman"/>
          <w:sz w:val="24"/>
          <w:szCs w:val="24"/>
        </w:rPr>
        <w:t>, if not all,</w:t>
      </w:r>
      <w:r w:rsidR="00B7396C">
        <w:rPr>
          <w:rFonts w:ascii="Times New Roman" w:hAnsi="Times New Roman" w:cs="Times New Roman"/>
          <w:sz w:val="24"/>
          <w:szCs w:val="24"/>
        </w:rPr>
        <w:t xml:space="preserve"> contemporary studies on BB reasoning in human children</w:t>
      </w:r>
      <w:r w:rsidR="00F504BB">
        <w:rPr>
          <w:rFonts w:ascii="Times New Roman" w:hAnsi="Times New Roman" w:cs="Times New Roman"/>
          <w:sz w:val="24"/>
          <w:szCs w:val="24"/>
        </w:rPr>
        <w:t xml:space="preserve"> (e.g., </w:t>
      </w:r>
      <w:proofErr w:type="spellStart"/>
      <w:r w:rsidR="00F504BB">
        <w:rPr>
          <w:rFonts w:ascii="Times New Roman" w:hAnsi="Times New Roman" w:cs="Times New Roman"/>
          <w:sz w:val="24"/>
          <w:szCs w:val="24"/>
        </w:rPr>
        <w:t>Beckers</w:t>
      </w:r>
      <w:proofErr w:type="spellEnd"/>
      <w:r w:rsidR="00F504BB">
        <w:rPr>
          <w:rFonts w:ascii="Times New Roman" w:hAnsi="Times New Roman" w:cs="Times New Roman"/>
          <w:sz w:val="24"/>
          <w:szCs w:val="24"/>
        </w:rPr>
        <w:t xml:space="preserve"> et al., 2009; Griffiths et al., 2011; </w:t>
      </w:r>
      <w:proofErr w:type="spellStart"/>
      <w:r w:rsidR="00F504BB">
        <w:rPr>
          <w:rFonts w:ascii="Times New Roman" w:hAnsi="Times New Roman" w:cs="Times New Roman"/>
          <w:sz w:val="24"/>
          <w:szCs w:val="24"/>
        </w:rPr>
        <w:t>Kloos</w:t>
      </w:r>
      <w:proofErr w:type="spellEnd"/>
      <w:r w:rsidR="00F504BB">
        <w:rPr>
          <w:rFonts w:ascii="Times New Roman" w:hAnsi="Times New Roman" w:cs="Times New Roman"/>
          <w:sz w:val="24"/>
          <w:szCs w:val="24"/>
        </w:rPr>
        <w:t xml:space="preserve"> &amp; Sloutsky, 2013; McCormack et al., 2009; McCormack et al., 2013; Sobel &amp; Kirkham. 2006; Sobel et al., 2004)</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3B43E7">
        <w:rPr>
          <w:rFonts w:ascii="Times New Roman" w:hAnsi="Times New Roman" w:cs="Times New Roman"/>
          <w:sz w:val="24"/>
          <w:szCs w:val="24"/>
        </w:rPr>
        <w:t xml:space="preserve">4- to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sidR="00B7396C">
        <w:rPr>
          <w:rFonts w:ascii="Times New Roman" w:hAnsi="Times New Roman" w:cs="Times New Roman"/>
          <w:sz w:val="24"/>
          <w:szCs w:val="24"/>
        </w:rPr>
        <w:t xml:space="preserve"> 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sidR="00B7396C">
        <w:rPr>
          <w:rFonts w:ascii="Times New Roman" w:hAnsi="Times New Roman" w:cs="Times New Roman"/>
          <w:sz w:val="24"/>
          <w:szCs w:val="24"/>
        </w:rPr>
        <w:t xml:space="preserve">. </w:t>
      </w:r>
      <w:r w:rsidR="00F7410B">
        <w:rPr>
          <w:rFonts w:ascii="Times New Roman" w:hAnsi="Times New Roman" w:cs="Times New Roman"/>
          <w:sz w:val="24"/>
          <w:szCs w:val="24"/>
        </w:rPr>
        <w:t>Eight and sixteen hypotheses</w:t>
      </w:r>
      <w:r w:rsidR="000D72BF">
        <w:rPr>
          <w:rFonts w:ascii="Times New Roman" w:hAnsi="Times New Roman" w:cs="Times New Roman"/>
          <w:sz w:val="24"/>
          <w:szCs w:val="24"/>
        </w:rPr>
        <w:t xml:space="preserve">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31F84A5B" w:rsidR="00A7059F" w:rsidRDefault="00C84269" w:rsidP="00A7059F">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w:t>
      </w:r>
      <w:r w:rsidR="00B04197">
        <w:rPr>
          <w:rFonts w:ascii="Times New Roman" w:hAnsi="Times New Roman" w:cs="Times New Roman"/>
          <w:sz w:val="24"/>
          <w:szCs w:val="24"/>
        </w:rPr>
        <w:t>(</w:t>
      </w:r>
      <w:r w:rsidRPr="00C84269">
        <w:rPr>
          <w:rFonts w:ascii="Times New Roman" w:hAnsi="Times New Roman" w:cs="Times New Roman"/>
          <w:sz w:val="24"/>
          <w:szCs w:val="24"/>
        </w:rPr>
        <w:t>by relying on a first rule when asked to use a second rule</w:t>
      </w:r>
      <w:r w:rsidR="00B04197">
        <w:rPr>
          <w:rFonts w:ascii="Times New Roman" w:hAnsi="Times New Roman" w:cs="Times New Roman"/>
          <w:sz w:val="24"/>
          <w:szCs w:val="24"/>
        </w:rPr>
        <w:t xml:space="preserve">, which is </w:t>
      </w:r>
      <w:r w:rsidRPr="00C84269">
        <w:rPr>
          <w:rFonts w:ascii="Times New Roman" w:hAnsi="Times New Roman" w:cs="Times New Roman"/>
          <w:sz w:val="24"/>
          <w:szCs w:val="24"/>
        </w:rPr>
        <w:t xml:space="preserve">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another rule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Müller, Frye, &amp; </w:t>
      </w:r>
      <w:proofErr w:type="spellStart"/>
      <w:r w:rsidRPr="00C84269">
        <w:rPr>
          <w:rFonts w:ascii="Times New Roman" w:hAnsi="Times New Roman" w:cs="Times New Roman"/>
          <w:sz w:val="24"/>
          <w:szCs w:val="24"/>
        </w:rPr>
        <w:t>Marcovitch</w:t>
      </w:r>
      <w:proofErr w:type="spellEnd"/>
      <w:r w:rsidRPr="00C84269">
        <w:rPr>
          <w:rFonts w:ascii="Times New Roman" w:hAnsi="Times New Roman" w:cs="Times New Roman"/>
          <w:sz w:val="24"/>
          <w:szCs w:val="24"/>
        </w:rPr>
        <w:t xml:space="preserve">, 2003). Similarly, a recent study by </w:t>
      </w:r>
      <w:proofErr w:type="spellStart"/>
      <w:r w:rsidRPr="00C84269">
        <w:rPr>
          <w:rFonts w:ascii="Times New Roman" w:hAnsi="Times New Roman" w:cs="Times New Roman"/>
          <w:sz w:val="24"/>
          <w:szCs w:val="24"/>
        </w:rPr>
        <w:t>Kenderla</w:t>
      </w:r>
      <w:proofErr w:type="spellEnd"/>
      <w:r w:rsidRPr="00C84269">
        <w:rPr>
          <w:rFonts w:ascii="Times New Roman" w:hAnsi="Times New Roman" w:cs="Times New Roman"/>
          <w:sz w:val="24"/>
          <w:szCs w:val="24"/>
        </w:rPr>
        <w:t xml:space="preserve"> and </w:t>
      </w:r>
      <w:r w:rsidRPr="00C84269">
        <w:rPr>
          <w:rFonts w:ascii="Times New Roman" w:hAnsi="Times New Roman" w:cs="Times New Roman"/>
          <w:sz w:val="24"/>
          <w:szCs w:val="24"/>
        </w:rPr>
        <w:lastRenderedPageBreak/>
        <w:t xml:space="preserve">Kibbe (2023) showed that when the information-processing capacities of 8- and 10-year-old children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 one feature and differ on another feature</w:t>
      </w:r>
      <w:r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 that manual exploration does not require that participants</w:t>
      </w:r>
      <w:r w:rsidR="00703395">
        <w:rPr>
          <w:rFonts w:ascii="Times New Roman" w:hAnsi="Times New Roman" w:cs="Times New Roman"/>
          <w:sz w:val="24"/>
          <w:szCs w:val="24"/>
        </w:rPr>
        <w:t xml:space="preserve"> actively</w:t>
      </w:r>
      <w:r w:rsidR="00210527">
        <w:rPr>
          <w:rFonts w:ascii="Times New Roman" w:hAnsi="Times New Roman" w:cs="Times New Roman"/>
          <w:sz w:val="24"/>
          <w:szCs w:val="24"/>
        </w:rPr>
        <w:t xml:space="preserve"> </w:t>
      </w:r>
      <w:r w:rsidR="00703395">
        <w:rPr>
          <w:rFonts w:ascii="Times New Roman" w:hAnsi="Times New Roman" w:cs="Times New Roman"/>
          <w:sz w:val="24"/>
          <w:szCs w:val="24"/>
        </w:rPr>
        <w:t>maintain information in memory, manual exploration is ostensibly a simpler, less cognitively effortful strategy than one that requires working memory.</w:t>
      </w:r>
      <w:r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Pr="00C84269">
        <w:rPr>
          <w:rFonts w:ascii="Times New Roman" w:hAnsi="Times New Roman" w:cs="Times New Roman"/>
          <w:sz w:val="24"/>
          <w:szCs w:val="24"/>
        </w:rPr>
        <w:t xml:space="preserve">, Richland, Morrison, and </w:t>
      </w:r>
      <w:proofErr w:type="spellStart"/>
      <w:r w:rsidRPr="00C84269">
        <w:rPr>
          <w:rFonts w:ascii="Times New Roman" w:hAnsi="Times New Roman" w:cs="Times New Roman"/>
          <w:sz w:val="24"/>
          <w:szCs w:val="24"/>
        </w:rPr>
        <w:t>Holyoak</w:t>
      </w:r>
      <w:proofErr w:type="spellEnd"/>
      <w:r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p>
    <w:p w14:paraId="43075410" w14:textId="248BA60B"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proofErr w:type="spellStart"/>
      <w:r w:rsidR="00124C75">
        <w:rPr>
          <w:rFonts w:ascii="Times New Roman" w:hAnsi="Times New Roman" w:cs="Times New Roman"/>
          <w:sz w:val="24"/>
          <w:szCs w:val="24"/>
        </w:rPr>
        <w:t>go</w:t>
      </w:r>
      <w:r w:rsidR="00A7059F">
        <w:rPr>
          <w:rFonts w:ascii="Times New Roman" w:hAnsi="Times New Roman" w:cs="Times New Roman"/>
          <w:sz w:val="24"/>
          <w:szCs w:val="24"/>
        </w:rPr>
        <w:t>from</w:t>
      </w:r>
      <w:proofErr w:type="spellEnd"/>
      <w:r w:rsidR="00A7059F">
        <w:rPr>
          <w:rFonts w:ascii="Times New Roman" w:hAnsi="Times New Roman" w:cs="Times New Roman"/>
          <w:sz w:val="24"/>
          <w:szCs w:val="24"/>
        </w:rPr>
        <w:t xml:space="preserve">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A7059F">
        <w:rPr>
          <w:rFonts w:ascii="Times New Roman" w:hAnsi="Times New Roman" w:cs="Times New Roman"/>
          <w:sz w:val="24"/>
          <w:szCs w:val="24"/>
        </w:rPr>
        <w:t xml:space="preserve"> Although this issue remains unaddressed</w:t>
      </w:r>
      <w:r w:rsidR="00D2081C">
        <w:rPr>
          <w:rFonts w:ascii="Times New Roman" w:hAnsi="Times New Roman" w:cs="Times New Roman"/>
          <w:sz w:val="24"/>
          <w:szCs w:val="24"/>
        </w:rPr>
        <w:t xml:space="preserve"> to our knowledge</w:t>
      </w:r>
      <w:r w:rsidR="00A7059F">
        <w:rPr>
          <w:rFonts w:ascii="Times New Roman" w:hAnsi="Times New Roman" w:cs="Times New Roman"/>
          <w:sz w:val="24"/>
          <w:szCs w:val="24"/>
        </w:rPr>
        <w:t xml:space="preserve">, ongoing work in one of our labs that </w:t>
      </w:r>
      <w:r w:rsidR="00A7059F">
        <w:rPr>
          <w:rFonts w:ascii="Times New Roman" w:hAnsi="Times New Roman" w:cs="Times New Roman"/>
          <w:sz w:val="24"/>
          <w:szCs w:val="24"/>
        </w:rPr>
        <w:lastRenderedPageBreak/>
        <w:t xml:space="preserve">is using a task that is </w:t>
      </w:r>
      <w:proofErr w:type="gramStart"/>
      <w:r w:rsidR="00A7059F">
        <w:rPr>
          <w:rFonts w:ascii="Times New Roman" w:hAnsi="Times New Roman" w:cs="Times New Roman"/>
          <w:sz w:val="24"/>
          <w:szCs w:val="24"/>
        </w:rPr>
        <w:t>similar to</w:t>
      </w:r>
      <w:proofErr w:type="gramEnd"/>
      <w:r w:rsidR="00A7059F">
        <w:rPr>
          <w:rFonts w:ascii="Times New Roman" w:hAnsi="Times New Roman" w:cs="Times New Roman"/>
          <w:sz w:val="24"/>
          <w:szCs w:val="24"/>
        </w:rPr>
        <w:t xml:space="preserve"> the present one is showing that </w:t>
      </w:r>
      <w:r w:rsidR="00447F1B">
        <w:rPr>
          <w:rFonts w:ascii="Times New Roman" w:hAnsi="Times New Roman" w:cs="Times New Roman"/>
          <w:sz w:val="24"/>
          <w:szCs w:val="24"/>
        </w:rPr>
        <w:t>the causal inferences of adults are</w:t>
      </w:r>
      <w:r w:rsidR="00A7059F">
        <w:rPr>
          <w:rFonts w:ascii="Times New Roman" w:hAnsi="Times New Roman" w:cs="Times New Roman"/>
          <w:sz w:val="24"/>
          <w:szCs w:val="24"/>
        </w:rPr>
        <w:t xml:space="preserve"> consistent with the predictions of a simple Bayesian model rather than</w:t>
      </w:r>
      <w:r w:rsidR="00D2081C">
        <w:rPr>
          <w:rFonts w:ascii="Times New Roman" w:hAnsi="Times New Roman" w:cs="Times New Roman"/>
          <w:sz w:val="24"/>
          <w:szCs w:val="24"/>
        </w:rPr>
        <w:t xml:space="preserve"> the traditional RW model or</w:t>
      </w:r>
      <w:r w:rsidR="00A7059F">
        <w:rPr>
          <w:rFonts w:ascii="Times New Roman" w:hAnsi="Times New Roman" w:cs="Times New Roman"/>
          <w:sz w:val="24"/>
          <w:szCs w:val="24"/>
        </w:rPr>
        <w:t xml:space="preserve"> a simple associative-based counting mechanism. </w:t>
      </w:r>
      <w:r w:rsidR="00D2081C">
        <w:rPr>
          <w:rFonts w:ascii="Times New Roman" w:hAnsi="Times New Roman" w:cs="Times New Roman"/>
          <w:sz w:val="24"/>
          <w:szCs w:val="24"/>
        </w:rPr>
        <w:t xml:space="preserve">Thus, there is reason to believe that </w:t>
      </w:r>
      <w:r w:rsidR="00A85005">
        <w:rPr>
          <w:rFonts w:ascii="Times New Roman" w:hAnsi="Times New Roman" w:cs="Times New Roman"/>
          <w:sz w:val="24"/>
          <w:szCs w:val="24"/>
        </w:rPr>
        <w:t xml:space="preserve">sufficient information-processing capacities </w:t>
      </w:r>
      <w:r w:rsidR="00447F1B">
        <w:rPr>
          <w:rFonts w:ascii="Times New Roman" w:hAnsi="Times New Roman" w:cs="Times New Roman"/>
          <w:sz w:val="24"/>
          <w:szCs w:val="24"/>
        </w:rPr>
        <w:t>may be necessary for</w:t>
      </w:r>
      <w:r w:rsidR="00A85005">
        <w:rPr>
          <w:rFonts w:ascii="Times New Roman" w:hAnsi="Times New Roman" w:cs="Times New Roman"/>
          <w:sz w:val="24"/>
          <w:szCs w:val="24"/>
        </w:rPr>
        <w:t xml:space="preserve"> </w:t>
      </w:r>
      <w:r w:rsidR="00447F1B">
        <w:rPr>
          <w:rFonts w:ascii="Times New Roman" w:hAnsi="Times New Roman" w:cs="Times New Roman"/>
          <w:sz w:val="24"/>
          <w:szCs w:val="24"/>
        </w:rPr>
        <w:t xml:space="preserve">Bayesian inference and BB reasoning, and data by </w:t>
      </w:r>
      <w:r w:rsidR="00AA3CFA">
        <w:rPr>
          <w:rFonts w:ascii="Times New Roman" w:hAnsi="Times New Roman" w:cs="Times New Roman"/>
          <w:sz w:val="24"/>
          <w:szCs w:val="24"/>
        </w:rPr>
        <w:t xml:space="preserve">McCormack, Simms, </w:t>
      </w:r>
      <w:proofErr w:type="spellStart"/>
      <w:r w:rsidR="00AA3CFA">
        <w:rPr>
          <w:rFonts w:ascii="Times New Roman" w:hAnsi="Times New Roman" w:cs="Times New Roman"/>
          <w:sz w:val="24"/>
          <w:szCs w:val="24"/>
        </w:rPr>
        <w:t>McGourty</w:t>
      </w:r>
      <w:proofErr w:type="spellEnd"/>
      <w:r w:rsidR="00AA3CFA">
        <w:rPr>
          <w:rFonts w:ascii="Times New Roman" w:hAnsi="Times New Roman" w:cs="Times New Roman"/>
          <w:sz w:val="24"/>
          <w:szCs w:val="24"/>
        </w:rPr>
        <w:t xml:space="preserve">, and </w:t>
      </w:r>
      <w:proofErr w:type="spellStart"/>
      <w:r w:rsidR="00AA3CFA">
        <w:rPr>
          <w:rFonts w:ascii="Times New Roman" w:hAnsi="Times New Roman" w:cs="Times New Roman"/>
          <w:sz w:val="24"/>
          <w:szCs w:val="24"/>
        </w:rPr>
        <w:t>Beckers</w:t>
      </w:r>
      <w:proofErr w:type="spellEnd"/>
      <w:r w:rsidR="00AA3CFA">
        <w:rPr>
          <w:rFonts w:ascii="Times New Roman" w:hAnsi="Times New Roman" w:cs="Times New Roman"/>
          <w:sz w:val="24"/>
          <w:szCs w:val="24"/>
        </w:rPr>
        <w:t xml:space="preserve"> (2013)</w:t>
      </w:r>
      <w:r w:rsidR="0096749D">
        <w:rPr>
          <w:rFonts w:ascii="Times New Roman" w:hAnsi="Times New Roman" w:cs="Times New Roman"/>
          <w:sz w:val="24"/>
          <w:szCs w:val="24"/>
        </w:rPr>
        <w:t xml:space="preserve"> seem to</w:t>
      </w:r>
      <w:r w:rsidR="00447F1B">
        <w:rPr>
          <w:rFonts w:ascii="Times New Roman" w:hAnsi="Times New Roman" w:cs="Times New Roman"/>
          <w:sz w:val="24"/>
          <w:szCs w:val="24"/>
        </w:rPr>
        <w:t xml:space="preserve"> support this. </w:t>
      </w:r>
    </w:p>
    <w:p w14:paraId="2E09EAA4" w14:textId="1D495CF4" w:rsidR="004A0EE7" w:rsidRDefault="00475E21" w:rsidP="007A088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sidR="00042541">
        <w:rPr>
          <w:rFonts w:ascii="Times New Roman" w:hAnsi="Times New Roman" w:cs="Times New Roman"/>
          <w:sz w:val="24"/>
          <w:szCs w:val="24"/>
        </w:rPr>
        <w:t xml:space="preserve"> (e.g., Sobel et al., 2004)</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likely to treat candidate blickets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EE4C0B">
        <w:rPr>
          <w:rFonts w:ascii="Times New Roman" w:hAnsi="Times New Roman" w:cs="Times New Roman"/>
          <w:sz w:val="24"/>
          <w:szCs w:val="24"/>
        </w:rPr>
        <w:t>we reject this</w:t>
      </w:r>
      <w:r w:rsidR="007A088F">
        <w:rPr>
          <w:rFonts w:ascii="Times New Roman" w:hAnsi="Times New Roman" w:cs="Times New Roman"/>
          <w:sz w:val="24"/>
          <w:szCs w:val="24"/>
        </w:rPr>
        <w:t xml:space="preserve"> explanation for two reasons. </w:t>
      </w:r>
      <w:r w:rsidR="0027090B">
        <w:rPr>
          <w:rFonts w:ascii="Times New Roman" w:hAnsi="Times New Roman" w:cs="Times New Roman"/>
          <w:sz w:val="24"/>
          <w:szCs w:val="24"/>
        </w:rPr>
        <w:t>First, this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180AC5">
        <w:rPr>
          <w:rFonts w:ascii="Times New Roman" w:hAnsi="Times New Roman" w:cs="Times New Roman"/>
          <w:sz w:val="24"/>
          <w:szCs w:val="24"/>
        </w:rPr>
        <w:t xml:space="preserve"> for any of the age groups</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180AC5">
        <w:rPr>
          <w:rFonts w:ascii="Times New Roman" w:hAnsi="Times New Roman" w:cs="Times New Roman"/>
          <w:sz w:val="24"/>
          <w:szCs w:val="24"/>
        </w:rPr>
        <w:t>We also reject this explanation</w:t>
      </w:r>
      <w:r w:rsidR="00423A11">
        <w:rPr>
          <w:rFonts w:ascii="Times New Roman" w:hAnsi="Times New Roman" w:cs="Times New Roman"/>
          <w:sz w:val="24"/>
          <w:szCs w:val="24"/>
        </w:rPr>
        <w:t xml:space="preserve"> given that the performance of the 4-year-olds and the</w:t>
      </w:r>
      <w:r w:rsidR="007A088F">
        <w:rPr>
          <w:rFonts w:ascii="Times New Roman" w:hAnsi="Times New Roman" w:cs="Times New Roman"/>
          <w:sz w:val="24"/>
          <w:szCs w:val="24"/>
        </w:rPr>
        <w:t xml:space="preserve"> 5- and 6-year-olds was equivalent. If</w:t>
      </w:r>
      <w:r w:rsidR="00423A11">
        <w:rPr>
          <w:rFonts w:ascii="Times New Roman" w:hAnsi="Times New Roman" w:cs="Times New Roman"/>
          <w:sz w:val="24"/>
          <w:szCs w:val="24"/>
        </w:rPr>
        <w:t xml:space="preserve"> </w:t>
      </w:r>
      <w:r w:rsidR="00EE4C0B">
        <w:rPr>
          <w:rFonts w:ascii="Times New Roman" w:hAnsi="Times New Roman" w:cs="Times New Roman"/>
          <w:sz w:val="24"/>
          <w:szCs w:val="24"/>
        </w:rPr>
        <w:t>important prerequisites for Bayesian inference include</w:t>
      </w:r>
      <w:r w:rsidR="00423A11">
        <w:rPr>
          <w:rFonts w:ascii="Times New Roman" w:hAnsi="Times New Roman" w:cs="Times New Roman"/>
          <w:sz w:val="24"/>
          <w:szCs w:val="24"/>
        </w:rPr>
        <w:t xml:space="preserve"> the presence of</w:t>
      </w:r>
      <w:r w:rsidR="00EE4C0B">
        <w:rPr>
          <w:rFonts w:ascii="Times New Roman" w:hAnsi="Times New Roman" w:cs="Times New Roman"/>
          <w:sz w:val="24"/>
          <w:szCs w:val="24"/>
        </w:rPr>
        <w:t xml:space="preserve"> sufficient information-processing capacities and sensitivity to</w:t>
      </w:r>
      <w:r w:rsidR="007A088F">
        <w:rPr>
          <w:rFonts w:ascii="Times New Roman" w:hAnsi="Times New Roman" w:cs="Times New Roman"/>
          <w:sz w:val="24"/>
          <w:szCs w:val="24"/>
        </w:rPr>
        <w:t xml:space="preserve"> base-rate information</w:t>
      </w:r>
      <w:r w:rsidR="00423A11">
        <w:rPr>
          <w:rFonts w:ascii="Times New Roman" w:hAnsi="Times New Roman" w:cs="Times New Roman"/>
          <w:sz w:val="24"/>
          <w:szCs w:val="24"/>
        </w:rPr>
        <w:t xml:space="preserve"> as we </w:t>
      </w:r>
      <w:r w:rsidR="005D5346">
        <w:rPr>
          <w:rFonts w:ascii="Times New Roman" w:hAnsi="Times New Roman" w:cs="Times New Roman"/>
          <w:sz w:val="24"/>
          <w:szCs w:val="24"/>
        </w:rPr>
        <w:t xml:space="preserve">(and </w:t>
      </w:r>
      <w:proofErr w:type="gramStart"/>
      <w:r w:rsidR="005D5346">
        <w:rPr>
          <w:rFonts w:ascii="Times New Roman" w:hAnsi="Times New Roman" w:cs="Times New Roman"/>
          <w:sz w:val="24"/>
          <w:szCs w:val="24"/>
        </w:rPr>
        <w:t>others;</w:t>
      </w:r>
      <w:proofErr w:type="gramEnd"/>
      <w:r w:rsidR="005D5346">
        <w:rPr>
          <w:rFonts w:ascii="Times New Roman" w:hAnsi="Times New Roman" w:cs="Times New Roman"/>
          <w:sz w:val="24"/>
          <w:szCs w:val="24"/>
        </w:rPr>
        <w:t xml:space="preserve"> e.g., McCormack et al., 2013) </w:t>
      </w:r>
      <w:r w:rsidR="00423A11">
        <w:rPr>
          <w:rFonts w:ascii="Times New Roman" w:hAnsi="Times New Roman" w:cs="Times New Roman"/>
          <w:sz w:val="24"/>
          <w:szCs w:val="24"/>
        </w:rPr>
        <w:t xml:space="preserve">have </w:t>
      </w:r>
      <w:r w:rsidR="00180AC5">
        <w:rPr>
          <w:rFonts w:ascii="Times New Roman" w:hAnsi="Times New Roman" w:cs="Times New Roman"/>
          <w:sz w:val="24"/>
          <w:szCs w:val="24"/>
        </w:rPr>
        <w:t>suggested</w:t>
      </w:r>
      <w:r w:rsidR="007A088F">
        <w:rPr>
          <w:rFonts w:ascii="Times New Roman" w:hAnsi="Times New Roman" w:cs="Times New Roman"/>
          <w:sz w:val="24"/>
          <w:szCs w:val="24"/>
        </w:rPr>
        <w:t>, then the 4-</w:t>
      </w:r>
      <w:r w:rsidR="00392463">
        <w:rPr>
          <w:rFonts w:ascii="Times New Roman" w:hAnsi="Times New Roman" w:cs="Times New Roman"/>
          <w:sz w:val="24"/>
          <w:szCs w:val="24"/>
        </w:rPr>
        <w:t>year-olds</w:t>
      </w:r>
      <w:r w:rsidR="00EE4C0B">
        <w:rPr>
          <w:rFonts w:ascii="Times New Roman" w:hAnsi="Times New Roman" w:cs="Times New Roman"/>
          <w:sz w:val="24"/>
          <w:szCs w:val="24"/>
        </w:rPr>
        <w:t xml:space="preserve"> should have performed different</w:t>
      </w:r>
      <w:r w:rsidR="00423A11">
        <w:rPr>
          <w:rFonts w:ascii="Times New Roman" w:hAnsi="Times New Roman" w:cs="Times New Roman"/>
          <w:sz w:val="24"/>
          <w:szCs w:val="24"/>
        </w:rPr>
        <w:t>ly</w:t>
      </w:r>
      <w:r w:rsidR="00EE4C0B">
        <w:rPr>
          <w:rFonts w:ascii="Times New Roman" w:hAnsi="Times New Roman" w:cs="Times New Roman"/>
          <w:sz w:val="24"/>
          <w:szCs w:val="24"/>
        </w:rPr>
        <w:t xml:space="preserve"> than the 5- and 6-year-olds</w:t>
      </w:r>
      <w:r w:rsidR="009A48B8">
        <w:rPr>
          <w:rFonts w:ascii="Times New Roman" w:hAnsi="Times New Roman" w:cs="Times New Roman"/>
          <w:sz w:val="24"/>
          <w:szCs w:val="24"/>
        </w:rPr>
        <w:t>. This is presumably because 4-year-old children possess less robust information-processing capacities than 5- and 6-year-olds (e.g., Richland et al., 2006).</w:t>
      </w:r>
      <w:r w:rsidR="005D5346">
        <w:rPr>
          <w:rFonts w:ascii="Times New Roman" w:hAnsi="Times New Roman" w:cs="Times New Roman"/>
          <w:sz w:val="24"/>
          <w:szCs w:val="24"/>
        </w:rPr>
        <w:t xml:space="preserve"> This was not the case.</w:t>
      </w:r>
    </w:p>
    <w:p w14:paraId="648FA994" w14:textId="227FB297"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 base-rate information is</w:t>
      </w:r>
      <w:r w:rsidR="00DD4E30">
        <w:rPr>
          <w:rFonts w:ascii="Times New Roman" w:hAnsi="Times New Roman" w:cs="Times New Roman"/>
          <w:sz w:val="24"/>
          <w:szCs w:val="24"/>
        </w:rPr>
        <w:t xml:space="preserve"> explicitly and systematically</w:t>
      </w:r>
      <w:r w:rsidR="00001DB7">
        <w:rPr>
          <w:rFonts w:ascii="Times New Roman" w:hAnsi="Times New Roman" w:cs="Times New Roman"/>
          <w:sz w:val="24"/>
          <w:szCs w:val="24"/>
        </w:rPr>
        <w:t xml:space="preserve"> manipulated.</w:t>
      </w:r>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 xml:space="preserve">by examining whether participants are sensitive to base rate information in a BB context like the present one with multiple </w:t>
      </w:r>
      <w:r w:rsidR="000950C3">
        <w:rPr>
          <w:rFonts w:ascii="Times New Roman" w:hAnsi="Times New Roman" w:cs="Times New Roman"/>
          <w:sz w:val="24"/>
          <w:szCs w:val="24"/>
        </w:rPr>
        <w:t xml:space="preserve">potential </w:t>
      </w:r>
      <w:r w:rsidR="00A37527">
        <w:rPr>
          <w:rFonts w:ascii="Times New Roman" w:hAnsi="Times New Roman" w:cs="Times New Roman"/>
          <w:sz w:val="24"/>
          <w:szCs w:val="24"/>
        </w:rPr>
        <w:t xml:space="preserve">causes, we can provide </w:t>
      </w:r>
      <w:r w:rsidR="008F2BE6">
        <w:rPr>
          <w:rFonts w:ascii="Times New Roman" w:hAnsi="Times New Roman" w:cs="Times New Roman"/>
          <w:sz w:val="24"/>
          <w:szCs w:val="24"/>
        </w:rPr>
        <w:t>even greater</w:t>
      </w:r>
      <w:r w:rsidR="00A37527">
        <w:rPr>
          <w:rFonts w:ascii="Times New Roman" w:hAnsi="Times New Roman" w:cs="Times New Roman"/>
          <w:sz w:val="24"/>
          <w:szCs w:val="24"/>
        </w:rPr>
        <w:t xml:space="preserve"> insight into the underlying causal mechanism that supports causal judgements in human children.</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56C5989" w:rsidR="000950C3"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 </w:t>
      </w:r>
      <w:r w:rsidR="009662E7">
        <w:rPr>
          <w:rFonts w:ascii="Times New Roman" w:hAnsi="Times New Roman" w:cs="Times New Roman"/>
          <w:color w:val="000000" w:themeColor="text1"/>
          <w:sz w:val="24"/>
          <w:szCs w:val="24"/>
        </w:rPr>
        <w:t>The</w:t>
      </w:r>
      <w:r w:rsidR="005D5346">
        <w:rPr>
          <w:rFonts w:ascii="Times New Roman" w:hAnsi="Times New Roman" w:cs="Times New Roman"/>
          <w:color w:val="000000" w:themeColor="text1"/>
          <w:sz w:val="24"/>
          <w:szCs w:val="24"/>
        </w:rPr>
        <w:t>se results</w:t>
      </w:r>
      <w:r w:rsidR="00366126">
        <w:rPr>
          <w:rFonts w:ascii="Times New Roman" w:hAnsi="Times New Roman" w:cs="Times New Roman"/>
          <w:color w:val="000000" w:themeColor="text1"/>
          <w:sz w:val="24"/>
          <w:szCs w:val="24"/>
        </w:rPr>
        <w:t xml:space="preserve"> suggest that </w:t>
      </w:r>
      <w:r w:rsidR="005D5346">
        <w:rPr>
          <w:rFonts w:ascii="Times New Roman" w:hAnsi="Times New Roman" w:cs="Times New Roman"/>
          <w:color w:val="000000" w:themeColor="text1"/>
          <w:sz w:val="24"/>
          <w:szCs w:val="24"/>
        </w:rPr>
        <w:t>an associative-learning counting mechanism supports 4-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in a BB context. </w:t>
      </w:r>
      <w:r w:rsidR="00B74D25">
        <w:rPr>
          <w:rFonts w:ascii="Times New Roman" w:hAnsi="Times New Roman" w:cs="Times New Roman"/>
          <w:color w:val="000000" w:themeColor="text1"/>
          <w:sz w:val="24"/>
          <w:szCs w:val="24"/>
        </w:rPr>
        <w:t>Based on these results, we think that the conclusion that associative learning does not underpin causal reasoning in children may be premature.</w:t>
      </w: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7319" w14:textId="77777777" w:rsidR="005F135E" w:rsidRDefault="005F135E" w:rsidP="00323E12">
      <w:pPr>
        <w:spacing w:after="0" w:line="240" w:lineRule="auto"/>
      </w:pPr>
      <w:r>
        <w:separator/>
      </w:r>
    </w:p>
  </w:endnote>
  <w:endnote w:type="continuationSeparator" w:id="0">
    <w:p w14:paraId="1624F1B1" w14:textId="77777777" w:rsidR="005F135E" w:rsidRDefault="005F135E"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413FB" w14:textId="77777777" w:rsidR="005F135E" w:rsidRDefault="005F135E" w:rsidP="00323E12">
      <w:pPr>
        <w:spacing w:after="0" w:line="240" w:lineRule="auto"/>
      </w:pPr>
      <w:r>
        <w:separator/>
      </w:r>
    </w:p>
  </w:footnote>
  <w:footnote w:type="continuationSeparator" w:id="0">
    <w:p w14:paraId="42A4D161" w14:textId="77777777" w:rsidR="005F135E" w:rsidRDefault="005F135E"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155B"/>
    <w:rsid w:val="00071CA1"/>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181"/>
    <w:rsid w:val="00111358"/>
    <w:rsid w:val="00111DF2"/>
    <w:rsid w:val="001122EF"/>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3CE9"/>
    <w:rsid w:val="001C3D27"/>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5677"/>
    <w:rsid w:val="002959F5"/>
    <w:rsid w:val="002965E6"/>
    <w:rsid w:val="002968CF"/>
    <w:rsid w:val="00296A89"/>
    <w:rsid w:val="00296CA7"/>
    <w:rsid w:val="0029714F"/>
    <w:rsid w:val="0029753A"/>
    <w:rsid w:val="0029769E"/>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E8C"/>
    <w:rsid w:val="00355EB9"/>
    <w:rsid w:val="00356198"/>
    <w:rsid w:val="00356791"/>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379"/>
    <w:rsid w:val="003E24AC"/>
    <w:rsid w:val="003E2807"/>
    <w:rsid w:val="003E3CCB"/>
    <w:rsid w:val="003E3D61"/>
    <w:rsid w:val="003E4EBA"/>
    <w:rsid w:val="003E580E"/>
    <w:rsid w:val="003E6BAA"/>
    <w:rsid w:val="003E7163"/>
    <w:rsid w:val="003E72AA"/>
    <w:rsid w:val="003E74D3"/>
    <w:rsid w:val="003F07CB"/>
    <w:rsid w:val="003F082D"/>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42C7"/>
    <w:rsid w:val="004A4EA2"/>
    <w:rsid w:val="004A4FB0"/>
    <w:rsid w:val="004A51C7"/>
    <w:rsid w:val="004A571F"/>
    <w:rsid w:val="004A5784"/>
    <w:rsid w:val="004A6688"/>
    <w:rsid w:val="004A6814"/>
    <w:rsid w:val="004A6E5D"/>
    <w:rsid w:val="004A78D4"/>
    <w:rsid w:val="004A7A82"/>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FC3"/>
    <w:rsid w:val="004F3051"/>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FC1"/>
    <w:rsid w:val="00517E10"/>
    <w:rsid w:val="0052040A"/>
    <w:rsid w:val="005204B9"/>
    <w:rsid w:val="00521930"/>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A057D"/>
    <w:rsid w:val="005A087A"/>
    <w:rsid w:val="005A0927"/>
    <w:rsid w:val="005A0BB3"/>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0E9"/>
    <w:rsid w:val="005B389B"/>
    <w:rsid w:val="005B43E3"/>
    <w:rsid w:val="005B5DCD"/>
    <w:rsid w:val="005B60B3"/>
    <w:rsid w:val="005B6220"/>
    <w:rsid w:val="005B70DD"/>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C"/>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60E2"/>
    <w:rsid w:val="007D664A"/>
    <w:rsid w:val="007D68CD"/>
    <w:rsid w:val="007D72EE"/>
    <w:rsid w:val="007D7F7C"/>
    <w:rsid w:val="007E110F"/>
    <w:rsid w:val="007E18F6"/>
    <w:rsid w:val="007E1E7D"/>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96B"/>
    <w:rsid w:val="00840D81"/>
    <w:rsid w:val="00841D50"/>
    <w:rsid w:val="008429FD"/>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9BB"/>
    <w:rsid w:val="00966AB0"/>
    <w:rsid w:val="0096749D"/>
    <w:rsid w:val="0097002D"/>
    <w:rsid w:val="00971AE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7527"/>
    <w:rsid w:val="00A400E3"/>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6003"/>
    <w:rsid w:val="00B06E04"/>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A5F"/>
    <w:rsid w:val="00B51FEF"/>
    <w:rsid w:val="00B5259D"/>
    <w:rsid w:val="00B542F6"/>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BBB"/>
    <w:rsid w:val="00C43C45"/>
    <w:rsid w:val="00C4434E"/>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653"/>
    <w:rsid w:val="00D24CD9"/>
    <w:rsid w:val="00D25460"/>
    <w:rsid w:val="00D2687F"/>
    <w:rsid w:val="00D26AC6"/>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4CD"/>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3D9E"/>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3016"/>
    <w:rsid w:val="00F63070"/>
    <w:rsid w:val="00F646DF"/>
    <w:rsid w:val="00F65279"/>
    <w:rsid w:val="00F654CB"/>
    <w:rsid w:val="00F66022"/>
    <w:rsid w:val="00F6615D"/>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8455</Words>
  <Characters>48195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2023-02-15T22:49:00Z</dcterms:created>
  <dcterms:modified xsi:type="dcterms:W3CDTF">2023-02-15T22:49:00Z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