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0353" w14:textId="7F928929" w:rsidR="00A12050" w:rsidRDefault="00A12050" w:rsidP="00A1205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Children are more associative when reasoning retrospectively under information processing demands</w:t>
      </w:r>
    </w:p>
    <w:p w14:paraId="5C7982C0" w14:textId="395555F5"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r w:rsidR="00017955">
        <w:rPr>
          <w:rFonts w:ascii="Times New Roman" w:eastAsia="Times New Roman" w:hAnsi="Times New Roman" w:cs="Times New Roman"/>
          <w:sz w:val="24"/>
          <w:szCs w:val="24"/>
        </w:rPr>
        <w:t>07/18/2023</w:t>
      </w:r>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1938513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w:t>
      </w:r>
      <w:r w:rsidR="00FE3522">
        <w:rPr>
          <w:rFonts w:ascii="Times New Roman" w:eastAsia="Times New Roman" w:hAnsi="Times New Roman" w:cs="Times New Roman"/>
          <w:sz w:val="24"/>
          <w:szCs w:val="24"/>
        </w:rPr>
        <w:t>the causal effectiveness of an object</w:t>
      </w:r>
      <w:r>
        <w:rPr>
          <w:rFonts w:ascii="Times New Roman" w:eastAsia="Times New Roman" w:hAnsi="Times New Roman" w:cs="Times New Roman"/>
          <w:sz w:val="24"/>
          <w:szCs w:val="24"/>
        </w:rPr>
        <w:t xml:space="preserve"> given ambiguous information.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to intervene on those relations to generate new effects (e.g., Butler et al., 2020; Schulz et al., 2007), and to reason about counterfactual claims—both about what might have been and how events could have turned out differently (e.g., Harris et al, 1996; Walker &amp; Nyhout, 2020). These, and many other studies (e.g., Bonawitz &amp; Lombrozo, 2012; Gopnik et al., 2001; Legare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(Bonawitz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ausal reasoning starts with statistical learning capacities that are present in infancy (e.g., Gomez, 2002; Kirkham et al., 2002; Marcus et al., 1999; Saffran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Heyes, 2012) and studies of instrumental action and conditioning on human infants (e.g., Greco et al., 1990; Rovee-Collier,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Houwer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independently or the object only shown as part of the initial ambiguous data</w:t>
      </w:r>
      <w:r>
        <w:rPr>
          <w:rFonts w:ascii="Times New Roman" w:eastAsia="Times New Roman" w:hAnsi="Times New Roman" w:cs="Times New Roman"/>
          <w:sz w:val="24"/>
          <w:szCs w:val="24"/>
        </w:rPr>
        <w:t>.</w:t>
      </w:r>
    </w:p>
    <w:p w14:paraId="710B2E71" w14:textId="7FEB6D1A"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backwards blocking and indirect screening-off are unique among retrospective causal inferences in that children only have to keep two potential causes in mind. When more than two objects are present, a Bayesian description demands that reasoners consider a larger hypothesis space, which may introduce additional information processing demands. The goal of the present study is to consider children’s retrospective causal inferences when more than two objects are present</w:t>
      </w:r>
      <w:r w:rsidR="00B52F6D">
        <w:rPr>
          <w:rFonts w:ascii="Times New Roman" w:eastAsia="Times New Roman" w:hAnsi="Times New Roman" w:cs="Times New Roman"/>
          <w:sz w:val="24"/>
          <w:szCs w:val="24"/>
        </w:rPr>
        <w:t>. Our prediction is that this will</w:t>
      </w:r>
      <w:r>
        <w:rPr>
          <w:rFonts w:ascii="Times New Roman" w:eastAsia="Times New Roman" w:hAnsi="Times New Roman" w:cs="Times New Roman"/>
          <w:sz w:val="24"/>
          <w:szCs w:val="24"/>
        </w:rPr>
        <w:t xml:space="preserve"> </w:t>
      </w:r>
      <w:r w:rsidR="00B52F6D">
        <w:rPr>
          <w:rFonts w:ascii="Times New Roman" w:eastAsia="Times New Roman" w:hAnsi="Times New Roman" w:cs="Times New Roman"/>
          <w:sz w:val="24"/>
          <w:szCs w:val="24"/>
        </w:rPr>
        <w:t>introduce a</w:t>
      </w:r>
      <w:r>
        <w:rPr>
          <w:rFonts w:ascii="Times New Roman" w:eastAsia="Times New Roman" w:hAnsi="Times New Roman" w:cs="Times New Roman"/>
          <w:sz w:val="24"/>
          <w:szCs w:val="24"/>
        </w:rPr>
        <w:t xml:space="preserve"> set of information processing demands that might affect the way in which children engage in causal inferences.</w:t>
      </w:r>
    </w:p>
    <w:p w14:paraId="2514E141" w14:textId="2543A07D" w:rsidR="00AD704F" w:rsidRDefault="00AD704F" w:rsidP="00AD70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particular, several studies suggest that the greater the complexity of the inference, the simpler the model of processing children use to reason (e.g., Doebel &amp; Zelazo, 2015; Frye, Zelazo, &amp; Palfai, 1995; Zelazo, Frye, &amp; Rapus, 1996; Zelazo et al., 2003). </w:t>
      </w:r>
      <w:r w:rsidR="00614623">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enderla and Kibbe (2023) demonstrated that when faced with a challenging virtual memory game, 8- and 10-year-old children showed a decreased reliance on working memory and a greater dependence on manual exploration. The goal of this game was to find three cards with shared and differing features. Given that children were not required actively to maintain information in memory when manually exploring, manual exploration was an ostensibly simpler and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2D12300A" w14:textId="14CEDC95" w:rsidR="00AD704F" w:rsidRDefault="00AD704F" w:rsidP="00AD70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hypothesis that descriptions of causal reasoning that follow </w:t>
      </w:r>
      <w:r w:rsidR="00614623">
        <w:rPr>
          <w:rFonts w:ascii="Times New Roman" w:eastAsia="Times New Roman" w:hAnsi="Times New Roman" w:cs="Times New Roman"/>
          <w:sz w:val="24"/>
          <w:szCs w:val="24"/>
        </w:rPr>
        <w:t xml:space="preserve">Bayesian inference </w:t>
      </w:r>
      <w:r>
        <w:rPr>
          <w:rFonts w:ascii="Times New Roman" w:eastAsia="Times New Roman" w:hAnsi="Times New Roman" w:cs="Times New Roman"/>
          <w:sz w:val="24"/>
          <w:szCs w:val="24"/>
        </w:rPr>
        <w:t xml:space="preserve"> start with more associative learning capacities, it is possible that when children’s causal reasoning systems are taxed, they look more associative in their reasoning. This idea is consistent with data from Sobel and Kirkham (2007): Although 8-month-olds exhibited backwards blocking inferences similar to preschoolers in an anticipatory eye-gaze measure, 5-month-olds</w:t>
      </w:r>
      <w:r w:rsidR="000C3E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inferences appeared more associative in nature (Sobel &amp; Kirkham, 2007). Further, when infants make judgments about the reliability of others' information, their decision-making seems to be best explained by associative processing (Sobel et al., 2020; Tummeltshammer et al., 2014). </w:t>
      </w:r>
    </w:p>
    <w:p w14:paraId="3898F3B8" w14:textId="2E709CE6"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Luchkina et al., 2020). </w:t>
      </w:r>
      <w:r w:rsidR="005D29A6">
        <w:rPr>
          <w:rFonts w:ascii="Times New Roman" w:eastAsia="Times New Roman" w:hAnsi="Times New Roman" w:cs="Times New Roman"/>
          <w:sz w:val="24"/>
          <w:szCs w:val="24"/>
        </w:rPr>
        <w:t xml:space="preserve">In terms of children’s casual </w:t>
      </w:r>
      <w:r w:rsidR="005D29A6">
        <w:rPr>
          <w:rFonts w:ascii="Times New Roman" w:eastAsia="Times New Roman" w:hAnsi="Times New Roman" w:cs="Times New Roman"/>
          <w:sz w:val="24"/>
          <w:szCs w:val="24"/>
        </w:rPr>
        <w:lastRenderedPageBreak/>
        <w:t xml:space="preserve">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Further, on other kinds of retrospective inferences, as the information demands of the procedure increase, only older children between the ages of 3-7 succeed (Fernbach et al., 2012; Erb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(Caporaso &amp; Marcovitch, 2021; Powell &amp; Carey, 2017; Steinbeis, 2018). Considered together, this research indicates that although children use different reasoning processes under different information-processing demands; the higher those demands, the simpler the process (e.g., Cohen, 1988; Cohen et al., 1998, 1999).</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sidR="005D29A6" w:rsidRPr="00256B87">
        <w:rPr>
          <w:rFonts w:ascii="Times New Roman" w:eastAsia="Times New Roman" w:hAnsi="Times New Roman" w:cs="Times New Roman"/>
          <w:b/>
          <w:sz w:val="24"/>
          <w:szCs w:val="24"/>
        </w:rPr>
        <w:t>Experiment 1</w:t>
      </w:r>
    </w:p>
    <w:p w14:paraId="096FCEC1" w14:textId="0D8399AD"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objects (A’, B’ and C’) activate the machine, followed by an event in which a fourth object (D) either caused or failed to cause the machine to activate. Here</w:t>
      </w:r>
      <w:r w:rsidR="001328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retrospective revaluation involves treating objects B and C differently from objects </w:t>
      </w:r>
      <w:r w:rsidR="0013287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 and C’; when A activates the machine alone, judgments of the causal effectiveness of B and C should be lower than the judgments of </w:t>
      </w:r>
      <w:r w:rsidR="0013287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 and C’</w:t>
      </w:r>
      <w:r w:rsidR="000023FE">
        <w:rPr>
          <w:rStyle w:val="CommentReference"/>
        </w:rPr>
        <w:t>.</w:t>
      </w:r>
      <w:r>
        <w:rPr>
          <w:rFonts w:ascii="Times New Roman" w:eastAsia="Times New Roman" w:hAnsi="Times New Roman" w:cs="Times New Roman"/>
          <w:sz w:val="24"/>
          <w:szCs w:val="24"/>
        </w:rPr>
        <w:t xml:space="preserve"> When A does not activate the machine alone, judgments of the causal effectiveness of B and C should be higher than B’ and C’. Because McCormack et al. (2009) found that 5 and 6-year-olds made such retrospective inferences about two candidate causes, we considered the same age range here</w:t>
      </w:r>
      <w:r w:rsidR="0013287E">
        <w:rPr>
          <w:rFonts w:ascii="Times New Roman" w:eastAsia="Times New Roman" w:hAnsi="Times New Roman" w:cs="Times New Roman"/>
          <w:sz w:val="24"/>
          <w:szCs w:val="24"/>
        </w:rPr>
        <w:t xml:space="preserve"> to consider more than two causes</w:t>
      </w:r>
      <w:r>
        <w:rPr>
          <w:rFonts w:ascii="Times New Roman" w:eastAsia="Times New Roman" w:hAnsi="Times New Roman" w:cs="Times New Roman"/>
          <w:sz w:val="24"/>
          <w:szCs w:val="24"/>
        </w:rPr>
        <w:t xml:space="preserve">. </w:t>
      </w:r>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11333540"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xml:space="preserve">: 82% White/Caucasian (compared with 83%), 3% Black/African American (9%), 4% Asian/Asian American (4%), 0.5% Native </w:t>
      </w:r>
      <w:r>
        <w:rPr>
          <w:rFonts w:ascii="Times New Roman" w:eastAsia="Times New Roman" w:hAnsi="Times New Roman" w:cs="Times New Roman"/>
          <w:color w:val="000000"/>
          <w:sz w:val="24"/>
          <w:szCs w:val="24"/>
        </w:rPr>
        <w:lastRenderedPageBreak/>
        <w:t>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2D7B2CB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read. All video events were created in Microsoft PowerPoint. </w:t>
      </w:r>
    </w:p>
    <w:p w14:paraId="5752A66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w:t>
      </w:r>
      <w:r>
        <w:rPr>
          <w:rFonts w:ascii="Times New Roman" w:eastAsia="Times New Roman" w:hAnsi="Times New Roman" w:cs="Times New Roman"/>
          <w:sz w:val="24"/>
          <w:szCs w:val="24"/>
        </w:rPr>
        <w:lastRenderedPageBreak/>
        <w:t xml:space="preserve">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the it activated if at least one effective object was placed on it. </w:t>
      </w:r>
    </w:p>
    <w:p w14:paraId="18C6BE3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Table 1.</w:t>
      </w:r>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6"/>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3 three-way interactions. These included a three-way interaction among Age, Condition, and Object, </w:t>
      </w:r>
      <w:r>
        <w:rPr>
          <w:rFonts w:ascii="Times New Roman" w:eastAsia="Times New Roman" w:hAnsi="Times New Roman" w:cs="Times New Roman"/>
          <w:sz w:val="24"/>
          <w:szCs w:val="24"/>
        </w:rPr>
        <w:lastRenderedPageBreak/>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.45. In contrast, in the indirect screening-off condition, participants were less confident 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This reflected the fact that the scores for object A were collapsed over Trial Type (in which A was seen by itself during the experimental trials but in combination with other objects during the control trials).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E819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To explore the second interaction among Trial Number and Object for each condition, Trial Number and Object were included as within-participants fixed effects and participants were included as a random effect. Although both linear models yielded experimental effects of Object, </w:t>
      </w:r>
      <w:r>
        <w:rPr>
          <w:rFonts w:ascii="Times New Roman" w:eastAsia="Times New Roman" w:hAnsi="Times New Roman" w:cs="Times New Roman"/>
          <w:sz w:val="24"/>
          <w:szCs w:val="24"/>
        </w:rPr>
        <w:lastRenderedPageBreak/>
        <w:t>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7"/>
                    <a:srcRect/>
                    <a:stretch>
                      <a:fillRect/>
                    </a:stretch>
                  </pic:blipFill>
                  <pic:spPr>
                    <a:xfrm>
                      <a:off x="0" y="0"/>
                      <a:ext cx="4568562" cy="3075482"/>
                    </a:xfrm>
                    <a:prstGeom prst="rect">
                      <a:avLst/>
                    </a:prstGeom>
                    <a:ln/>
                  </pic:spPr>
                </pic:pic>
              </a:graphicData>
            </a:graphic>
          </wp:inline>
        </w:drawing>
      </w:r>
    </w:p>
    <w:p w14:paraId="6C95A00B"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the final interaction among Condition, Trial Type, and Object, we constructed a set of one-way linear mixed-effects models for the experimental and control trials within the backwards blocking and indirect screening-off conditions. The Objects factor was treated as the sole within-participants fixed effect in these follow-up analyses. Participants were </w:t>
      </w:r>
      <w:r>
        <w:rPr>
          <w:rFonts w:ascii="Times New Roman" w:eastAsia="Times New Roman" w:hAnsi="Times New Roman" w:cs="Times New Roman"/>
          <w:sz w:val="24"/>
          <w:szCs w:val="24"/>
        </w:rPr>
        <w:lastRenderedPageBreak/>
        <w:t>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.72. This means that participants treated the objects 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76.81,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Participants considered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0.26,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0.44) in the ISO experimental trials and object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0.48) in the ISO control trials to be less likely to be blickets than any of the other objects,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-7.45,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 B and C equivalently in the experimental trials,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-0.77,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.29, and objects A-C equivalently in the control trials,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&lt; -1.07,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.29.  </w:t>
      </w:r>
    </w:p>
    <w:p w14:paraId="146399CA" w14:textId="748E86C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w:t>
      </w:r>
      <w:r>
        <w:rPr>
          <w:rFonts w:ascii="Times New Roman" w:eastAsia="Times New Roman" w:hAnsi="Times New Roman" w:cs="Times New Roman"/>
          <w:sz w:val="24"/>
          <w:szCs w:val="24"/>
        </w:rPr>
        <w:lastRenderedPageBreak/>
        <w:t>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the second piece of evidence children observed in the Experimental trials involved only one object being placed on the </w:t>
      </w:r>
      <w:r>
        <w:rPr>
          <w:rFonts w:ascii="Times New Roman" w:eastAsia="Times New Roman" w:hAnsi="Times New Roman" w:cs="Times New Roman"/>
          <w:sz w:val="24"/>
          <w:szCs w:val="24"/>
        </w:rPr>
        <w:lastRenderedPageBreak/>
        <w:t xml:space="preserve">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the machine during the initial event in which A, B, and C activated the machine</w:t>
      </w:r>
      <w:r w:rsidR="0069360A">
        <w:rPr>
          <w:rFonts w:ascii="Times New Roman" w:eastAsia="Times New Roman" w:hAnsi="Times New Roman" w:cs="Times New Roman"/>
          <w:sz w:val="24"/>
          <w:szCs w:val="24"/>
        </w:rPr>
        <w:t xml:space="preserve"> and in this way </w:t>
      </w:r>
      <w:r w:rsidR="0069360A">
        <w:rPr>
          <w:rFonts w:ascii="Times New Roman" w:eastAsia="Times New Roman" w:hAnsi="Times New Roman" w:cs="Times New Roman"/>
          <w:sz w:val="24"/>
          <w:szCs w:val="24"/>
        </w:rPr>
        <w:lastRenderedPageBreak/>
        <w:t>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642CE4AC" w:rsidR="006C5C80" w:rsidRDefault="00541C22">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294D8AE1" wp14:editId="0C7EEE7F">
            <wp:extent cx="5076825" cy="3190875"/>
            <wp:effectExtent l="0" t="0" r="9525" b="9525"/>
            <wp:docPr id="503630049" name="Picture 1" descr="A graph showing the different types of scree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0049" name="Picture 1" descr="A graph showing the different types of screen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76825" cy="3190875"/>
                    </a:xfrm>
                    <a:prstGeom prst="rect">
                      <a:avLst/>
                    </a:prstGeom>
                  </pic:spPr>
                </pic:pic>
              </a:graphicData>
            </a:graphic>
          </wp:inline>
        </w:drawing>
      </w:r>
      <w:r>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r w:rsidR="003D61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B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E62041">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-values &gt; 35.79, all </w:t>
      </w:r>
      <w:r w:rsidRPr="00E62041">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(Widrow &amp; Hoff, 1960). </w:t>
      </w:r>
    </w:p>
    <w:p w14:paraId="6B12351E"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w:lastRenderedPageBreak/>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9"/>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 xml:space="preserve">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(Kruschke, 1992; Widrow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0"/>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e.g., Bhat et al., 2022; Buss &amp; Spencer, 2014; Spencer et al., 2022; Steyvers et al., 2003; Stojnic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(e.g.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objects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candidate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both </w:t>
      </w:r>
      <w:r>
        <w:rPr>
          <w:rFonts w:ascii="Times New Roman" w:eastAsia="Times New Roman" w:hAnsi="Times New Roman" w:cs="Times New Roman"/>
          <w:color w:val="000000"/>
          <w:sz w:val="24"/>
          <w:szCs w:val="24"/>
        </w:rPr>
        <w:t xml:space="preserve"> associative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Beckers, T., Vandorpe, S., Debeys, I., &amp; De Houwer, J. (2009). Three-year-olds’ retrospective revaluation in the blicket detector task: Backward blocking or recovery from overshadowing?.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Benton, D. T., Rakison,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B., &amp; Lombrozo,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Butler, L. P., Gibbs, H. M., &amp; Tavassolie,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Caporaso, J. S., &amp; Marcovitch,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L.B. (1988). An information processing approach to infant cognitive development. In L. Weiskrantz (Ed.), Thought without language, (pp. 211-228). Oxford: Oxford University Press.</w:t>
      </w:r>
    </w:p>
    <w:p w14:paraId="708488F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(1991). Infant attention: An information processing approach. In M.J. Weiss and P. R. Zelazo (Eds.), Newborn attention: Biological constraints and the influence of experience, (pp. 1-21). Norwood, N.J.: Ablex</w:t>
      </w:r>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Erb, C. D., &amp; Sobel, D. M. (2014). The development of diagnostic reasoning about uncertain events between ages 4–7. PloS one, 9(3), e92285.</w:t>
      </w:r>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Frye, D., Zelazo, P. D., &amp; Palfai,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Gomez, R. L. (2002). Variability and detection of invariant structure. Psychological Science, 13(5), 431-436.</w:t>
      </w:r>
    </w:p>
    <w:p w14:paraId="2F0F693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Gopnik, A., Griffiths, T. L., &amp; Lucas, C. G. (2015). When younger learners can be better (or at least more open-minded) than older ones. Current Directions in Psychological Science, 24(2), 87-92.</w:t>
      </w:r>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Sobel, D. M., Schulz, L. E., &amp; Glymour,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Wellman, H. M. (2012). Reconstructing constructivism: causal models, Bayesian learning mechanisms, and the theory theory.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Greco, C., Hayne, H., &amp; Rovee-Collier,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Griffiths, T. L., &amp; Tenenbaum, J. B. (2007). From mere coincidences to meaningful discoveries. Cognition, 103(2), 180-226.</w:t>
      </w:r>
    </w:p>
    <w:p w14:paraId="7C89301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Heyes, C. (2012). Simple minds: a qualified defence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Houwer, J. D., Beckers, T., &amp; Glautier,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Kenderla,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Leslie, A. M., &amp; Keeble, S. (1987). Do six-month-old infants perceive causality?.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Marcus, G. F., Vijayan, S., Bandi Rao, S., &amp; Vishton, P. M. (1999). Rule learning by seven-month-old infants. Science, 283(5398), 77-80.</w:t>
      </w:r>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Meltzoff, A. N., Waismeyer,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Rovee-Collier,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0C33C87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Schulz, L. E., Gopnik, A., &amp; Glymour, C. (2007). Preschool children learn about causal structure from conditional interventions. Developmental science, 10(3), 322-332.</w:t>
      </w: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45A8D2B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Spencer, J. P., Ross‐Sheehy, S., &amp; Eschman,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Steinbeis,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r w:rsidRPr="00AF2158">
        <w:rPr>
          <w:rFonts w:ascii="Times New Roman" w:eastAsia="Times New Roman" w:hAnsi="Times New Roman" w:cs="Times New Roman"/>
          <w:color w:val="222222"/>
          <w:sz w:val="24"/>
          <w:szCs w:val="24"/>
        </w:rPr>
        <w:t>Steyvers, M., Tenenbaum, J. B., Wagenmakers,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Stojnić,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Van Hamme, L. J., &amp; Wasserman, E. A. (1994). Cue competition in causality judgments: The role of nonpresentation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Nyhout,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Widrow,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Müller, U., Frye, D., Marcovitch, S., Argitis, G., Boseovski,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95BE4" w14:textId="77777777" w:rsidR="00612BCF" w:rsidRDefault="00612BCF">
      <w:pPr>
        <w:spacing w:after="0" w:line="240" w:lineRule="auto"/>
      </w:pPr>
      <w:r>
        <w:separator/>
      </w:r>
    </w:p>
  </w:endnote>
  <w:endnote w:type="continuationSeparator" w:id="0">
    <w:p w14:paraId="199570B4" w14:textId="77777777" w:rsidR="00612BCF" w:rsidRDefault="0061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BC5F" w14:textId="77777777" w:rsidR="00612BCF" w:rsidRDefault="00612BCF">
      <w:pPr>
        <w:spacing w:after="0" w:line="240" w:lineRule="auto"/>
      </w:pPr>
      <w:r>
        <w:separator/>
      </w:r>
    </w:p>
  </w:footnote>
  <w:footnote w:type="continuationSeparator" w:id="0">
    <w:p w14:paraId="50C97CA8" w14:textId="77777777" w:rsidR="00612BCF" w:rsidRDefault="00612BCF">
      <w:pPr>
        <w:spacing w:after="0" w:line="240" w:lineRule="auto"/>
      </w:pPr>
      <w:r>
        <w:continuationSeparator/>
      </w:r>
    </w:p>
  </w:footnote>
  <w:footnote w:id="1">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534D"/>
    <w:rsid w:val="00017955"/>
    <w:rsid w:val="000B6A24"/>
    <w:rsid w:val="000C3E30"/>
    <w:rsid w:val="000E6EC3"/>
    <w:rsid w:val="000F7200"/>
    <w:rsid w:val="0013287E"/>
    <w:rsid w:val="001408AB"/>
    <w:rsid w:val="00141508"/>
    <w:rsid w:val="0017522D"/>
    <w:rsid w:val="00221DB0"/>
    <w:rsid w:val="00262A88"/>
    <w:rsid w:val="0033186D"/>
    <w:rsid w:val="003D61D3"/>
    <w:rsid w:val="0045148D"/>
    <w:rsid w:val="00541C22"/>
    <w:rsid w:val="0055460A"/>
    <w:rsid w:val="005B1996"/>
    <w:rsid w:val="005D29A6"/>
    <w:rsid w:val="005E648C"/>
    <w:rsid w:val="00612BCF"/>
    <w:rsid w:val="00614623"/>
    <w:rsid w:val="0069360A"/>
    <w:rsid w:val="00694E95"/>
    <w:rsid w:val="006C5C80"/>
    <w:rsid w:val="00702A0D"/>
    <w:rsid w:val="0070788F"/>
    <w:rsid w:val="0072568F"/>
    <w:rsid w:val="007A3EEE"/>
    <w:rsid w:val="007D5440"/>
    <w:rsid w:val="00866133"/>
    <w:rsid w:val="00893CF3"/>
    <w:rsid w:val="008C3944"/>
    <w:rsid w:val="00903250"/>
    <w:rsid w:val="00983B0B"/>
    <w:rsid w:val="00A12050"/>
    <w:rsid w:val="00A21478"/>
    <w:rsid w:val="00AB2A5A"/>
    <w:rsid w:val="00AD704F"/>
    <w:rsid w:val="00AE0646"/>
    <w:rsid w:val="00AF2158"/>
    <w:rsid w:val="00AF7646"/>
    <w:rsid w:val="00B131D0"/>
    <w:rsid w:val="00B417BE"/>
    <w:rsid w:val="00B45B3E"/>
    <w:rsid w:val="00B52F6D"/>
    <w:rsid w:val="00BE1020"/>
    <w:rsid w:val="00BE1E93"/>
    <w:rsid w:val="00C55FBB"/>
    <w:rsid w:val="00C74866"/>
    <w:rsid w:val="00C97FE7"/>
    <w:rsid w:val="00CD1592"/>
    <w:rsid w:val="00DC0D21"/>
    <w:rsid w:val="00E10A0A"/>
    <w:rsid w:val="00E27DE9"/>
    <w:rsid w:val="00E62041"/>
    <w:rsid w:val="00E81900"/>
    <w:rsid w:val="00EB14C9"/>
    <w:rsid w:val="00FC5435"/>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9576</Words>
  <Characters>54587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4</cp:revision>
  <dcterms:created xsi:type="dcterms:W3CDTF">2023-07-19T01:07:00Z</dcterms:created>
  <dcterms:modified xsi:type="dcterms:W3CDTF">2023-07-19T01:11:00Z</dcterms:modified>
</cp:coreProperties>
</file>