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to the top after observing another child tumble down one. In general, determining an action’s </w:t>
      </w:r>
      <w:proofErr w:type="gramStart"/>
      <w:r>
        <w:rPr>
          <w:rFonts w:ascii="Times New Roman" w:eastAsia="Times New Roman" w:hAnsi="Times New Roman" w:cs="Times New Roman"/>
        </w:rPr>
        <w:t>efficiency—a</w:t>
      </w:r>
      <w:proofErr w:type="gramEnd"/>
      <w:r>
        <w:rPr>
          <w:rFonts w:ascii="Times New Roman" w:eastAsia="Times New Roman" w:hAnsi="Times New Roman" w:cs="Times New Roman"/>
        </w:rPr>
        <w:t xml:space="preserve">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A55E1A">
        <w:rPr>
          <w:rFonts w:ascii="Times New Roman" w:eastAsia="Times New Roman" w:hAnsi="Times New Roman" w:cs="Times New Roman"/>
          <w:color w:val="000000" w:themeColor="text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 Woodward &amp; Sommerville, 2000). Importantly, the agent did not need to be self-propelled for infants to show this pattern (Figure 2A;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w:t>
      </w:r>
      <w:proofErr w:type="gramStart"/>
      <w:r>
        <w:rPr>
          <w:rFonts w:ascii="Times New Roman" w:eastAsia="Times New Roman" w:hAnsi="Times New Roman" w:cs="Times New Roman"/>
        </w:rPr>
        <w:t>its</w:t>
      </w:r>
      <w:proofErr w:type="gramEnd"/>
      <w:r>
        <w:rPr>
          <w:rFonts w:ascii="Times New Roman" w:eastAsia="Times New Roman" w:hAnsi="Times New Roman" w:cs="Times New Roman"/>
        </w:rPr>
        <w:t xml:space="preserve">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proofErr w:type="gramStart"/>
      <w:r>
        <w:rPr>
          <w:rFonts w:ascii="Times New Roman" w:eastAsia="Times New Roman" w:hAnsi="Times New Roman" w:cs="Times New Roman"/>
          <w:b/>
          <w:bCs/>
        </w:rPr>
        <w:t>Lean</w:t>
      </w:r>
      <w:proofErr w:type="gramEnd"/>
      <w:r>
        <w:rPr>
          <w:rFonts w:ascii="Times New Roman" w:eastAsia="Times New Roman" w:hAnsi="Times New Roman" w:cs="Times New Roman"/>
          <w:b/>
          <w:bCs/>
        </w:rPr>
        <w:t xml:space="preserve">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Sloutsky, 2010). Although lean proposals abound for a range of cognitive capacities (Benton, 202, 2026; Benton &amp; Hoch, 2026; Benton &amp; Lapan, 2021; Benton et al., 2024; Berthiaume et al., 2013; </w:t>
      </w: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et al., 2000; Clearfield &amp; Mix, 1999; Cohen et al., 2002; Cohen &amp; Marks, 2002; McClelland &amp; Thompson, 2007; McMahon &amp; Isik, 2023; Munakata, 1998; Munakata et al., 1997; Perner &amp; Ruffman, 2005; Scarf et al., 2012a, 2012b; Schlesinger et al., 2012; Schlesinger &amp; Casey, 2013; Simon,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w:t>
      </w:r>
      <w:proofErr w:type="spellStart"/>
      <w:r>
        <w:rPr>
          <w:rFonts w:ascii="Times New Roman" w:eastAsia="Times New Roman" w:hAnsi="Times New Roman" w:cs="Times New Roman"/>
          <w:color w:val="000000"/>
        </w:rPr>
        <w:t>Sodian</w:t>
      </w:r>
      <w:proofErr w:type="spellEnd"/>
      <w:r>
        <w:rPr>
          <w:rFonts w:ascii="Times New Roman" w:eastAsia="Times New Roman" w:hAnsi="Times New Roman" w:cs="Times New Roman"/>
          <w:color w:val="000000"/>
        </w:rPr>
        <w:t xml:space="preserve">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actions relative to efficient ones thus arises because inefficient actions, by violating a learned association between arced trajectories and obstacles, elicit greater prediction error and thereby longer looking (assuming error is the basis of such looking). </w:t>
      </w:r>
    </w:p>
    <w:p w14:paraId="5B65478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because, by being located peripheral to the arced trajectory, the barrier is less salient and thus less likely to be encoded. If infants nevertheless manage to notice the barrier in this configuration, any new association formed between it and arced motion will tend to weaken the stronger one 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and thus less looking—than inefficient ones. </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w:t>
      </w:r>
      <w:r>
        <w:rPr>
          <w:rFonts w:ascii="Times New Roman" w:eastAsia="Times New Roman" w:hAnsi="Times New Roman" w:cs="Times New Roman"/>
        </w:rPr>
        <w:lastRenderedPageBreak/>
        <w:t xml:space="preserve">account of these findings than any of the competitor models, five simulations are then reported.  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77777777" w:rsidR="006F2F23" w:rsidRDefault="006F2F23">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w:t>
      </w:r>
      <w:proofErr w:type="gramStart"/>
      <w:r>
        <w:rPr>
          <w:rFonts w:ascii="Times New Roman" w:eastAsia="Times New Roman" w:hAnsi="Times New Roman" w:cs="Times New Roman"/>
        </w:rPr>
        <w:t>a 5 ×</w:t>
      </w:r>
      <w:proofErr w:type="gramEnd"/>
      <w:r>
        <w:rPr>
          <w:rFonts w:ascii="Times New Roman" w:eastAsia="Times New Roman" w:hAnsi="Times New Roman" w:cs="Times New Roman"/>
        </w:rPr>
        <w:t xml:space="preserve">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w:t>
      </w:r>
      <w:proofErr w:type="gramStart"/>
      <w:r>
        <w:rPr>
          <w:rFonts w:ascii="Times New Roman" w:eastAsia="Times New Roman" w:hAnsi="Times New Roman" w:cs="Times New Roman"/>
        </w:rPr>
        <w:t>by</w:t>
      </w:r>
      <w:proofErr w:type="gramEnd"/>
      <w:r>
        <w:rPr>
          <w:rFonts w:ascii="Times New Roman" w:eastAsia="Times New Roman" w:hAnsi="Times New Roman" w:cs="Times New Roman"/>
        </w:rPr>
        <w:t xml:space="preserve">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overlaid curved path in each panel depicts the amount of arc motion the agent has completed through that time step. Two-headed arrows and the circular arrow denote bidirectional connectivity. As in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-703579</wp:posOffset>
                </wp:positionH>
                <wp:positionV relativeFrom="paragraph">
                  <wp:posOffset>410209</wp:posOffset>
                </wp:positionV>
                <wp:extent cx="7467600" cy="5985510"/>
                <wp:effectExtent b="0" l="0" r="0" t="0"/>
                <wp:wrapSquare wrapText="bothSides" distB="45720" distT="45720" distL="114300" distR="114300"/>
                <wp:docPr id="8"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7467600" cy="5985510"/>
                        </a:xfrm>
                        <a:prstGeom prst="rect"/>
                        <a:ln/>
                      </pic:spPr>
                    </pic:pic>
                  </a:graphicData>
                </a:graphic>
              </wp:anchor>
            </w:drawing>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xml:space="preserve">. This provided the model with a rudimentary form of memory in which information from </w:t>
      </w:r>
      <w:proofErr w:type="gramStart"/>
      <w:r>
        <w:rPr>
          <w:rFonts w:ascii="Times New Roman" w:eastAsia="Times New Roman" w:hAnsi="Times New Roman" w:cs="Times New Roman"/>
        </w:rPr>
        <w:t>earlier time</w:t>
      </w:r>
      <w:proofErr w:type="gramEnd"/>
      <w:r>
        <w:rPr>
          <w:rFonts w:ascii="Times New Roman" w:eastAsia="Times New Roman" w:hAnsi="Times New Roman" w:cs="Times New Roman"/>
        </w:rPr>
        <w:t xml:space="preserv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w:t>
      </w:r>
      <w:proofErr w:type="gramStart"/>
      <w:r>
        <w:rPr>
          <w:rFonts w:ascii="Times New Roman" w:eastAsia="Times New Roman" w:hAnsi="Times New Roman" w:cs="Times New Roman"/>
        </w:rPr>
        <w:t>particular coding</w:t>
      </w:r>
      <w:proofErr w:type="gramEnd"/>
      <w:r>
        <w:rPr>
          <w:rFonts w:ascii="Times New Roman" w:eastAsia="Times New Roman" w:hAnsi="Times New Roman" w:cs="Times New Roman"/>
        </w:rPr>
        <w:t xml:space="preserve">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0063204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that learning and processing in infants is noisy. The network’s task at each time step was twofold. First, it was required to reproduce at the output layer the activation pattern presented </w:t>
      </w:r>
      <w:r>
        <w:rPr>
          <w:rFonts w:ascii="Times New Roman" w:eastAsia="Times New Roman" w:hAnsi="Times New Roman" w:cs="Times New Roman"/>
        </w:rPr>
        <w:lastRenderedPageBreak/>
        <w:t xml:space="preserve">across 10 of the 11 input groups. Second, it was required to predict that the position to the immediate right of the current position in the Horizontal Position input group would be active in the corresponding output group at the immediate next step.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 xml:space="preserve">unit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w:t>
      </w:r>
      <w:proofErr w:type="gramStart"/>
      <w:r>
        <w:rPr>
          <w:rFonts w:ascii="Times New Roman" w:eastAsia="Times New Roman" w:hAnsi="Times New Roman" w:cs="Times New Roman"/>
        </w:rPr>
        <w:t>unfolds</w:t>
      </w:r>
      <w:proofErr w:type="gramEnd"/>
      <w:r>
        <w:rPr>
          <w:rFonts w:ascii="Times New Roman" w:eastAsia="Times New Roman" w:hAnsi="Times New Roman" w:cs="Times New Roman"/>
        </w:rPr>
        <w:t xml:space="preserve">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0CF674A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w:t>
      </w:r>
      <w:r w:rsidR="00B34A9D">
        <w:rPr>
          <w:rFonts w:ascii="Times New Roman" w:eastAsia="Times New Roman" w:hAnsi="Times New Roman" w:cs="Times New Roman"/>
        </w:rPr>
        <w:t xml:space="preserve">during habituation </w:t>
      </w:r>
      <w:r>
        <w:rPr>
          <w:rFonts w:ascii="Times New Roman" w:eastAsia="Times New Roman" w:hAnsi="Times New Roman" w:cs="Times New Roman"/>
        </w:rPr>
        <w:t xml:space="preserve">networks generally experienced an Arced Path event. Novel objects and differently sized barriers were used during </w:t>
      </w:r>
      <w:r w:rsidR="0018493C">
        <w:rPr>
          <w:rFonts w:ascii="Times New Roman" w:eastAsia="Times New Roman" w:hAnsi="Times New Roman" w:cs="Times New Roman"/>
        </w:rPr>
        <w:t>this phase</w:t>
      </w:r>
      <w:r w:rsidR="0018493C">
        <w:rPr>
          <w:rFonts w:ascii="Times New Roman" w:eastAsia="Times New Roman" w:hAnsi="Times New Roman" w:cs="Times New Roman"/>
        </w:rPr>
        <w:t xml:space="preserv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6E02FED1"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cells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w:t>
      </w:r>
      <w:proofErr w:type="gramStart"/>
      <w:r>
        <w:rPr>
          <w:rFonts w:ascii="Times New Roman" w:eastAsia="Times New Roman" w:hAnsi="Times New Roman" w:cs="Times New Roman"/>
        </w:rPr>
        <w:t>differed</w:t>
      </w:r>
      <w:proofErr w:type="gramEnd"/>
      <w:r>
        <w:rPr>
          <w:rFonts w:ascii="Times New Roman" w:eastAsia="Times New Roman" w:hAnsi="Times New Roman" w:cs="Times New Roman"/>
        </w:rPr>
        <w:t>.</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During each time step of both phases, an action event was presented by clamping the states of the units corresponding to that event’s 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proofErr w:type="spellStart"/>
      <w:r>
        <w:rPr>
          <w:rFonts w:ascii="Times New Roman" w:eastAsia="Times New Roman" w:hAnsi="Times New Roman" w:cs="Times New Roman"/>
          <w:i/>
          <w:iCs/>
        </w:rPr>
        <w:t xml:space="preserve">p </w:t>
      </w:r>
      <w:r>
        <w:rPr>
          <w:rFonts w:ascii="Times New Roman" w:eastAsia="Times New Roman" w:hAnsi="Times New Roman" w:cs="Times New Roman"/>
        </w:rPr>
        <w:t>at</w:t>
      </w:r>
      <w:proofErr w:type="spellEnd"/>
      <w:r>
        <w:rPr>
          <w:rFonts w:ascii="Times New Roman" w:eastAsia="Times New Roman" w:hAnsi="Times New Roman" w:cs="Times New Roman"/>
        </w:rPr>
        <w:t xml:space="preserve">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w:t>
      </w:r>
      <w:proofErr w:type="gramStart"/>
      <w:r>
        <w:rPr>
          <w:rFonts w:ascii="Times New Roman" w:eastAsia="Times New Roman" w:hAnsi="Times New Roman" w:cs="Times New Roman"/>
        </w:rPr>
        <w:t>test</w:t>
      </w:r>
      <w:proofErr w:type="gramEnd"/>
      <w:r>
        <w:rPr>
          <w:rFonts w:ascii="Times New Roman" w:eastAsia="Times New Roman" w:hAnsi="Times New Roman" w:cs="Times New Roman"/>
        </w:rPr>
        <w:t xml:space="preserve"> to simulate no further learning. The specific testing procedure depended on the </w:t>
      </w:r>
      <w:proofErr w:type="gramStart"/>
      <w:r>
        <w:rPr>
          <w:rFonts w:ascii="Times New Roman" w:eastAsia="Times New Roman" w:hAnsi="Times New Roman" w:cs="Times New Roman"/>
        </w:rPr>
        <w:t>simulation, but</w:t>
      </w:r>
      <w:proofErr w:type="gramEnd"/>
      <w:r>
        <w:rPr>
          <w:rFonts w:ascii="Times New Roman" w:eastAsia="Times New Roman" w:hAnsi="Times New Roman" w:cs="Times New Roman"/>
        </w:rPr>
        <w:t xml:space="preserve"> generally involved presenting two action events: one consistent with prior experience and one inconsistent with that experience. </w:t>
      </w:r>
    </w:p>
    <w:p w14:paraId="7EF74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The assumption that peripherally located obstacles have lower salience relative to centrally located ones was implemented by decreasing the learning rate and increasing the weight decay on the incoming and outgoing weights associated with the Obstacle Height and Obstacle Position groups. The learning rate value—which, importantly, 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As mentioned above, this manipulation did not apply to ALIAS-2. These values were kept constant across all simulations. This way of implementing salience aligns with past connectionist modeling work (e.g., Benton, 2025). Preliminary simulations showed that the current findings were robust across a range of parameter values. The assumption that arced trajectories clear obstacles by small margins was implemented by clamping the state of the Small Vertical Separation unit 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5C245D8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Although these values were somewhat arbitrary, they were held constant across simulations. </w:t>
      </w:r>
      <w:r w:rsidR="005A5F23">
        <w:rPr>
          <w:rFonts w:ascii="Times New Roman" w:eastAsia="Times New Roman" w:hAnsi="Times New Roman" w:cs="Times New Roman"/>
        </w:rPr>
        <w:t>As above, p</w:t>
      </w:r>
      <w:r>
        <w:rPr>
          <w:rFonts w:ascii="Times New Roman" w:eastAsia="Times New Roman" w:hAnsi="Times New Roman" w:cs="Times New Roman"/>
        </w:rPr>
        <w:t>reliminary simulations indicated that the current results were</w:t>
      </w:r>
      <w:r w:rsidR="00AB76C2">
        <w:rPr>
          <w:rFonts w:ascii="Times New Roman" w:eastAsia="Times New Roman" w:hAnsi="Times New Roman" w:cs="Times New Roman"/>
        </w:rPr>
        <w:t xml:space="preserve"> </w:t>
      </w:r>
      <w:r>
        <w:rPr>
          <w:rFonts w:ascii="Times New Roman" w:eastAsia="Times New Roman" w:hAnsi="Times New Roman" w:cs="Times New Roman"/>
        </w:rPr>
        <w:t xml:space="preserve">robust to </w:t>
      </w:r>
      <w:r w:rsidR="00775855">
        <w:rPr>
          <w:rFonts w:ascii="Times New Roman" w:eastAsia="Times New Roman" w:hAnsi="Times New Roman" w:cs="Times New Roman"/>
        </w:rPr>
        <w:t>different parameter values</w:t>
      </w:r>
      <w:r>
        <w:rPr>
          <w:rFonts w:ascii="Times New Roman" w:eastAsia="Times New Roman" w:hAnsi="Times New Roman" w:cs="Times New Roman"/>
        </w:rPr>
        <w:t>.</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VOM10 and VOM10-2, the dependent measure was activation of the critical units; lower activation corresponded to longer looking, as in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7"/>
                          <a:srcRect/>
                          <a:stretch>
                            <a:fillRect/>
                          </a:stretch>
                        </pic:blipFill>
                        <pic:spPr>
                          <a:xfrm>
                            <a:off x="0" y="0"/>
                            <a:ext cx="3601381" cy="2203153"/>
                          </a:xfrm>
                          <a:prstGeom prst="rect">
                            <a:avLst/>
                          </a:prstGeom>
                          <a:ln/>
                        </pic:spPr>
                      </pic:pic>
                    </a:graphicData>
                  </a:graphic>
                </wp:inline>
              </w:drawing>
            </w:r>
          </w:p>
        </w:tc>
      </w:tr>
    </w:tbl>
    <w:p w14:paraId="2AD0C6C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(Left) Network error collapsed across habituation lengths. (Right) Error as a function of habituation length. Data shown were generated by ALIAS.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
                          <a:srcRect/>
                          <a:stretch>
                            <a:fillRect/>
                          </a:stretch>
                        </pic:blipFill>
                        <pic:spPr>
                          <a:xfrm>
                            <a:off x="0" y="0"/>
                            <a:ext cx="4778540" cy="2940640"/>
                          </a:xfrm>
                          <a:prstGeom prst="rect">
                            <a:avLst/>
                          </a:prstGeom>
                          <a:ln/>
                        </pic:spPr>
                      </pic:pic>
                    </a:graphicData>
                  </a:graphic>
                </wp:inline>
              </w:drawing>
            </w:r>
          </w:p>
        </w:tc>
      </w:tr>
    </w:tbl>
    <w:p w14:paraId="5180AE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5232070" cy="3219736"/>
                          </a:xfrm>
                          <a:prstGeom prst="rect">
                            <a:avLst/>
                          </a:prstGeom>
                          <a:ln/>
                        </pic:spPr>
                      </pic:pic>
                    </a:graphicData>
                  </a:graphic>
                </wp:inline>
              </w:drawing>
            </w:r>
          </w:p>
        </w:tc>
      </w:tr>
    </w:tbl>
    <w:p w14:paraId="504A5EB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w:t>
      </w:r>
      <w:proofErr w:type="gramStart"/>
      <w:r>
        <w:rPr>
          <w:rFonts w:ascii="Times New Roman" w:eastAsia="Times New Roman" w:hAnsi="Times New Roman" w:cs="Times New Roman"/>
        </w:rPr>
        <w:t>the Efficient</w:t>
      </w:r>
      <w:proofErr w:type="gramEnd"/>
      <w:r>
        <w:rPr>
          <w:rFonts w:ascii="Times New Roman" w:eastAsia="Times New Roman" w:hAnsi="Times New Roman" w:cs="Times New Roman"/>
        </w:rPr>
        <w:t xml:space="preserve"> than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in </w:t>
      </w:r>
      <w:proofErr w:type="gramStart"/>
      <w:r>
        <w:rPr>
          <w:rFonts w:ascii="Times New Roman" w:eastAsia="Times New Roman" w:hAnsi="Times New Roman" w:cs="Times New Roman"/>
        </w:rPr>
        <w:t>the Control</w:t>
      </w:r>
      <w:proofErr w:type="gramEnd"/>
      <w:r>
        <w:rPr>
          <w:rFonts w:ascii="Times New Roman" w:eastAsia="Times New Roman" w:hAnsi="Times New Roman" w:cs="Times New Roman"/>
        </w:rPr>
        <w:t xml:space="preserve">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0"/>
                          <a:srcRect/>
                          <a:stretch>
                            <a:fillRect/>
                          </a:stretch>
                        </pic:blipFill>
                        <pic:spPr>
                          <a:xfrm>
                            <a:off x="0" y="0"/>
                            <a:ext cx="4634428" cy="2835121"/>
                          </a:xfrm>
                          <a:prstGeom prst="rect">
                            <a:avLst/>
                          </a:prstGeom>
                          <a:ln/>
                        </pic:spPr>
                      </pic:pic>
                    </a:graphicData>
                  </a:graphic>
                </wp:inline>
              </w:drawing>
            </w:r>
          </w:p>
        </w:tc>
      </w:tr>
    </w:tbl>
    <w:p w14:paraId="568BB26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Data shown </w:t>
      </w:r>
      <w:proofErr w:type="gramStart"/>
      <w:r>
        <w:rPr>
          <w:rFonts w:ascii="Times New Roman" w:eastAsia="Times New Roman" w:hAnsi="Times New Roman" w:cs="Times New Roman"/>
          <w:color w:val="000000"/>
        </w:rPr>
        <w:t>were</w:t>
      </w:r>
      <w:proofErr w:type="gramEnd"/>
      <w:r>
        <w:rPr>
          <w:rFonts w:ascii="Times New Roman" w:eastAsia="Times New Roman" w:hAnsi="Times New Roman" w:cs="Times New Roman"/>
          <w:color w:val="000000"/>
        </w:rPr>
        <w:t xml:space="preserve"> generated by ALIAS-2.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2A69517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w:t>
      </w:r>
      <w:r w:rsidR="007373DF">
        <w:rPr>
          <w:rFonts w:ascii="Times New Roman" w:eastAsia="Times New Roman" w:hAnsi="Times New Roman" w:cs="Times New Roman"/>
        </w:rPr>
        <w:t>A</w:t>
      </w:r>
      <w:r w:rsidR="007373DF">
        <w:rPr>
          <w:rFonts w:ascii="Times New Roman" w:eastAsia="Times New Roman" w:hAnsi="Times New Roman" w:cs="Times New Roman"/>
        </w:rPr>
        <w:t xml:space="preserve">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01634A78"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 xml:space="preserve">distinct hidden representations </w:t>
      </w:r>
      <w:r w:rsidR="007373DF">
        <w:rPr>
          <w:rFonts w:ascii="Times New Roman" w:eastAsia="Times New Roman" w:hAnsi="Times New Roman" w:cs="Times New Roman"/>
        </w:rPr>
        <w:t xml:space="preserve">capturing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77777777" w:rsidR="006F2F23" w:rsidRDefault="00000000">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4EDE1F8" wp14:editId="1502C2BC">
                  <wp:extent cx="5517518" cy="3678345"/>
                  <wp:effectExtent l="0" t="0" r="0" b="0"/>
                  <wp:docPr id="8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517518" cy="3678345"/>
                          </a:xfrm>
                          <a:prstGeom prst="rect">
                            <a:avLst/>
                          </a:prstGeom>
                          <a:ln/>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 xml:space="preserve">Mechanism underpinning ALIAS’s responses during the Inconsistent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w:t>
      </w:r>
      <w:proofErr w:type="gramStart"/>
      <w:r>
        <w:rPr>
          <w:rFonts w:ascii="Times New Roman" w:eastAsia="Times New Roman" w:hAnsi="Times New Roman" w:cs="Times New Roman"/>
        </w:rPr>
        <w:t>the Experimental</w:t>
      </w:r>
      <w:proofErr w:type="gramEnd"/>
      <w:r>
        <w:rPr>
          <w:rFonts w:ascii="Times New Roman" w:eastAsia="Times New Roman" w:hAnsi="Times New Roman" w:cs="Times New Roman"/>
        </w:rPr>
        <w:t xml:space="preserve">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w:t>
      </w:r>
      <w:r>
        <w:rPr>
          <w:rFonts w:ascii="Times New Roman" w:eastAsia="Times New Roman" w:hAnsi="Times New Roman" w:cs="Times New Roman"/>
        </w:rPr>
        <w:lastRenderedPageBreak/>
        <w:t>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77777777" w:rsidR="006F2F23" w:rsidRDefault="00000000">
      <w:pPr>
        <w:keepNext/>
        <w:spacing w:line="480" w:lineRule="auto"/>
        <w:jc w:val="center"/>
      </w:pPr>
      <w:r>
        <w:rPr>
          <w:noProof/>
        </w:rPr>
        <w:drawing>
          <wp:inline distT="0" distB="0" distL="0" distR="0" wp14:anchorId="25F55F65" wp14:editId="515968E7">
            <wp:extent cx="6001383" cy="4000922"/>
            <wp:effectExtent l="0" t="0" r="0" b="0"/>
            <wp:docPr id="9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2"/>
                    <a:srcRect/>
                    <a:stretch>
                      <a:fillRect/>
                    </a:stretch>
                  </pic:blipFill>
                  <pic:spPr>
                    <a:xfrm>
                      <a:off x="0" y="0"/>
                      <a:ext cx="6001383" cy="4000922"/>
                    </a:xfrm>
                    <a:prstGeom prst="rect">
                      <a:avLst/>
                    </a:prstGeom>
                    <a:ln/>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3CB72F9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Networks</w:t>
      </w:r>
      <w:r>
        <w:rPr>
          <w:rFonts w:ascii="Times New Roman" w:eastAsia="Times New Roman" w:hAnsi="Times New Roman" w:cs="Times New Roman"/>
        </w:rPr>
        <w:t>’</w:t>
      </w:r>
      <w:r>
        <w:rPr>
          <w:rFonts w:ascii="Times New Roman" w:eastAsia="Times New Roman" w:hAnsi="Times New Roman" w:cs="Times New Roman"/>
        </w:rPr>
        <w:t xml:space="preserve"> </w:t>
      </w:r>
      <w:r w:rsidR="00000000">
        <w:rPr>
          <w:rFonts w:ascii="Times New Roman" w:eastAsia="Times New Roman" w:hAnsi="Times New Roman" w:cs="Times New Roman"/>
        </w:rPr>
        <w:t xml:space="preserve">test responses can be understood as </w:t>
      </w:r>
      <w:r>
        <w:rPr>
          <w:rFonts w:ascii="Times New Roman" w:eastAsia="Times New Roman" w:hAnsi="Times New Roman" w:cs="Times New Roman"/>
        </w:rPr>
        <w:t>the</w:t>
      </w:r>
      <w:r>
        <w:rPr>
          <w:rFonts w:ascii="Times New Roman" w:eastAsia="Times New Roman" w:hAnsi="Times New Roman" w:cs="Times New Roman"/>
        </w:rPr>
        <w:t xml:space="preserve"> </w:t>
      </w:r>
      <w:r w:rsidR="00000000">
        <w:rPr>
          <w:rFonts w:ascii="Times New Roman" w:eastAsia="Times New Roman" w:hAnsi="Times New Roman" w:cs="Times New Roman"/>
        </w:rPr>
        <w:t xml:space="preserve">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w:t>
      </w:r>
      <w:r w:rsidR="00000000">
        <w:rPr>
          <w:rFonts w:ascii="Times New Roman" w:eastAsia="Times New Roman" w:hAnsi="Times New Roman" w:cs="Times New Roman"/>
        </w:rPr>
        <w:lastRenderedPageBreak/>
        <w:t xml:space="preserve">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w:t>
      </w:r>
      <w:r>
        <w:rPr>
          <w:rFonts w:ascii="Times New Roman" w:eastAsia="Times New Roman" w:hAnsi="Times New Roman" w:cs="Times New Roman"/>
        </w:rPr>
        <w:lastRenderedPageBreak/>
        <w:t>combined contribution of these two units to the network’s total error in the Inconsistent event 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77777777"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4"/>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3686519" cy="2255237"/>
                          </a:xfrm>
                          <a:prstGeom prst="rect">
                            <a:avLst/>
                          </a:prstGeom>
                          <a:ln/>
                        </pic:spPr>
                      </pic:pic>
                    </a:graphicData>
                  </a:graphic>
                </wp:inline>
              </w:drawing>
            </w:r>
          </w:p>
        </w:tc>
      </w:tr>
    </w:tbl>
    <w:p w14:paraId="450A49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Simulation 2 across conditions overall (left panel) and different habituation epochs (right panel).</w:t>
      </w:r>
      <w:r>
        <w:rPr>
          <w:rFonts w:ascii="Times New Roman" w:eastAsia="Times New Roman" w:hAnsi="Times New Roman" w:cs="Times New Roman"/>
          <w:color w:val="000000"/>
        </w:rPr>
        <w:t xml:space="preserve">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4703786" cy="2894637"/>
                          </a:xfrm>
                          <a:prstGeom prst="rect">
                            <a:avLst/>
                          </a:prstGeom>
                          <a:ln/>
                        </pic:spPr>
                      </pic:pic>
                    </a:graphicData>
                  </a:graphic>
                </wp:inline>
              </w:drawing>
            </w:r>
          </w:p>
        </w:tc>
      </w:tr>
    </w:tbl>
    <w:p w14:paraId="5BF5BB75"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Efficient and Inefficient test events in the Experimental and Control conditions for ALIAS-2</w:t>
      </w:r>
      <w:r>
        <w:rPr>
          <w:rFonts w:ascii="Times New Roman" w:eastAsia="Times New Roman" w:hAnsi="Times New Roman" w:cs="Times New Roman"/>
          <w:color w:val="000000"/>
        </w:rPr>
        <w:t>.</w:t>
      </w:r>
      <w:r>
        <w:rPr>
          <w:rFonts w:ascii="Times New Roman" w:eastAsia="Times New Roman" w:hAnsi="Times New Roman" w:cs="Times New Roman"/>
          <w:i/>
          <w:iCs/>
          <w:color w:val="000000"/>
        </w:rPr>
        <w:t xml:space="preserve"> </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w:t>
      </w:r>
      <w:r>
        <w:rPr>
          <w:rFonts w:ascii="Times New Roman" w:eastAsia="Times New Roman" w:hAnsi="Times New Roman" w:cs="Times New Roman"/>
        </w:rPr>
        <w:lastRenderedPageBreak/>
        <w:t xml:space="preserve">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possible to instantiate it within that framework. The approach taken here involved terminating the habituation event after the first object cleared the barrier but before it reached the second </w:t>
      </w:r>
      <w:r>
        <w:rPr>
          <w:rFonts w:ascii="Times New Roman" w:eastAsia="Times New Roman" w:hAnsi="Times New Roman" w:cs="Times New Roman"/>
        </w:rPr>
        <w:lastRenderedPageBreak/>
        <w:t xml:space="preserve">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second experiment, infants were habituated to a constrained action event except that the barrier was hidden behind an opaque screen. Infants could nonetheless see the second object and parts of the first object’s arced motion path.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3524858" cy="2819886"/>
                          </a:xfrm>
                          <a:prstGeom prst="rect">
                            <a:avLst/>
                          </a:prstGeom>
                          <a:ln/>
                        </pic:spPr>
                      </pic:pic>
                    </a:graphicData>
                  </a:graphic>
                </wp:inline>
              </w:drawing>
            </w:r>
          </w:p>
        </w:tc>
      </w:tr>
    </w:tbl>
    <w:p w14:paraId="4BA7AFA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w:t>
      </w:r>
      <w:proofErr w:type="gramStart"/>
      <w:r>
        <w:rPr>
          <w:rFonts w:ascii="Times New Roman" w:eastAsia="Times New Roman" w:hAnsi="Times New Roman" w:cs="Times New Roman"/>
        </w:rPr>
        <w:t>argue</w:t>
      </w:r>
      <w:proofErr w:type="gramEnd"/>
      <w:r>
        <w:rPr>
          <w:rFonts w:ascii="Times New Roman" w:eastAsia="Times New Roman" w:hAnsi="Times New Roman" w:cs="Times New Roman"/>
        </w:rPr>
        <w:t xml:space="preserve"> that even this simulation does not pose a sufficiently strong challenge to ALIAS and that a more compelling test of its explanatory scope would be to show that it can capture data from Liu and </w:t>
      </w:r>
      <w:proofErr w:type="spellStart"/>
      <w:r>
        <w:rPr>
          <w:rFonts w:ascii="Times New Roman" w:eastAsia="Times New Roman" w:hAnsi="Times New Roman" w:cs="Times New Roman"/>
        </w:rPr>
        <w:t>Spelke’s</w:t>
      </w:r>
      <w:proofErr w:type="spellEnd"/>
      <w:r>
        <w:rPr>
          <w:rFonts w:ascii="Times New Roman" w:eastAsia="Times New Roman" w:hAnsi="Times New Roman" w:cs="Times New Roman"/>
        </w:rPr>
        <w:t xml:space="preserve">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 xml:space="preserve">and constrained High, inefficient test events (Experiment 1) or on unconstrained versions of these events (Experiment 2).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overall (left) and across different habituation epochs (right). These experiments correspond to those in Liu and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xml:space="preserv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19 shows ALIAS’s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test event than to the Low, efficient one. Networks in Experiment 2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4"/>
                          <a:srcRect/>
                          <a:stretch>
                            <a:fillRect/>
                          </a:stretch>
                        </pic:blipFill>
                        <pic:spPr>
                          <a:xfrm>
                            <a:off x="0" y="0"/>
                            <a:ext cx="4103137" cy="2510103"/>
                          </a:xfrm>
                          <a:prstGeom prst="rect">
                            <a:avLst/>
                          </a:prstGeom>
                          <a:ln/>
                        </pic:spPr>
                      </pic:pic>
                    </a:graphicData>
                  </a:graphic>
                </wp:inline>
              </w:drawing>
            </w:r>
          </w:p>
        </w:tc>
      </w:tr>
    </w:tbl>
    <w:p w14:paraId="5FD41F7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Efficient and Inefficient test events in the Experimental (top row) and Control conditions (bottom row), both overall (left column) and across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No</w:t>
      </w:r>
      <w:proofErr w:type="gramEnd"/>
      <w:r>
        <w:rPr>
          <w:rFonts w:ascii="Times New Roman" w:eastAsia="Times New Roman" w:hAnsi="Times New Roman" w:cs="Times New Roman"/>
          <w:i/>
          <w:iCs/>
          <w:color w:val="000000"/>
        </w:rPr>
        <w:t xml:space="preserve">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Inefficient than to the 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Ineffective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w:t>
      </w:r>
      <w:proofErr w:type="gramStart"/>
      <w:r>
        <w:rPr>
          <w:rFonts w:ascii="Times New Roman" w:eastAsia="Times New Roman" w:hAnsi="Times New Roman" w:cs="Times New Roman"/>
        </w:rPr>
        <w:t>produced</w:t>
      </w:r>
      <w:proofErr w:type="gramEnd"/>
      <w:r>
        <w:rPr>
          <w:rFonts w:ascii="Times New Roman" w:eastAsia="Times New Roman" w:hAnsi="Times New Roman" w:cs="Times New Roman"/>
        </w:rPr>
        <w:t xml:space="preserve">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w:t>
      </w:r>
      <w:proofErr w:type="gramStart"/>
      <w:r>
        <w:rPr>
          <w:rFonts w:ascii="Times New Roman" w:eastAsia="Times New Roman" w:hAnsi="Times New Roman" w:cs="Times New Roman"/>
        </w:rPr>
        <w:t>the</w:t>
      </w:r>
      <w:r>
        <w:rPr>
          <w:rFonts w:ascii="Times New Roman" w:eastAsia="Times New Roman" w:hAnsi="Times New Roman" w:cs="Times New Roman"/>
          <w:i/>
          <w:iCs/>
        </w:rPr>
        <w:t xml:space="preserve"> </w:t>
      </w:r>
      <w:r>
        <w:rPr>
          <w:rFonts w:ascii="Times New Roman" w:eastAsia="Times New Roman" w:hAnsi="Times New Roman" w:cs="Times New Roman"/>
        </w:rPr>
        <w:t>Efficient</w:t>
      </w:r>
      <w:proofErr w:type="gramEnd"/>
      <w:r>
        <w:rPr>
          <w:rFonts w:ascii="Times New Roman" w:eastAsia="Times New Roman" w:hAnsi="Times New Roman" w:cs="Times New Roman"/>
        </w:rPr>
        <w:t xml:space="preserve"> than to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rather than precedes habituation, infants should show the canonical pattern of longer looking to the Inefficient than to the Efficient test event. In both cases</w:t>
      </w:r>
      <w:proofErr w:type="gramStart"/>
      <w:r>
        <w:rPr>
          <w:rFonts w:ascii="Times New Roman" w:eastAsia="Times New Roman" w:hAnsi="Times New Roman" w:cs="Times New Roman"/>
        </w:rPr>
        <w:t>, longer</w:t>
      </w:r>
      <w:proofErr w:type="gramEnd"/>
      <w:r>
        <w:rPr>
          <w:rFonts w:ascii="Times New Roman" w:eastAsia="Times New Roman" w:hAnsi="Times New Roman" w:cs="Times New Roman"/>
        </w:rPr>
        <w:t xml:space="preserve"> looking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2"/>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in the top row is the overall mean error to the Efficient and Inefficient test events for networks assigned either to the Experimental (top left) or to the Control condition (top right) in the Effective Action condition. Plotted in the middle row is the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w:t>
      </w:r>
      <w:proofErr w:type="gramStart"/>
      <w:r>
        <w:rPr>
          <w:rFonts w:ascii="Times New Roman" w:eastAsia="Times New Roman" w:hAnsi="Times New Roman" w:cs="Times New Roman"/>
        </w:rPr>
        <w:t>like it</w:t>
      </w:r>
      <w:proofErr w:type="gramEnd"/>
      <w:r>
        <w:rPr>
          <w:rFonts w:ascii="Times New Roman" w:eastAsia="Times New Roman" w:hAnsi="Times New Roman" w:cs="Times New Roman"/>
        </w:rPr>
        <w:t xml:space="preserve">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w:t>
      </w:r>
      <w:proofErr w:type="gramStart"/>
      <w:r>
        <w:rPr>
          <w:rFonts w:ascii="Times New Roman" w:eastAsia="Times New Roman" w:hAnsi="Times New Roman" w:cs="Times New Roman"/>
          <w:color w:val="000000"/>
        </w:rPr>
        <w:t>the Experimental</w:t>
      </w:r>
      <w:proofErr w:type="gramEnd"/>
      <w:r>
        <w:rPr>
          <w:rFonts w:ascii="Times New Roman" w:eastAsia="Times New Roman" w:hAnsi="Times New Roman" w:cs="Times New Roman"/>
          <w:color w:val="000000"/>
        </w:rPr>
        <w:t xml:space="preserve">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8"/>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9"/>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Barrierless, inefficient test event than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High, inefficient one. Thus, ALIAS predicts that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 xml:space="preserve">sine qua </w:t>
      </w:r>
      <w:proofErr w:type="gramStart"/>
      <w:r>
        <w:rPr>
          <w:rFonts w:ascii="Times New Roman" w:eastAsia="Times New Roman" w:hAnsi="Times New Roman" w:cs="Times New Roman"/>
          <w:i/>
          <w:iCs/>
        </w:rPr>
        <w:t>non</w:t>
      </w:r>
      <w:proofErr w:type="gramEnd"/>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65407</wp:posOffset>
                      </wp:positionH>
                      <wp:positionV relativeFrom="paragraph">
                        <wp:posOffset>182245</wp:posOffset>
                      </wp:positionV>
                      <wp:extent cx="1009650" cy="1406525"/>
                      <wp:effectExtent b="0" l="0" r="0" t="0"/>
                      <wp:wrapSquare wrapText="bothSides" distB="45720" distT="45720" distL="114300" distR="114300"/>
                      <wp:docPr id="3"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225425</wp:posOffset>
                      </wp:positionV>
                      <wp:extent cx="1009650" cy="1406525"/>
                      <wp:effectExtent b="0" l="0" r="0" t="0"/>
                      <wp:wrapSquare wrapText="bothSides" distB="45720" distT="45720" distL="114300" distR="114300"/>
                      <wp:docPr id="9"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1" name="image5.png"/>
                      <a:graphic>
                        <a:graphicData uri="http://schemas.openxmlformats.org/drawingml/2006/picture">
                          <pic:pic>
                            <pic:nvPicPr>
                              <pic:cNvPr id="0" name="image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223520</wp:posOffset>
                      </wp:positionV>
                      <wp:extent cx="1009650" cy="1406525"/>
                      <wp:effectExtent b="0" l="0" r="0" t="0"/>
                      <wp:wrapSquare wrapText="bothSides" distB="45720" distT="45720" distL="114300" distR="114300"/>
                      <wp:docPr id="5" name="image26.png"/>
                      <a:graphic>
                        <a:graphicData uri="http://schemas.openxmlformats.org/drawingml/2006/picture">
                          <pic:pic>
                            <pic:nvPicPr>
                              <pic:cNvPr id="0" name="image26.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223520</wp:posOffset>
                      </wp:positionV>
                      <wp:extent cx="1009650" cy="1406525"/>
                      <wp:effectExtent b="0" l="0" r="0" t="0"/>
                      <wp:wrapSquare wrapText="bothSides" distB="45720" distT="45720" distL="114300" distR="114300"/>
                      <wp:docPr id="4"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Non-sticky mittens </w:t>
            </w:r>
            <w:proofErr w:type="gramStart"/>
            <w:r>
              <w:rPr>
                <w:rFonts w:ascii="Times New Roman" w:eastAsia="Times New Roman" w:hAnsi="Times New Roman" w:cs="Times New Roman"/>
              </w:rPr>
              <w:t>training  constrained</w:t>
            </w:r>
            <w:proofErr w:type="gramEnd"/>
            <w:r>
              <w:rPr>
                <w:rFonts w:ascii="Times New Roman" w:eastAsia="Times New Roman" w:hAnsi="Times New Roman" w:cs="Times New Roman"/>
              </w:rPr>
              <w:t xml:space="preserve">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7" name="image30.png"/>
                      <a:graphic>
                        <a:graphicData uri="http://schemas.openxmlformats.org/drawingml/2006/picture">
                          <pic:pic>
                            <pic:nvPicPr>
                              <pic:cNvPr id="0" name="image30.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227965</wp:posOffset>
                      </wp:positionV>
                      <wp:extent cx="1009650" cy="1406525"/>
                      <wp:effectExtent b="0" l="0" r="0" t="0"/>
                      <wp:wrapSquare wrapText="bothSides" distB="45720" distT="45720" distL="114300" distR="114300"/>
                      <wp:docPr id="2" name="image12.png"/>
                      <a:graphic>
                        <a:graphicData uri="http://schemas.openxmlformats.org/drawingml/2006/picture">
                          <pic:pic>
                            <pic:nvPicPr>
                              <pic:cNvPr id="0" name="image1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228600</wp:posOffset>
                      </wp:positionV>
                      <wp:extent cx="1009650" cy="1406525"/>
                      <wp:effectExtent b="0" l="0" r="0" t="0"/>
                      <wp:wrapSquare wrapText="bothSides" distB="45720" distT="45720" distL="114300" distR="114300"/>
                      <wp:docPr id="6" name="image29.png"/>
                      <a:graphic>
                        <a:graphicData uri="http://schemas.openxmlformats.org/drawingml/2006/picture">
                          <pic:pic>
                            <pic:nvPicPr>
                              <pic:cNvPr id="0" name="image29.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228600</wp:posOffset>
                      </wp:positionV>
                      <wp:extent cx="1009650" cy="1406525"/>
                      <wp:effectExtent b="0" l="0" r="0" t="0"/>
                      <wp:wrapSquare wrapText="bothSides" distB="45720" distT="45720" distL="114300" distR="114300"/>
                      <wp:docPr id="10" name="image33.png"/>
                      <a:graphic>
                        <a:graphicData uri="http://schemas.openxmlformats.org/drawingml/2006/picture">
                          <pic:pic>
                            <pic:nvPicPr>
                              <pic:cNvPr id="0" name="image3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w:t>
      </w:r>
      <w:proofErr w:type="spellStart"/>
      <w:r>
        <w:rPr>
          <w:rFonts w:ascii="Times New Roman" w:eastAsia="Times New Roman" w:hAnsi="Times New Roman" w:cs="Times New Roman"/>
        </w:rPr>
        <w:t>Xs</w:t>
      </w:r>
      <w:proofErr w:type="spellEnd"/>
      <w:r>
        <w:rPr>
          <w:rFonts w:ascii="Times New Roman" w:eastAsia="Times New Roman" w:hAnsi="Times New Roman" w:cs="Times New Roman"/>
        </w:rPr>
        <w:t xml:space="preserve">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w:t>
      </w:r>
      <w:proofErr w:type="gramStart"/>
      <w:r>
        <w:rPr>
          <w:rFonts w:ascii="Times New Roman" w:eastAsia="Times New Roman" w:hAnsi="Times New Roman" w:cs="Times New Roman"/>
        </w:rPr>
        <w:t>the simulations</w:t>
      </w:r>
      <w:proofErr w:type="gramEnd"/>
      <w:r>
        <w:rPr>
          <w:rFonts w:ascii="Times New Roman" w:eastAsia="Times New Roman" w:hAnsi="Times New Roman" w:cs="Times New Roman"/>
        </w:rPr>
        <w:t xml:space="preserve">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w:t>
      </w:r>
      <w:proofErr w:type="gramStart"/>
      <w:r>
        <w:rPr>
          <w:rFonts w:ascii="Times New Roman" w:eastAsia="Times New Roman" w:hAnsi="Times New Roman" w:cs="Times New Roman"/>
        </w:rPr>
        <w:t>attributes’</w:t>
      </w:r>
      <w:proofErr w:type="gramEnd"/>
      <w:r>
        <w:rPr>
          <w:rFonts w:ascii="Times New Roman" w:eastAsia="Times New Roman" w:hAnsi="Times New Roman" w:cs="Times New Roman"/>
        </w:rPr>
        <w:t xml:space="preserve">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prevent the formation of those same associations. Additionally, extending the sticky-mittens-induced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 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w:t>
      </w:r>
      <w:proofErr w:type="gramStart"/>
      <w:r>
        <w:rPr>
          <w:rFonts w:ascii="Times New Roman" w:eastAsia="Times New Roman" w:hAnsi="Times New Roman" w:cs="Times New Roman"/>
        </w:rPr>
        <w:t>capacity</w:t>
      </w:r>
      <w:proofErr w:type="gramEnd"/>
      <w:r>
        <w:rPr>
          <w:rFonts w:ascii="Times New Roman" w:eastAsia="Times New Roman" w:hAnsi="Times New Roman" w:cs="Times New Roman"/>
        </w:rPr>
        <w:t xml:space="preserve">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xml:space="preserve">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3">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4">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5">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6">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7">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 xml:space="preserve">Benton, D. T. (2025).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8">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w:t>
      </w:r>
      <w:proofErr w:type="spellStart"/>
      <w:r>
        <w:rPr>
          <w:rFonts w:ascii="Times New Roman" w:eastAsia="Times New Roman" w:hAnsi="Times New Roman" w:cs="Times New Roman"/>
        </w:rPr>
        <w:t>chidev</w:t>
      </w:r>
      <w:proofErr w:type="spellEnd"/>
      <w:r>
        <w:rPr>
          <w:rFonts w:ascii="Times New Roman" w:eastAsia="Times New Roman" w:hAnsi="Times New Roman" w:cs="Times New Roman"/>
        </w:rPr>
        <w:t>/aacag119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9">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70">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71">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2">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R. S., </w:t>
      </w:r>
      <w:proofErr w:type="spellStart"/>
      <w:r>
        <w:rPr>
          <w:rFonts w:ascii="Times New Roman" w:eastAsia="Times New Roman" w:hAnsi="Times New Roman" w:cs="Times New Roman"/>
        </w:rPr>
        <w:t>Shinskey</w:t>
      </w:r>
      <w:proofErr w:type="spellEnd"/>
      <w:r>
        <w:rPr>
          <w:rFonts w:ascii="Times New Roman" w:eastAsia="Times New Roman" w:hAnsi="Times New Roman" w:cs="Times New Roman"/>
        </w:rPr>
        <w:t xml:space="preserve">, J. L., &amp; Schilling, T. H. (2000). Object permanence in five‐and‐a‐half‐month‐old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3">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w:t>
      </w:r>
      <w:proofErr w:type="spellStart"/>
      <w:r>
        <w:rPr>
          <w:rFonts w:ascii="Times New Roman" w:eastAsia="Times New Roman" w:hAnsi="Times New Roman" w:cs="Times New Roman"/>
        </w:rPr>
        <w:t>Siqueland</w:t>
      </w:r>
      <w:proofErr w:type="spellEnd"/>
      <w:r>
        <w:rPr>
          <w:rFonts w:ascii="Times New Roman" w:eastAsia="Times New Roman" w:hAnsi="Times New Roman" w:cs="Times New Roman"/>
        </w:rPr>
        <w:t xml:space="preserve">,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4">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5">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6">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7">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8">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9">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80">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81">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2">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3">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4">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5">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w:t>
      </w:r>
      <w:proofErr w:type="gramStart"/>
      <w:r>
        <w:rPr>
          <w:rFonts w:ascii="Times New Roman" w:eastAsia="Times New Roman" w:hAnsi="Times New Roman" w:cs="Times New Roman"/>
        </w:rPr>
        <w:t>attend to</w:t>
      </w:r>
      <w:proofErr w:type="gramEnd"/>
      <w:r>
        <w:rPr>
          <w:rFonts w:ascii="Times New Roman" w:eastAsia="Times New Roman" w:hAnsi="Times New Roman" w:cs="Times New Roman"/>
        </w:rPr>
        <w:t xml:space="preserve">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6">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7">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8">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9">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90">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91">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2">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3">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4">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5">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M., &amp; Ray, E. D. (2000). What is the significance of imitation in </w:t>
      </w:r>
      <w:proofErr w:type="gramStart"/>
      <w:r>
        <w:rPr>
          <w:rFonts w:ascii="Times New Roman" w:eastAsia="Times New Roman" w:hAnsi="Times New Roman" w:cs="Times New Roman"/>
        </w:rPr>
        <w:t>animals?.</w:t>
      </w:r>
      <w:proofErr w:type="gramEnd"/>
      <w:r>
        <w:rPr>
          <w:rFonts w:ascii="Times New Roman" w:eastAsia="Times New Roman" w:hAnsi="Times New Roman" w:cs="Times New Roman"/>
        </w:rPr>
        <w:t xml:space="preserve">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6">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7">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8">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9">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w:t>
      </w:r>
      <w:proofErr w:type="gramStart"/>
      <w:r>
        <w:rPr>
          <w:rFonts w:ascii="Times New Roman" w:eastAsia="Times New Roman" w:hAnsi="Times New Roman" w:cs="Times New Roman"/>
        </w:rPr>
        <w:t>as</w:t>
      </w:r>
      <w:proofErr w:type="gramEnd"/>
      <w:r>
        <w:rPr>
          <w:rFonts w:ascii="Times New Roman" w:eastAsia="Times New Roman" w:hAnsi="Times New Roman" w:cs="Times New Roman"/>
        </w:rPr>
        <w:t xml:space="preserve">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100">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101">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2">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3">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4">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5">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6">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w:t>
      </w:r>
      <w:proofErr w:type="gramStart"/>
      <w:r>
        <w:rPr>
          <w:rFonts w:ascii="Times New Roman" w:eastAsia="Times New Roman" w:hAnsi="Times New Roman" w:cs="Times New Roman"/>
        </w:rPr>
        <w:t>causality?.</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7">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(2019). Origins of the concepts cause, cost, and goal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8">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9">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10">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w:t>
      </w:r>
      <w:proofErr w:type="gramStart"/>
      <w:r>
        <w:rPr>
          <w:rFonts w:ascii="Times New Roman" w:eastAsia="Times New Roman" w:hAnsi="Times New Roman" w:cs="Times New Roman"/>
        </w:rPr>
        <w:t>the human</w:t>
      </w:r>
      <w:proofErr w:type="gramEnd"/>
      <w:r>
        <w:rPr>
          <w:rFonts w:ascii="Times New Roman" w:eastAsia="Times New Roman" w:hAnsi="Times New Roman" w:cs="Times New Roman"/>
        </w:rPr>
        <w:t xml:space="preserve">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11">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2">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3">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4">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5">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Muentener</w:t>
      </w:r>
      <w:proofErr w:type="spellEnd"/>
      <w:r>
        <w:rPr>
          <w:rFonts w:ascii="Times New Roman" w:eastAsia="Times New Roman" w:hAnsi="Times New Roman" w:cs="Times New Roman"/>
        </w:rPr>
        <w:t xml:space="preserve">,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6">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7">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8">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Nair, V., &amp; Hinton, G. E. (2010). Rectified linear units improve restricted </w:t>
      </w:r>
      <w:proofErr w:type="spellStart"/>
      <w:r>
        <w:rPr>
          <w:rFonts w:ascii="Times New Roman" w:eastAsia="Times New Roman" w:hAnsi="Times New Roman" w:cs="Times New Roman"/>
        </w:rPr>
        <w:t>boltzmann</w:t>
      </w:r>
      <w:proofErr w:type="spellEnd"/>
      <w:r>
        <w:rPr>
          <w:rFonts w:ascii="Times New Roman" w:eastAsia="Times New Roman" w:hAnsi="Times New Roman" w:cs="Times New Roman"/>
        </w:rPr>
        <w:t xml:space="preserve">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9">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20">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w:t>
      </w:r>
      <w:proofErr w:type="gramStart"/>
      <w:r>
        <w:rPr>
          <w:rFonts w:ascii="Times New Roman" w:eastAsia="Times New Roman" w:hAnsi="Times New Roman" w:cs="Times New Roman"/>
        </w:rPr>
        <w:t>beliefs?.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21">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O., Han, D., Kaplan, B. E., Xu, M., Bianco, C., Mukamel, R., &amp; Adolph, K. E. (2021). Children do not distinguish </w:t>
      </w:r>
      <w:proofErr w:type="gramStart"/>
      <w:r>
        <w:rPr>
          <w:rFonts w:ascii="Times New Roman" w:eastAsia="Times New Roman" w:hAnsi="Times New Roman" w:cs="Times New Roman"/>
        </w:rPr>
        <w:t>efficient</w:t>
      </w:r>
      <w:proofErr w:type="gramEnd"/>
      <w:r>
        <w:rPr>
          <w:rFonts w:ascii="Times New Roman" w:eastAsia="Times New Roman" w:hAnsi="Times New Roman" w:cs="Times New Roman"/>
        </w:rPr>
        <w:t xml:space="preserve">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2">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w:t>
      </w:r>
      <w:proofErr w:type="gramStart"/>
      <w:r>
        <w:rPr>
          <w:rFonts w:ascii="Times New Roman" w:eastAsia="Times New Roman" w:hAnsi="Times New Roman" w:cs="Times New Roman"/>
        </w:rPr>
        <w:t>deep?.</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3">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4">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5">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6">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7">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8">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9">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30">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(2012a). Golden Rule or </w:t>
      </w:r>
      <w:proofErr w:type="gramStart"/>
      <w:r>
        <w:rPr>
          <w:rFonts w:ascii="Times New Roman" w:eastAsia="Times New Roman" w:hAnsi="Times New Roman" w:cs="Times New Roman"/>
        </w:rPr>
        <w:t>valence</w:t>
      </w:r>
      <w:proofErr w:type="gramEnd"/>
      <w:r>
        <w:rPr>
          <w:rFonts w:ascii="Times New Roman" w:eastAsia="Times New Roman" w:hAnsi="Times New Roman" w:cs="Times New Roman"/>
        </w:rPr>
        <w:t xml:space="preserv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31">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w:t>
      </w:r>
      <w:proofErr w:type="spellStart"/>
      <w:r>
        <w:rPr>
          <w:rFonts w:ascii="Times New Roman" w:eastAsia="Times New Roman" w:hAnsi="Times New Roman" w:cs="Times New Roman"/>
        </w:rPr>
        <w:t>Amso</w:t>
      </w:r>
      <w:proofErr w:type="spellEnd"/>
      <w:r>
        <w:rPr>
          <w:rFonts w:ascii="Times New Roman" w:eastAsia="Times New Roman" w:hAnsi="Times New Roman" w:cs="Times New Roman"/>
        </w:rPr>
        <w:t xml:space="preserve">,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2">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3">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4">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proofErr w:type="spellStart"/>
      <w:r>
        <w:rPr>
          <w:rFonts w:ascii="Times New Roman" w:eastAsia="Times New Roman" w:hAnsi="Times New Roman" w:cs="Times New Roman"/>
          <w:i/>
          <w:iCs/>
        </w:rPr>
        <w:t>PLoS</w:t>
      </w:r>
      <w:proofErr w:type="spellEnd"/>
      <w:r>
        <w:rPr>
          <w:rFonts w:ascii="Times New Roman" w:eastAsia="Times New Roman" w:hAnsi="Times New Roman" w:cs="Times New Roman"/>
          <w:i/>
          <w:iCs/>
        </w:rPr>
        <w:t xml:space="preserve">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5">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6">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7">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8">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9">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40">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(2013). First-person action experience reveals sensitivity to action efficiency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41">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w:t>
      </w:r>
      <w:proofErr w:type="gramStart"/>
      <w:r>
        <w:rPr>
          <w:rFonts w:ascii="Times New Roman" w:eastAsia="Times New Roman" w:hAnsi="Times New Roman" w:cs="Times New Roman"/>
        </w:rPr>
        <w:t>develops?.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2">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3">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4">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5">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w:t>
      </w:r>
      <w:proofErr w:type="spellStart"/>
      <w:r>
        <w:rPr>
          <w:rFonts w:ascii="Times New Roman" w:eastAsia="Times New Roman" w:hAnsi="Times New Roman" w:cs="Times New Roman"/>
        </w:rPr>
        <w:t>Breinlinger</w:t>
      </w:r>
      <w:proofErr w:type="spellEnd"/>
      <w:r>
        <w:rPr>
          <w:rFonts w:ascii="Times New Roman" w:eastAsia="Times New Roman" w:hAnsi="Times New Roman" w:cs="Times New Roman"/>
        </w:rPr>
        <w:t xml:space="preserve">,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6">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7">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lastRenderedPageBreak/>
        <w:t>Vallortigara</w:t>
      </w:r>
      <w:proofErr w:type="spellEnd"/>
      <w:r>
        <w:rPr>
          <w:rFonts w:ascii="Times New Roman" w:eastAsia="Times New Roman" w:hAnsi="Times New Roman" w:cs="Times New Roman"/>
        </w:rPr>
        <w:t xml:space="preserve">, G., </w:t>
      </w:r>
      <w:proofErr w:type="spellStart"/>
      <w:r>
        <w:rPr>
          <w:rFonts w:ascii="Times New Roman" w:eastAsia="Times New Roman" w:hAnsi="Times New Roman" w:cs="Times New Roman"/>
        </w:rPr>
        <w:t>Regolin</w:t>
      </w:r>
      <w:proofErr w:type="spellEnd"/>
      <w:r>
        <w:rPr>
          <w:rFonts w:ascii="Times New Roman" w:eastAsia="Times New Roman" w:hAnsi="Times New Roman" w:cs="Times New Roman"/>
        </w:rPr>
        <w:t xml:space="preserve">, L., &amp; </w:t>
      </w:r>
      <w:proofErr w:type="spellStart"/>
      <w:r>
        <w:rPr>
          <w:rFonts w:ascii="Times New Roman" w:eastAsia="Times New Roman" w:hAnsi="Times New Roman" w:cs="Times New Roman"/>
        </w:rPr>
        <w:t>Marconato</w:t>
      </w:r>
      <w:proofErr w:type="spellEnd"/>
      <w:r>
        <w:rPr>
          <w:rFonts w:ascii="Times New Roman" w:eastAsia="Times New Roman" w:hAnsi="Times New Roman" w:cs="Times New Roman"/>
        </w:rPr>
        <w:t xml:space="preserve">, F. (2005). Visually inexperienced chicks exhibit spontaneous preference for biological motion patterns. </w:t>
      </w:r>
      <w:proofErr w:type="spellStart"/>
      <w:r>
        <w:rPr>
          <w:rFonts w:ascii="Times New Roman" w:eastAsia="Times New Roman" w:hAnsi="Times New Roman" w:cs="Times New Roman"/>
        </w:rPr>
        <w:t>PLoS</w:t>
      </w:r>
      <w:proofErr w:type="spellEnd"/>
      <w:r>
        <w:rPr>
          <w:rFonts w:ascii="Times New Roman" w:eastAsia="Times New Roman" w:hAnsi="Times New Roman" w:cs="Times New Roman"/>
        </w:rPr>
        <w:t xml:space="preserve">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8">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Pr>
          <w:rFonts w:ascii="Times New Roman" w:eastAsia="Times New Roman" w:hAnsi="Times New Roman" w:cs="Times New Roman"/>
          <w:i/>
          <w:iCs/>
        </w:rPr>
        <w:t>NeuroImage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9">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50">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51">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w:t>
      </w:r>
      <w:proofErr w:type="gramStart"/>
      <w:r>
        <w:rPr>
          <w:rFonts w:ascii="Times New Roman" w:eastAsia="Times New Roman" w:hAnsi="Times New Roman" w:cs="Times New Roman"/>
        </w:rPr>
        <w:t>negligently</w:t>
      </w:r>
      <w:proofErr w:type="gramEnd"/>
      <w:r>
        <w:rPr>
          <w:rFonts w:ascii="Times New Roman" w:eastAsia="Times New Roman" w:hAnsi="Times New Roman" w:cs="Times New Roman"/>
        </w:rPr>
        <w:t xml:space="preserve">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2">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3">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4">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5">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6">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7">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8"/>
      <w:headerReference w:type="default" r:id="rId159"/>
      <w:footerReference w:type="even" r:id="rId160"/>
      <w:footerReference w:type="default" r:id="rId161"/>
      <w:headerReference w:type="first" r:id="rId162"/>
      <w:footerReference w:type="first" r:id="rId16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0840A" w14:textId="77777777" w:rsidR="002E3D4E" w:rsidRDefault="002E3D4E">
      <w:pPr>
        <w:spacing w:after="0" w:line="240" w:lineRule="auto"/>
      </w:pPr>
      <w:r>
        <w:separator/>
      </w:r>
    </w:p>
  </w:endnote>
  <w:endnote w:type="continuationSeparator" w:id="0">
    <w:p w14:paraId="4FCC1B30" w14:textId="77777777" w:rsidR="002E3D4E" w:rsidRDefault="002E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AA8E8349-E4C6-4008-97AD-15485FBD8890}"/>
    <w:embedItalic r:id="rId2" w:fontKey="{DD8A624A-2696-4FF6-A7F3-7C22E23AA394}"/>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D501F0C8-2D0D-4752-8D3D-06D8533148C5}"/>
    <w:embedItalic r:id="rId4" w:fontKey="{ABD34048-11D3-4B21-A284-EF82FE11F58F}"/>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A7D70C6A-F30B-4E50-8C3D-85FD7010E02C}"/>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673DCEE-C1DB-4F1B-83F3-A93929DE9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298BE" w14:textId="77777777" w:rsidR="002E3D4E" w:rsidRDefault="002E3D4E">
      <w:pPr>
        <w:spacing w:after="0" w:line="240" w:lineRule="auto"/>
      </w:pPr>
      <w:r>
        <w:separator/>
      </w:r>
    </w:p>
  </w:footnote>
  <w:footnote w:type="continuationSeparator" w:id="0">
    <w:p w14:paraId="713AB5B4" w14:textId="77777777" w:rsidR="002E3D4E" w:rsidRDefault="002E3D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93283"/>
    <w:rsid w:val="000F519A"/>
    <w:rsid w:val="0018493C"/>
    <w:rsid w:val="002069A3"/>
    <w:rsid w:val="002E3D4E"/>
    <w:rsid w:val="003142D3"/>
    <w:rsid w:val="003E1AD7"/>
    <w:rsid w:val="00571F1F"/>
    <w:rsid w:val="00591A74"/>
    <w:rsid w:val="005A5F23"/>
    <w:rsid w:val="006F2F23"/>
    <w:rsid w:val="007373DF"/>
    <w:rsid w:val="00775855"/>
    <w:rsid w:val="007B6549"/>
    <w:rsid w:val="00933C4E"/>
    <w:rsid w:val="009D32CE"/>
    <w:rsid w:val="00A14809"/>
    <w:rsid w:val="00A55E1A"/>
    <w:rsid w:val="00AB76C2"/>
    <w:rsid w:val="00B34A9D"/>
    <w:rsid w:val="00B71F1A"/>
    <w:rsid w:val="00E807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11/1467-7687.00021%20" TargetMode="External"/><Relationship Id="rId21" Type="http://schemas.openxmlformats.org/officeDocument/2006/relationships/image" Target="media/image12.png"/><Relationship Id="rId42" Type="http://schemas.openxmlformats.org/officeDocument/2006/relationships/image" Target="media/image34.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016/S0885-2014(97)90008-3" TargetMode="External"/><Relationship Id="rId159" Type="http://schemas.openxmlformats.org/officeDocument/2006/relationships/header" Target="header2.xml"/><Relationship Id="rId107" Type="http://schemas.openxmlformats.org/officeDocument/2006/relationships/hyperlink" Target="https://doi.org/10.1016/S0010-0277(87)80006-9"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45.png"/><Relationship Id="rId74" Type="http://schemas.openxmlformats.org/officeDocument/2006/relationships/hyperlink" Target="https://doi.org/10.1016/0022-0965(83)90085-3%20" TargetMode="External"/><Relationship Id="rId128" Type="http://schemas.openxmlformats.org/officeDocument/2006/relationships/hyperlink" Target="https://doi.org/10.1207/S15327078IN0101_04%20" TargetMode="External"/><Relationship Id="rId149" Type="http://schemas.openxmlformats.org/officeDocument/2006/relationships/hyperlink" Target="https://doi.org/10.1016/j.neuroimage.2010.05.028" TargetMode="External"/><Relationship Id="rId5" Type="http://schemas.openxmlformats.org/officeDocument/2006/relationships/footnotes" Target="footnotes.xml"/><Relationship Id="rId95" Type="http://schemas.openxmlformats.org/officeDocument/2006/relationships/hyperlink" Target="https://doi.org/10.1177/17456916221112075" TargetMode="External"/><Relationship Id="rId160" Type="http://schemas.openxmlformats.org/officeDocument/2006/relationships/footer" Target="footer1.xml"/><Relationship Id="rId22" Type="http://schemas.openxmlformats.org/officeDocument/2006/relationships/image" Target="media/image13.png"/><Relationship Id="rId43" Type="http://schemas.openxmlformats.org/officeDocument/2006/relationships/image" Target="media/image35.png"/><Relationship Id="rId64" Type="http://schemas.openxmlformats.org/officeDocument/2006/relationships/hyperlink" Target="https://doi.org/10.1111/j.1467-8624.1991.tb01602.x" TargetMode="External"/><Relationship Id="rId118" Type="http://schemas.openxmlformats.org/officeDocument/2006/relationships/hyperlink" Target="https://doi.org/10.1037/0033-295X.104.4.686%20" TargetMode="External"/><Relationship Id="rId139" Type="http://schemas.openxmlformats.org/officeDocument/2006/relationships/hyperlink" Target="https://doi.org/10.1521/soco.2025.43.3.152"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207/s15327078in0701_6%20"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1.png"/><Relationship Id="rId103" Type="http://schemas.openxmlformats.org/officeDocument/2006/relationships/hyperlink" Target="https://doi.org/10.1016/j.cogdev.2005.04.004" TargetMode="External"/><Relationship Id="rId108" Type="http://schemas.openxmlformats.org/officeDocument/2006/relationships/hyperlink" Target="https://doi.org/10.1073/pnas.1904786116%20" TargetMode="External"/><Relationship Id="rId124" Type="http://schemas.openxmlformats.org/officeDocument/2006/relationships/hyperlink" Target="https://doi.org/10.1016/j.cognition.2004.11.005" TargetMode="External"/><Relationship Id="rId129" Type="http://schemas.openxmlformats.org/officeDocument/2006/relationships/hyperlink" Target="https://doi.org/10.1111/j.1540-5834.2008.00469.x" TargetMode="External"/><Relationship Id="rId54" Type="http://schemas.openxmlformats.org/officeDocument/2006/relationships/image" Target="media/image46.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016/S0163-6383(98)90001-7%20" TargetMode="External"/><Relationship Id="rId96" Type="http://schemas.openxmlformats.org/officeDocument/2006/relationships/hyperlink" Target="https://doi.org/10.1162/neco.1989.1.1.143" TargetMode="External"/><Relationship Id="rId140" Type="http://schemas.openxmlformats.org/officeDocument/2006/relationships/hyperlink" Target="https://doi.org/10.1016/S1364-6613(02)01926-5" TargetMode="External"/><Relationship Id="rId145" Type="http://schemas.openxmlformats.org/officeDocument/2006/relationships/hyperlink" Target="https://doi.org/10.1016/j.cognition.2004.07.004%20" TargetMode="External"/><Relationship Id="rId16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1.png"/><Relationship Id="rId114" Type="http://schemas.openxmlformats.org/officeDocument/2006/relationships/hyperlink" Target="https://doi.org/10.1111/j.0956-7976.2004.00755.x" TargetMode="External"/><Relationship Id="rId119" Type="http://schemas.openxmlformats.org/officeDocument/2006/relationships/hyperlink" Target="https://doi.org/10.1016/S0010-0277(96)00727-5"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038/323533a0" TargetMode="External"/><Relationship Id="rId135" Type="http://schemas.openxmlformats.org/officeDocument/2006/relationships/hyperlink" Target="https://doi.org/10.1371/journal.pone.0023223" TargetMode="External"/><Relationship Id="rId151" Type="http://schemas.openxmlformats.org/officeDocument/2006/relationships/hyperlink" Target="https://doi.org/10.1016/j.cogdev.2012.08.004" TargetMode="External"/><Relationship Id="rId156" Type="http://schemas.openxmlformats.org/officeDocument/2006/relationships/hyperlink" Target="https://doi.org/10.1111/1467-8721.ep10772615"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16/j.cognition.2016.12.007" TargetMode="External"/><Relationship Id="rId34" Type="http://schemas.openxmlformats.org/officeDocument/2006/relationships/image" Target="media/image25.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16/S0885-2014(02)00124-7" TargetMode="External"/><Relationship Id="rId97" Type="http://schemas.openxmlformats.org/officeDocument/2006/relationships/hyperlink" Target="https://doi.org/10.1037/0012-1649.19.3.338" TargetMode="External"/><Relationship Id="rId104" Type="http://schemas.openxmlformats.org/officeDocument/2006/relationships/hyperlink" Target="https://doi.org/10.1016/0010-0285(83)90017-8" TargetMode="External"/><Relationship Id="rId120" Type="http://schemas.openxmlformats.org/officeDocument/2006/relationships/hyperlink" Target="https://doi.org/10.1016/S0163-6383(02)00097-8%20" TargetMode="External"/><Relationship Id="rId125" Type="http://schemas.openxmlformats.org/officeDocument/2006/relationships/hyperlink" Target="https://doi.org/10.1037/xge0000260%20" TargetMode="External"/><Relationship Id="rId141" Type="http://schemas.openxmlformats.org/officeDocument/2006/relationships/hyperlink" Target="https://doi.org/10.1073/pnas.1318053110%20" TargetMode="External"/><Relationship Id="rId146" Type="http://schemas.openxmlformats.org/officeDocument/2006/relationships/hyperlink" Target="https://doi.org/10.1037/0033-295X.99.4.605"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016/j.cognition.2012.11.007%20" TargetMode="External"/><Relationship Id="rId92" Type="http://schemas.openxmlformats.org/officeDocument/2006/relationships/hyperlink" Target="https://doi.org/10.1177/0963721412470687" TargetMode="External"/><Relationship Id="rId162" Type="http://schemas.openxmlformats.org/officeDocument/2006/relationships/header" Target="header3.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j.dr.2022.101034"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desc.13581" TargetMode="External"/><Relationship Id="rId115" Type="http://schemas.openxmlformats.org/officeDocument/2006/relationships/hyperlink" Target="https://doi.org/10.1016/j.tics.2023.09.001" TargetMode="External"/><Relationship Id="rId131" Type="http://schemas.openxmlformats.org/officeDocument/2006/relationships/hyperlink" Target="https://doi.org/10.1371/journal.pone.0042698" TargetMode="External"/><Relationship Id="rId136" Type="http://schemas.openxmlformats.org/officeDocument/2006/relationships/hyperlink" Target="https://doi.org/10.1207/s15327078in1003_6" TargetMode="External"/><Relationship Id="rId157" Type="http://schemas.openxmlformats.org/officeDocument/2006/relationships/hyperlink" Target="https://doi.org/10.2307/1130473" TargetMode="External"/><Relationship Id="rId61" Type="http://schemas.openxmlformats.org/officeDocument/2006/relationships/image" Target="media/image53.png"/><Relationship Id="rId82" Type="http://schemas.openxmlformats.org/officeDocument/2006/relationships/hyperlink" Target="https://doi.org/10.1016/S0010-0277(99)00039-6" TargetMode="External"/><Relationship Id="rId152" Type="http://schemas.openxmlformats.org/officeDocument/2006/relationships/hyperlink" Target="https://doi.org/10.1016/j.cognition.2017.06.029"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8.png"/><Relationship Id="rId77" Type="http://schemas.openxmlformats.org/officeDocument/2006/relationships/hyperlink" Target="https://doi.org/10.1111/1467-7687.00220"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37/0096-1523.18.2.385" TargetMode="External"/><Relationship Id="rId126" Type="http://schemas.openxmlformats.org/officeDocument/2006/relationships/hyperlink" Target="https://doi.org/10.1016/j.cognition.2017.09.007" TargetMode="External"/><Relationship Id="rId147" Type="http://schemas.openxmlformats.org/officeDocument/2006/relationships/hyperlink" Target="https://doi.org/10.1002/icd.2359"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j.tics.2022.12.014" TargetMode="External"/><Relationship Id="rId93" Type="http://schemas.openxmlformats.org/officeDocument/2006/relationships/hyperlink" Target="https://doi.org/10.1016/j.cogdev.2010.09.001" TargetMode="External"/><Relationship Id="rId98" Type="http://schemas.openxmlformats.org/officeDocument/2006/relationships/hyperlink" Target="https://doi.org/10.1016/j.tics.2016.05.011%20" TargetMode="External"/><Relationship Id="rId121" Type="http://schemas.openxmlformats.org/officeDocument/2006/relationships/hyperlink" Target="https://doi.org/10.1126/science.1107621" TargetMode="External"/><Relationship Id="rId142" Type="http://schemas.openxmlformats.org/officeDocument/2006/relationships/hyperlink" Target="https://doi.org/10.1111/j.1551-6709.2010.01129.x" TargetMode="External"/><Relationship Id="rId163" Type="http://schemas.openxmlformats.org/officeDocument/2006/relationships/footer" Target="footer3.xm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8.png"/><Relationship Id="rId67" Type="http://schemas.openxmlformats.org/officeDocument/2006/relationships/hyperlink" Target="https://doi.org/10.1002/icd.2355" TargetMode="External"/><Relationship Id="rId116" Type="http://schemas.openxmlformats.org/officeDocument/2006/relationships/hyperlink" Target="https://doi.org/10.1016/j.cogpsych.2010.02.001" TargetMode="External"/><Relationship Id="rId137" Type="http://schemas.openxmlformats.org/officeDocument/2006/relationships/hyperlink" Target="https://doi.org/10.1038/s44159-023-00152-5%20" TargetMode="External"/><Relationship Id="rId158"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3.png"/><Relationship Id="rId62" Type="http://schemas.openxmlformats.org/officeDocument/2006/relationships/image" Target="media/image130.png"/><Relationship Id="rId83" Type="http://schemas.openxmlformats.org/officeDocument/2006/relationships/hyperlink" Target="https://doi.org/10.1207/s15516709cog1402_1%20" TargetMode="External"/><Relationship Id="rId88" Type="http://schemas.openxmlformats.org/officeDocument/2006/relationships/hyperlink" Target="https://doi.org/10.1016/S1364-6613(03)00128-1" TargetMode="External"/><Relationship Id="rId111" Type="http://schemas.openxmlformats.org/officeDocument/2006/relationships/hyperlink" Target="https://doi.org/10.1037/0012-1649.36.5.635" TargetMode="External"/><Relationship Id="rId132" Type="http://schemas.openxmlformats.org/officeDocument/2006/relationships/hyperlink" Target="https://doi.org/10.1111/j.1467-7687.2012.01177.x" TargetMode="External"/><Relationship Id="rId153" Type="http://schemas.openxmlformats.org/officeDocument/2006/relationships/hyperlink" Target="https://doi.org/10.1016/S0010-0277(98)00058-4" TargetMode="External"/><Relationship Id="rId15" Type="http://schemas.openxmlformats.org/officeDocument/2006/relationships/image" Target="media/image31.png"/><Relationship Id="rId36" Type="http://schemas.openxmlformats.org/officeDocument/2006/relationships/image" Target="media/image27.png"/><Relationship Id="rId57" Type="http://schemas.openxmlformats.org/officeDocument/2006/relationships/image" Target="media/image49.png"/><Relationship Id="rId106" Type="http://schemas.openxmlformats.org/officeDocument/2006/relationships/hyperlink" Target="https://doi.org/10.1016/S0010-0277(98)00036-5" TargetMode="External"/><Relationship Id="rId127" Type="http://schemas.openxmlformats.org/officeDocument/2006/relationships/hyperlink" Target="https://doi.org/10.1037/1089-2680.1.3.271" TargetMode="Externa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4.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038/nature06288" TargetMode="External"/><Relationship Id="rId99" Type="http://schemas.openxmlformats.org/officeDocument/2006/relationships/hyperlink" Target="https://doi.org/10.1016/j.cognition.2015.03.006" TargetMode="External"/><Relationship Id="rId101" Type="http://schemas.openxmlformats.org/officeDocument/2006/relationships/hyperlink" Target="https://doi.org/10.1177/0956797615572806" TargetMode="External"/><Relationship Id="rId122" Type="http://schemas.openxmlformats.org/officeDocument/2006/relationships/hyperlink" Target="https://doi.org/10.1038/s41598-021-97354-9" TargetMode="External"/><Relationship Id="rId143" Type="http://schemas.openxmlformats.org/officeDocument/2006/relationships/hyperlink" Target="https://doi.org/10.1016/j.infbeh.2003.05.006" TargetMode="External"/><Relationship Id="rId148" Type="http://schemas.openxmlformats.org/officeDocument/2006/relationships/hyperlink" Target="https://doi.org/10.1371/journal.pbio.0030208" TargetMode="External"/><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9.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80/095400999116322" TargetMode="External"/><Relationship Id="rId133" Type="http://schemas.openxmlformats.org/officeDocument/2006/relationships/hyperlink" Target="https://doi.org/10.1080/09540090310001655093" TargetMode="External"/><Relationship Id="rId154" Type="http://schemas.openxmlformats.org/officeDocument/2006/relationships/hyperlink" Target="https://doi.org/10.1111/1467-9280.00218"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50.png"/><Relationship Id="rId79" Type="http://schemas.openxmlformats.org/officeDocument/2006/relationships/hyperlink" Target="https://doi.org/10.1037/0033-295X.112.2.347" TargetMode="External"/><Relationship Id="rId102" Type="http://schemas.openxmlformats.org/officeDocument/2006/relationships/hyperlink" Target="https://doi.org/10.1016/0885-2014(93)90008-S" TargetMode="External"/><Relationship Id="rId123" Type="http://schemas.openxmlformats.org/officeDocument/2006/relationships/hyperlink" Target="https://doi.org/10.1126/science.1111656" TargetMode="External"/><Relationship Id="rId144" Type="http://schemas.openxmlformats.org/officeDocument/2006/relationships/hyperlink" Target="https://doi.org/10.1146/annurev.ph.25.030163.002553" TargetMode="External"/><Relationship Id="rId90" Type="http://schemas.openxmlformats.org/officeDocument/2006/relationships/hyperlink" Target="https://doi.org/10.1016/j.jecp.2020.105035" TargetMode="External"/><Relationship Id="rId165" Type="http://schemas.openxmlformats.org/officeDocument/2006/relationships/theme" Target="theme/theme1.xml"/><Relationship Id="rId27" Type="http://schemas.openxmlformats.org/officeDocument/2006/relationships/image" Target="media/image18.png"/><Relationship Id="rId48" Type="http://schemas.openxmlformats.org/officeDocument/2006/relationships/image" Target="media/image40.png"/><Relationship Id="rId69" Type="http://schemas.openxmlformats.org/officeDocument/2006/relationships/hyperlink" Target="https://doi.org/10.1016/j.cogdev.2022.101164" TargetMode="External"/><Relationship Id="rId113" Type="http://schemas.openxmlformats.org/officeDocument/2006/relationships/hyperlink" Target="https://doi.org/10.1111/j.1467-7687.2007.00586.x%20" TargetMode="External"/><Relationship Id="rId134" Type="http://schemas.openxmlformats.org/officeDocument/2006/relationships/hyperlink" Target="https://doi.org/10.1098/rsos.191795" TargetMode="External"/><Relationship Id="rId80" Type="http://schemas.openxmlformats.org/officeDocument/2006/relationships/hyperlink" Target="https://doi.org/10.1111/1467-7687.00039" TargetMode="External"/><Relationship Id="rId155" Type="http://schemas.openxmlformats.org/officeDocument/2006/relationships/hyperlink" Target="https://doi.org/10.1038/358749a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80</Pages>
  <Words>16507</Words>
  <Characters>94095</Characters>
  <Application>Microsoft Office Word</Application>
  <DocSecurity>0</DocSecurity>
  <Lines>784</Lines>
  <Paragraphs>220</Paragraphs>
  <ScaleCrop>false</ScaleCrop>
  <Company/>
  <LinksUpToDate>false</LinksUpToDate>
  <CharactersWithSpaces>110382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14</cp:revision>
  <dcterms:created xsi:type="dcterms:W3CDTF">2026-07-07T01:25:00Z</dcterms:created>
  <dcterms:modified xsi:type="dcterms:W3CDTF">2026-07-08T03:02:00Z</dcterms:modified>
</cp:coreProperties>
</file>