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early-emerging,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10D525B9"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w:t>
      </w:r>
      <w:r w:rsidR="00A81191">
        <w:rPr>
          <w:rFonts w:ascii="Times New Roman" w:eastAsia="Times New Roman" w:hAnsi="Times New Roman" w:cs="Times New Roman"/>
        </w:rPr>
        <w:t>to use slides</w:t>
      </w:r>
      <w:r>
        <w:rPr>
          <w:rFonts w:ascii="Times New Roman" w:eastAsia="Times New Roman" w:hAnsi="Times New Roman" w:cs="Times New Roman"/>
        </w:rPr>
        <w:t xml:space="preserve"> after observing another child tumble down one. In general, determining an action’s efficiency—a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A55E1A">
        <w:rPr>
          <w:rFonts w:ascii="Times New Roman" w:eastAsia="Times New Roman" w:hAnsi="Times New Roman" w:cs="Times New Roman"/>
          <w:color w:val="000000" w:themeColor="text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Sodian et al., 2004; Woodward &amp; Sommerville, 2000). Importantly, the agent did not need to be self-propelled for infants to show this pattern (Figure 2A; e.g., Csibra et al., 1999; Kamewari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Csibra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Spelke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its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 xml:space="preserve">(Csibra &amp; Gergely, 1998; Gergely &amp; Csibra,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Lean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Eimas, 1997; Rakison &amp; Lupyan, 2008; Sloutsky, 2010). Although lean proposals abound for a range of cognitive capacities (Benton, 202, 2026; Benton &amp; Hoch, 2026; Benton &amp; Lapan, 2021; Benton et al., 2024; Berthiaume et al., 2013; Bogartz et al., 2000; Clearfield &amp; Mix, 1999; Cohen et al., 2002; Cohen &amp; Marks, 2002; McClelland &amp; Thompson, 2007; McMahon &amp; Isik, 2023; Munakata, 1998; Munakata et al., 1997; Perner &amp; Ruffman, 2005; Scarf et al., 2012a, 2012b; Schlesinger et al., 2012; Schlesinger &amp; Casey, 2013; Simon, 1997; Rakison &amp; Lupyan,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Overwalle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Csibra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Csibra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Csibra et al., 1999; Sodian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Csibra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Spelke,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F565B1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w:t>
      </w:r>
      <w:r w:rsidR="001B5B10">
        <w:rPr>
          <w:rFonts w:ascii="Times New Roman" w:eastAsia="Times New Roman" w:hAnsi="Times New Roman" w:cs="Times New Roman"/>
        </w:rPr>
        <w:t>relative to efficient actions</w:t>
      </w:r>
      <w:r>
        <w:rPr>
          <w:rFonts w:ascii="Times New Roman" w:eastAsia="Times New Roman" w:hAnsi="Times New Roman" w:cs="Times New Roman"/>
        </w:rPr>
        <w:t xml:space="preserve"> thus arises because inefficient actions</w:t>
      </w:r>
      <w:r w:rsidR="001B5B10">
        <w:rPr>
          <w:rFonts w:ascii="Times New Roman" w:eastAsia="Times New Roman" w:hAnsi="Times New Roman" w:cs="Times New Roman"/>
        </w:rPr>
        <w:t xml:space="preserve"> violate</w:t>
      </w:r>
      <w:r>
        <w:rPr>
          <w:rFonts w:ascii="Times New Roman" w:eastAsia="Times New Roman" w:hAnsi="Times New Roman" w:cs="Times New Roman"/>
        </w:rPr>
        <w:t xml:space="preserve"> learned association between arced trajectories and obstacles, </w:t>
      </w:r>
      <w:r w:rsidR="001B5B10">
        <w:rPr>
          <w:rFonts w:ascii="Times New Roman" w:eastAsia="Times New Roman" w:hAnsi="Times New Roman" w:cs="Times New Roman"/>
        </w:rPr>
        <w:t xml:space="preserve">thereby </w:t>
      </w:r>
      <w:r>
        <w:rPr>
          <w:rFonts w:ascii="Times New Roman" w:eastAsia="Times New Roman" w:hAnsi="Times New Roman" w:cs="Times New Roman"/>
        </w:rPr>
        <w:t>elicit</w:t>
      </w:r>
      <w:r w:rsidR="001B5B10">
        <w:rPr>
          <w:rFonts w:ascii="Times New Roman" w:eastAsia="Times New Roman" w:hAnsi="Times New Roman" w:cs="Times New Roman"/>
        </w:rPr>
        <w:t>ing</w:t>
      </w:r>
      <w:r>
        <w:rPr>
          <w:rFonts w:ascii="Times New Roman" w:eastAsia="Times New Roman" w:hAnsi="Times New Roman" w:cs="Times New Roman"/>
        </w:rPr>
        <w:t xml:space="preserve"> greater prediction error and</w:t>
      </w:r>
      <w:r w:rsidR="001B5B10">
        <w:rPr>
          <w:rFonts w:ascii="Times New Roman" w:eastAsia="Times New Roman" w:hAnsi="Times New Roman" w:cs="Times New Roman"/>
        </w:rPr>
        <w:t xml:space="preserve"> </w:t>
      </w:r>
      <w:r>
        <w:rPr>
          <w:rFonts w:ascii="Times New Roman" w:eastAsia="Times New Roman" w:hAnsi="Times New Roman" w:cs="Times New Roman"/>
        </w:rPr>
        <w:t xml:space="preserve">longer looking (assuming error is the basis of such looking). </w:t>
      </w:r>
    </w:p>
    <w:p w14:paraId="5B654787" w14:textId="26AA9BD5"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because, by being located peripheral to the arced trajectory, the barrier is less salient and thus less likely to be encoded. If infants notice the barrier, any new association </w:t>
      </w:r>
      <w:r w:rsidR="00A11752">
        <w:rPr>
          <w:rFonts w:ascii="Times New Roman" w:eastAsia="Times New Roman" w:hAnsi="Times New Roman" w:cs="Times New Roman"/>
        </w:rPr>
        <w:t xml:space="preserve">that is established </w:t>
      </w:r>
      <w:r>
        <w:rPr>
          <w:rFonts w:ascii="Times New Roman" w:eastAsia="Times New Roman" w:hAnsi="Times New Roman" w:cs="Times New Roman"/>
        </w:rPr>
        <w:t xml:space="preserve">will tend to weaken the </w:t>
      </w:r>
      <w:r w:rsidR="00A11752">
        <w:rPr>
          <w:rFonts w:ascii="Times New Roman" w:eastAsia="Times New Roman" w:hAnsi="Times New Roman" w:cs="Times New Roman"/>
        </w:rPr>
        <w:t>learned and much stronger one</w:t>
      </w:r>
      <w:r>
        <w:rPr>
          <w:rFonts w:ascii="Times New Roman" w:eastAsia="Times New Roman" w:hAnsi="Times New Roman" w:cs="Times New Roman"/>
        </w:rPr>
        <w:t xml:space="preserve"> 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error—and thus less looking—than inefficient ones. </w:t>
      </w:r>
    </w:p>
    <w:p w14:paraId="7766BB01" w14:textId="4119FF7C" w:rsidR="007E60D9" w:rsidRDefault="001B5B10">
      <w:pPr>
        <w:spacing w:after="0" w:line="480" w:lineRule="auto"/>
        <w:ind w:firstLine="720"/>
        <w:rPr>
          <w:rFonts w:ascii="Times New Roman" w:eastAsia="Times New Roman" w:hAnsi="Times New Roman" w:cs="Times New Roman"/>
        </w:rPr>
      </w:pPr>
      <w:r>
        <w:rPr>
          <w:rFonts w:ascii="Times New Roman" w:hAnsi="Times New Roman" w:cs="Times New Roman"/>
        </w:rPr>
        <w:t>One important question that this account raises concerns how</w:t>
      </w:r>
      <w:r w:rsidRPr="008B60F5">
        <w:rPr>
          <w:rFonts w:ascii="Times New Roman" w:hAnsi="Times New Roman" w:cs="Times New Roman"/>
        </w:rPr>
        <w:t xml:space="preserve"> pre-reaching infants detect a correspondence between their own reaches and those performed by others</w:t>
      </w:r>
      <w:r>
        <w:rPr>
          <w:rFonts w:ascii="Times New Roman" w:hAnsi="Times New Roman" w:cs="Times New Roman"/>
        </w:rPr>
        <w:t xml:space="preserve"> in the first place.</w:t>
      </w:r>
      <w:r w:rsidRPr="008B60F5">
        <w:rPr>
          <w:rFonts w:ascii="Times New Roman" w:hAnsi="Times New Roman" w:cs="Times New Roman"/>
        </w:rPr>
        <w:t xml:space="preserve"> </w:t>
      </w:r>
      <w:r w:rsidR="007E60D9" w:rsidRPr="007E60D9">
        <w:rPr>
          <w:rFonts w:ascii="Times New Roman" w:eastAsia="Times New Roman" w:hAnsi="Times New Roman" w:cs="Times New Roman"/>
        </w:rPr>
        <w:t>One possibility is that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observing their own arm </w:t>
      </w:r>
      <w:r w:rsidR="007E60D9">
        <w:rPr>
          <w:rFonts w:ascii="Times New Roman" w:eastAsia="Times New Roman" w:hAnsi="Times New Roman" w:cs="Times New Roman"/>
        </w:rPr>
        <w:t>movements</w:t>
      </w:r>
      <w:r>
        <w:rPr>
          <w:rFonts w:ascii="Times New Roman" w:eastAsia="Times New Roman" w:hAnsi="Times New Roman" w:cs="Times New Roman"/>
        </w:rPr>
        <w:t xml:space="preserve"> causes </w:t>
      </w:r>
      <w:r w:rsidR="007E60D9">
        <w:rPr>
          <w:rFonts w:ascii="Times New Roman" w:eastAsia="Times New Roman" w:hAnsi="Times New Roman" w:cs="Times New Roman"/>
        </w:rPr>
        <w:t>infants</w:t>
      </w:r>
      <w:r>
        <w:rPr>
          <w:rFonts w:ascii="Times New Roman" w:eastAsia="Times New Roman" w:hAnsi="Times New Roman" w:cs="Times New Roman"/>
        </w:rPr>
        <w:t xml:space="preserve"> to</w:t>
      </w:r>
      <w:r w:rsidR="007E60D9">
        <w:rPr>
          <w:rFonts w:ascii="Times New Roman" w:eastAsia="Times New Roman" w:hAnsi="Times New Roman" w:cs="Times New Roman"/>
        </w:rPr>
        <w:t xml:space="preserve"> form </w:t>
      </w:r>
      <w:r w:rsidR="007E60D9" w:rsidRPr="007E60D9">
        <w:rPr>
          <w:rFonts w:ascii="Times New Roman" w:eastAsia="Times New Roman" w:hAnsi="Times New Roman" w:cs="Times New Roman"/>
        </w:rPr>
        <w:t xml:space="preserve">amodal representations of </w:t>
      </w:r>
      <w:r w:rsidR="007E60D9">
        <w:rPr>
          <w:rFonts w:ascii="Times New Roman" w:eastAsia="Times New Roman" w:hAnsi="Times New Roman" w:cs="Times New Roman"/>
        </w:rPr>
        <w:t>the geometry and trajectory of those reaches.</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 xml:space="preserve">A corollary of this is that </w:t>
      </w:r>
      <w:r w:rsidR="00A24A0D">
        <w:rPr>
          <w:rFonts w:ascii="Times New Roman" w:eastAsia="Times New Roman" w:hAnsi="Times New Roman" w:cs="Times New Roman"/>
        </w:rPr>
        <w:lastRenderedPageBreak/>
        <w:t>efficient reaches enacted by others should be rendered more familiar due to their overlap with</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such amodal representations</w:t>
      </w:r>
      <w:r>
        <w:rPr>
          <w:rFonts w:ascii="Times New Roman" w:eastAsia="Times New Roman" w:hAnsi="Times New Roman" w:cs="Times New Roman"/>
        </w:rPr>
        <w:t>.</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account of these findings than any of the competitor models, five simulations are then reported.  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033F18B5" w:rsidR="006F2F23" w:rsidRDefault="008F2839" w:rsidP="00CD3B1B">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Two points are</w:t>
      </w:r>
      <w:r w:rsidR="00F3185B">
        <w:rPr>
          <w:rFonts w:ascii="Times New Roman" w:eastAsia="Times New Roman" w:hAnsi="Times New Roman" w:cs="Times New Roman"/>
        </w:rPr>
        <w:t xml:space="preserve"> worth noting before turning to the simulations</w:t>
      </w:r>
      <w:r>
        <w:rPr>
          <w:rFonts w:ascii="Times New Roman" w:eastAsia="Times New Roman" w:hAnsi="Times New Roman" w:cs="Times New Roman"/>
        </w:rPr>
        <w:t xml:space="preserve">. First, </w:t>
      </w:r>
      <w:r w:rsidR="00F3185B" w:rsidRPr="00F3185B">
        <w:rPr>
          <w:rFonts w:ascii="Times New Roman" w:eastAsia="Times New Roman" w:hAnsi="Times New Roman" w:cs="Times New Roman"/>
        </w:rPr>
        <w:t xml:space="preserve">ALIAS </w:t>
      </w:r>
      <w:r w:rsidR="00F3185B">
        <w:rPr>
          <w:rFonts w:ascii="Times New Roman" w:eastAsia="Times New Roman" w:hAnsi="Times New Roman" w:cs="Times New Roman"/>
        </w:rPr>
        <w:t xml:space="preserve">is </w:t>
      </w:r>
      <w:r w:rsidR="00F3185B" w:rsidRPr="00F3185B">
        <w:rPr>
          <w:rFonts w:ascii="Times New Roman" w:eastAsia="Times New Roman" w:hAnsi="Times New Roman" w:cs="Times New Roman"/>
        </w:rPr>
        <w:t xml:space="preserve">neither a theory of action efficiency understanding nor of how such a capacity develops. </w:t>
      </w:r>
      <w:r w:rsidR="00875845">
        <w:rPr>
          <w:rFonts w:ascii="Times New Roman" w:eastAsia="Times New Roman" w:hAnsi="Times New Roman" w:cs="Times New Roman"/>
        </w:rPr>
        <w:t>It is a</w:t>
      </w:r>
      <w:r w:rsidR="00F4722E">
        <w:rPr>
          <w:rFonts w:ascii="Times New Roman" w:eastAsia="Times New Roman" w:hAnsi="Times New Roman" w:cs="Times New Roman"/>
        </w:rPr>
        <w:t>n account of the mechanistic basis of</w:t>
      </w:r>
      <w:r w:rsidR="00875845">
        <w:rPr>
          <w:rFonts w:ascii="Times New Roman" w:eastAsia="Times New Roman" w:hAnsi="Times New Roman" w:cs="Times New Roman"/>
        </w:rPr>
        <w:t xml:space="preserve"> </w:t>
      </w:r>
      <w:r w:rsidR="00F3185B">
        <w:rPr>
          <w:rFonts w:ascii="Times New Roman" w:eastAsia="Times New Roman" w:hAnsi="Times New Roman" w:cs="Times New Roman"/>
        </w:rPr>
        <w:t xml:space="preserve">infants’ </w:t>
      </w:r>
      <w:r w:rsidR="00CD3B1B">
        <w:rPr>
          <w:rFonts w:ascii="Times New Roman" w:eastAsia="Times New Roman" w:hAnsi="Times New Roman" w:cs="Times New Roman"/>
        </w:rPr>
        <w:t xml:space="preserve">looking </w:t>
      </w:r>
      <w:r w:rsidR="00CD3B1B" w:rsidRPr="00F3185B">
        <w:rPr>
          <w:rFonts w:ascii="Times New Roman" w:eastAsia="Times New Roman" w:hAnsi="Times New Roman" w:cs="Times New Roman"/>
        </w:rPr>
        <w:t>behaviors</w:t>
      </w:r>
      <w:r w:rsidR="00F3185B" w:rsidRPr="00F3185B">
        <w:rPr>
          <w:rFonts w:ascii="Times New Roman" w:eastAsia="Times New Roman" w:hAnsi="Times New Roman" w:cs="Times New Roman"/>
        </w:rPr>
        <w:t xml:space="preserve"> in studies </w:t>
      </w:r>
      <w:r w:rsidR="007A1544">
        <w:rPr>
          <w:rFonts w:ascii="Times New Roman" w:eastAsia="Times New Roman" w:hAnsi="Times New Roman" w:cs="Times New Roman"/>
        </w:rPr>
        <w:t>on this topic.</w:t>
      </w:r>
      <w:r w:rsidR="00874297">
        <w:rPr>
          <w:rFonts w:ascii="Times New Roman" w:eastAsia="Times New Roman" w:hAnsi="Times New Roman" w:cs="Times New Roman"/>
        </w:rPr>
        <w:t xml:space="preserve"> </w:t>
      </w:r>
      <w:r w:rsidR="00075D5E">
        <w:rPr>
          <w:rFonts w:ascii="Times New Roman" w:eastAsia="Times New Roman" w:hAnsi="Times New Roman" w:cs="Times New Roman"/>
        </w:rPr>
        <w:t>This point is revisited in the General Discussion</w:t>
      </w:r>
      <w:r w:rsidR="00874297">
        <w:rPr>
          <w:rFonts w:ascii="Times New Roman" w:eastAsia="Times New Roman" w:hAnsi="Times New Roman" w:cs="Times New Roman"/>
        </w:rPr>
        <w:t xml:space="preserve">. </w:t>
      </w:r>
      <w:r>
        <w:rPr>
          <w:rFonts w:ascii="Times New Roman" w:eastAsia="Times New Roman" w:hAnsi="Times New Roman" w:cs="Times New Roman"/>
        </w:rPr>
        <w:t xml:space="preserve">Second, </w:t>
      </w:r>
      <w:r w:rsidR="00F233C3" w:rsidRPr="00F233C3">
        <w:rPr>
          <w:rFonts w:ascii="Times New Roman" w:eastAsia="Times New Roman" w:hAnsi="Times New Roman" w:cs="Times New Roman"/>
        </w:rPr>
        <w:t xml:space="preserve">demonstrating that </w:t>
      </w:r>
      <w:r w:rsidR="00F233C3">
        <w:rPr>
          <w:rFonts w:ascii="Times New Roman" w:eastAsia="Times New Roman" w:hAnsi="Times New Roman" w:cs="Times New Roman"/>
        </w:rPr>
        <w:t>ALIAS</w:t>
      </w:r>
      <w:r w:rsidR="00F233C3" w:rsidRPr="00F233C3">
        <w:rPr>
          <w:rFonts w:ascii="Times New Roman" w:eastAsia="Times New Roman" w:hAnsi="Times New Roman" w:cs="Times New Roman"/>
        </w:rPr>
        <w:t xml:space="preserve"> can capture the very same data as domain-specific proposals does not disprove them any more than </w:t>
      </w:r>
      <w:r w:rsidR="0021679C">
        <w:rPr>
          <w:rFonts w:ascii="Times New Roman" w:eastAsia="Times New Roman" w:hAnsi="Times New Roman" w:cs="Times New Roman"/>
        </w:rPr>
        <w:t xml:space="preserve">it </w:t>
      </w:r>
      <w:r w:rsidR="00875845">
        <w:rPr>
          <w:rFonts w:ascii="Times New Roman" w:eastAsia="Times New Roman" w:hAnsi="Times New Roman" w:cs="Times New Roman"/>
        </w:rPr>
        <w:t xml:space="preserve">establishes </w:t>
      </w:r>
      <w:r w:rsidR="0021679C">
        <w:rPr>
          <w:rFonts w:ascii="Times New Roman" w:eastAsia="Times New Roman" w:hAnsi="Times New Roman" w:cs="Times New Roman"/>
        </w:rPr>
        <w:t>ALIAS as the right account.</w:t>
      </w:r>
      <w:r w:rsidR="00F233C3" w:rsidRPr="00F233C3">
        <w:rPr>
          <w:rFonts w:ascii="Times New Roman" w:eastAsia="Times New Roman" w:hAnsi="Times New Roman" w:cs="Times New Roman"/>
        </w:rPr>
        <w:t xml:space="preserve"> </w:t>
      </w:r>
      <w:r w:rsidR="00875845">
        <w:rPr>
          <w:rFonts w:ascii="Times New Roman" w:eastAsia="Times New Roman" w:hAnsi="Times New Roman" w:cs="Times New Roman"/>
        </w:rPr>
        <w:t>Instead, it</w:t>
      </w:r>
      <w:r w:rsidR="00F233C3" w:rsidRPr="00F233C3">
        <w:rPr>
          <w:rFonts w:ascii="Times New Roman" w:eastAsia="Times New Roman" w:hAnsi="Times New Roman" w:cs="Times New Roman"/>
        </w:rPr>
        <w:t xml:space="preserve"> </w:t>
      </w:r>
      <w:r w:rsidR="001823E7" w:rsidRPr="00F233C3">
        <w:rPr>
          <w:rFonts w:ascii="Times New Roman" w:eastAsia="Times New Roman" w:hAnsi="Times New Roman" w:cs="Times New Roman"/>
        </w:rPr>
        <w:t>serves</w:t>
      </w:r>
      <w:r w:rsidR="00F233C3" w:rsidRPr="00F233C3">
        <w:rPr>
          <w:rFonts w:ascii="Times New Roman" w:eastAsia="Times New Roman" w:hAnsi="Times New Roman" w:cs="Times New Roman"/>
        </w:rPr>
        <w:t xml:space="preserve"> as proof of concept that infants’ behavior </w:t>
      </w:r>
      <w:r w:rsidR="00F233C3">
        <w:rPr>
          <w:rFonts w:ascii="Times New Roman" w:eastAsia="Times New Roman" w:hAnsi="Times New Roman" w:cs="Times New Roman"/>
        </w:rPr>
        <w:t>in these studies</w:t>
      </w:r>
      <w:r w:rsidR="00F233C3" w:rsidRPr="00F233C3">
        <w:rPr>
          <w:rFonts w:ascii="Times New Roman" w:eastAsia="Times New Roman" w:hAnsi="Times New Roman" w:cs="Times New Roman"/>
        </w:rPr>
        <w:t xml:space="preserve"> can emerge from more general processes</w:t>
      </w:r>
      <w:r w:rsidR="00841EA0">
        <w:rPr>
          <w:rFonts w:ascii="Times New Roman" w:eastAsia="Times New Roman" w:hAnsi="Times New Roman" w:cs="Times New Roman"/>
        </w:rPr>
        <w:t xml:space="preserve">, </w:t>
      </w:r>
      <w:r w:rsidR="0050035E">
        <w:rPr>
          <w:rFonts w:ascii="Times New Roman" w:eastAsia="Times New Roman" w:hAnsi="Times New Roman" w:cs="Times New Roman"/>
        </w:rPr>
        <w:t>thereby calling into</w:t>
      </w:r>
      <w:r w:rsidR="0021679C">
        <w:rPr>
          <w:rFonts w:ascii="Times New Roman" w:eastAsia="Times New Roman" w:hAnsi="Times New Roman" w:cs="Times New Roman"/>
        </w:rPr>
        <w:t xml:space="preserve"> </w:t>
      </w:r>
      <w:r w:rsidR="0050035E">
        <w:rPr>
          <w:rFonts w:ascii="Times New Roman" w:eastAsia="Times New Roman" w:hAnsi="Times New Roman" w:cs="Times New Roman"/>
        </w:rPr>
        <w:t xml:space="preserve">question whether </w:t>
      </w:r>
      <w:r w:rsidR="006F4CBC">
        <w:rPr>
          <w:rFonts w:ascii="Times New Roman" w:eastAsia="Times New Roman" w:hAnsi="Times New Roman" w:cs="Times New Roman"/>
        </w:rPr>
        <w:t>findings from these studies</w:t>
      </w:r>
      <w:r w:rsidR="00F233C3" w:rsidRPr="00F233C3">
        <w:rPr>
          <w:rFonts w:ascii="Times New Roman" w:eastAsia="Times New Roman" w:hAnsi="Times New Roman" w:cs="Times New Roman"/>
        </w:rPr>
        <w:t xml:space="preserve"> uniquely support domain-specific interpretations.</w:t>
      </w:r>
    </w:p>
    <w:p w14:paraId="177078C1" w14:textId="77777777" w:rsidR="00D56B0E" w:rsidRDefault="00D56B0E" w:rsidP="00CD3B1B">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a 5 ×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Overwalle, 2010). The overlaid curved path in each panel depicts the amount of arc motion the agent has completed through that time step. Two-headed arrows and the circular arrow denote bidirectional connectivity. As in Overwalle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4pt;margin-top:32.3pt;width:587.35pt;height:471.3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r>
        <w:rPr>
          <w:rFonts w:ascii="Times New Roman" w:eastAsia="Times New Roman" w:hAnsi="Times New Roman" w:cs="Times New Roman"/>
          <w:i/>
          <w:iCs/>
        </w:rPr>
        <w:t>i</w:t>
      </w:r>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r>
        <w:rPr>
          <w:rFonts w:ascii="Times New Roman" w:eastAsia="Times New Roman" w:hAnsi="Times New Roman" w:cs="Times New Roman"/>
          <w:i/>
          <w:iCs/>
        </w:rPr>
        <w:t>i</w:t>
      </w:r>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This provided the model with a rudimentary form of memory in which information from earlier time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particular coding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01F03470"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r w:rsidR="000445B4">
        <w:rPr>
          <w:rFonts w:ascii="Times New Roman" w:eastAsia="Times New Roman" w:hAnsi="Times New Roman" w:cs="Times New Roman"/>
        </w:rPr>
        <w:t xml:space="preserve"> A</w:t>
      </w:r>
      <w:r w:rsidR="000445B4" w:rsidRPr="000445B4">
        <w:rPr>
          <w:rFonts w:ascii="Times New Roman" w:eastAsia="Times New Roman" w:hAnsi="Times New Roman" w:cs="Times New Roman"/>
        </w:rPr>
        <w:t xml:space="preserve"> large number of object identities was used to ensure that the network learned regularities among action kinematics and visible event features rather than memorizing </w:t>
      </w:r>
      <w:r w:rsidR="000445B4">
        <w:rPr>
          <w:rFonts w:ascii="Times New Roman" w:eastAsia="Times New Roman" w:hAnsi="Times New Roman" w:cs="Times New Roman"/>
        </w:rPr>
        <w:t>particular associations among a small number of objects.</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0063204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w:t>
      </w:r>
      <w:r>
        <w:rPr>
          <w:rFonts w:ascii="Times New Roman" w:eastAsia="Times New Roman" w:hAnsi="Times New Roman" w:cs="Times New Roman"/>
        </w:rPr>
        <w:lastRenderedPageBreak/>
        <w:t xml:space="preserve">that learning and processing in infants is noisy. The network’s task at each time step was twofold. First, it was required to reproduce at the output layer the activation pattern presented across 10 of the 11 input groups. Second, it was required to predict that the position to the immediate right of the current position in the Horizontal Position input group would be active in the corresponding output group at the immediate next step.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 xml:space="preserve">unit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unfolds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0CF674A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w:t>
      </w:r>
      <w:r w:rsidR="00B34A9D">
        <w:rPr>
          <w:rFonts w:ascii="Times New Roman" w:eastAsia="Times New Roman" w:hAnsi="Times New Roman" w:cs="Times New Roman"/>
        </w:rPr>
        <w:t xml:space="preserve">during habituation </w:t>
      </w:r>
      <w:r>
        <w:rPr>
          <w:rFonts w:ascii="Times New Roman" w:eastAsia="Times New Roman" w:hAnsi="Times New Roman" w:cs="Times New Roman"/>
        </w:rPr>
        <w:t xml:space="preserve">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79FD66B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differed.</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During each time step of both phases, an action event was presented by clamping the states of the units corresponding to that event’s 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r>
        <w:rPr>
          <w:rFonts w:ascii="Times New Roman" w:eastAsia="Times New Roman" w:hAnsi="Times New Roman" w:cs="Times New Roman"/>
          <w:i/>
          <w:iCs/>
        </w:rPr>
        <w:t xml:space="preserve">p </w:t>
      </w:r>
      <w:r>
        <w:rPr>
          <w:rFonts w:ascii="Times New Roman" w:eastAsia="Times New Roman" w:hAnsi="Times New Roman" w:cs="Times New Roman"/>
        </w:rPr>
        <w:t xml:space="preserve">at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13EA9A4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test to simulate no further learning. The specific testing procedure depended on the simulation but generally involved presenting two action events: one consistent with prior experience and one inconsistent with that experience. </w:t>
      </w:r>
    </w:p>
    <w:p w14:paraId="7EF74B75" w14:textId="0054BAF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The assumption that peripherally located obstacles have lower salience relative to centrally located ones was implemented by decreasing the learning rate and increasing the weight decay on the incoming and outgoing weights associated with the Obstacle Height and Obstacle Position groups. The learning rate value—which, importantly, 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the weight decay value was 0.1. As mentioned above, this manipulation did not apply to ALIAS-2</w:t>
      </w:r>
      <w:r w:rsidR="002D382C">
        <w:rPr>
          <w:rFonts w:ascii="Times New Roman" w:eastAsia="Times New Roman" w:hAnsi="Times New Roman" w:cs="Times New Roman"/>
        </w:rPr>
        <w:t xml:space="preserve"> because all objects and features were equally salient in this model</w:t>
      </w:r>
      <w:r>
        <w:rPr>
          <w:rFonts w:ascii="Times New Roman" w:eastAsia="Times New Roman" w:hAnsi="Times New Roman" w:cs="Times New Roman"/>
        </w:rPr>
        <w:t xml:space="preserve">. These values were kept constant across all simulations. This way of implementing salience aligns with past connectionist modeling work (e.g., Benton, 2025). Preliminary simulations showed that the current findings were robust across a range of parameter values. The assumption that arced trajectories clear obstacles by small margins was implemented by clamping the state of the Small Vertical Separation unit 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5C245D8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Although these values were somewhat arbitrary, they were held constant across simulations. </w:t>
      </w:r>
      <w:r w:rsidR="005A5F23">
        <w:rPr>
          <w:rFonts w:ascii="Times New Roman" w:eastAsia="Times New Roman" w:hAnsi="Times New Roman" w:cs="Times New Roman"/>
        </w:rPr>
        <w:t>As above, p</w:t>
      </w:r>
      <w:r>
        <w:rPr>
          <w:rFonts w:ascii="Times New Roman" w:eastAsia="Times New Roman" w:hAnsi="Times New Roman" w:cs="Times New Roman"/>
        </w:rPr>
        <w:t>reliminary simulations indicated that the current results were</w:t>
      </w:r>
      <w:r w:rsidR="00AB76C2">
        <w:rPr>
          <w:rFonts w:ascii="Times New Roman" w:eastAsia="Times New Roman" w:hAnsi="Times New Roman" w:cs="Times New Roman"/>
        </w:rPr>
        <w:t xml:space="preserve"> </w:t>
      </w:r>
      <w:r>
        <w:rPr>
          <w:rFonts w:ascii="Times New Roman" w:eastAsia="Times New Roman" w:hAnsi="Times New Roman" w:cs="Times New Roman"/>
        </w:rPr>
        <w:t xml:space="preserve">robust to </w:t>
      </w:r>
      <w:r w:rsidR="00775855">
        <w:rPr>
          <w:rFonts w:ascii="Times New Roman" w:eastAsia="Times New Roman" w:hAnsi="Times New Roman" w:cs="Times New Roman"/>
        </w:rPr>
        <w:t>different parameter values</w:t>
      </w:r>
      <w:r>
        <w:rPr>
          <w:rFonts w:ascii="Times New Roman" w:eastAsia="Times New Roman" w:hAnsi="Times New Roman" w:cs="Times New Roman"/>
        </w:rPr>
        <w:t>.</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Rakison &amp; Lupyan,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VOM10 and VOM10-2, the dependent measure was activation of the critical units; lower activation corresponded to longer looking, as in Overwalle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srcRect/>
                          <a:stretch>
                            <a:fillRect/>
                          </a:stretch>
                        </pic:blipFill>
                        <pic:spPr>
                          <a:xfrm>
                            <a:off x="0" y="0"/>
                            <a:ext cx="3601381" cy="2203153"/>
                          </a:xfrm>
                          <a:prstGeom prst="rect">
                            <a:avLst/>
                          </a:prstGeom>
                          <a:ln/>
                        </pic:spPr>
                      </pic:pic>
                    </a:graphicData>
                  </a:graphic>
                </wp:inline>
              </w:drawing>
            </w:r>
          </w:p>
        </w:tc>
      </w:tr>
    </w:tbl>
    <w:p w14:paraId="2AD0C6C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(Left) Network error collapsed across habituation lengths. (Right) Error as a function of habituation length. Data shown were generated by ALIAS.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Figure 6 shows ALIAS’s responses across the conditions. Networks in the Experimental condition produced greater error to the Inefficient than to the Efficient test event in the Experimental condition. In contrast, networks in the Control condition produced equivalent error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7"/>
                          <a:srcRect/>
                          <a:stretch>
                            <a:fillRect/>
                          </a:stretch>
                        </pic:blipFill>
                        <pic:spPr>
                          <a:xfrm>
                            <a:off x="0" y="0"/>
                            <a:ext cx="4778540" cy="2940640"/>
                          </a:xfrm>
                          <a:prstGeom prst="rect">
                            <a:avLst/>
                          </a:prstGeom>
                          <a:ln/>
                        </pic:spPr>
                      </pic:pic>
                    </a:graphicData>
                  </a:graphic>
                </wp:inline>
              </w:drawing>
            </w:r>
          </w:p>
        </w:tc>
      </w:tr>
    </w:tbl>
    <w:p w14:paraId="5180AE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5232070" cy="3219736"/>
                          </a:xfrm>
                          <a:prstGeom prst="rect">
                            <a:avLst/>
                          </a:prstGeom>
                          <a:ln/>
                        </pic:spPr>
                      </pic:pic>
                    </a:graphicData>
                  </a:graphic>
                </wp:inline>
              </w:drawing>
            </w:r>
          </w:p>
        </w:tc>
      </w:tr>
    </w:tbl>
    <w:p w14:paraId="504A5EB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9"/>
                          <a:srcRect/>
                          <a:stretch>
                            <a:fillRect/>
                          </a:stretch>
                        </pic:blipFill>
                        <pic:spPr>
                          <a:xfrm>
                            <a:off x="0" y="0"/>
                            <a:ext cx="4634428" cy="2835121"/>
                          </a:xfrm>
                          <a:prstGeom prst="rect">
                            <a:avLst/>
                          </a:prstGeom>
                          <a:ln/>
                        </pic:spPr>
                      </pic:pic>
                    </a:graphicData>
                  </a:graphic>
                </wp:inline>
              </w:drawing>
            </w:r>
          </w:p>
        </w:tc>
      </w:tr>
    </w:tbl>
    <w:p w14:paraId="568BB26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Data shown were generated by ALIAS-2.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2A69517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01634A78"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 xml:space="preserve">distinct hidden representations </w:t>
      </w:r>
      <w:r w:rsidR="007373DF">
        <w:rPr>
          <w:rFonts w:ascii="Times New Roman" w:eastAsia="Times New Roman" w:hAnsi="Times New Roman" w:cs="Times New Roman"/>
        </w:rPr>
        <w:t xml:space="preserve">capturing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5E11FC7F" w:rsidR="006F2F23" w:rsidRDefault="00C81B3C">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108460" wp14:editId="3E0D2F44">
                  <wp:extent cx="6523200" cy="4348800"/>
                  <wp:effectExtent l="0" t="0" r="0" b="0"/>
                  <wp:docPr id="3336990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99078" name="Picture 33369907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23200" cy="4348800"/>
                          </a:xfrm>
                          <a:prstGeom prst="rect">
                            <a:avLst/>
                          </a:prstGeom>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Mechanism underpinning ALIAS’s responses during the Inconsistent test event in the Experimental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the Experimental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w:t>
      </w:r>
      <w:r>
        <w:rPr>
          <w:rFonts w:ascii="Times New Roman" w:eastAsia="Times New Roman" w:hAnsi="Times New Roman" w:cs="Times New Roman"/>
        </w:rPr>
        <w:lastRenderedPageBreak/>
        <w:t>between them. Although habituation was much shorter than the pretraining phase, networks’ 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4D0A8DB4" w:rsidR="006F2F23" w:rsidRDefault="00FA254A" w:rsidP="00C81B3C">
      <w:pPr>
        <w:keepNext/>
        <w:spacing w:line="480" w:lineRule="auto"/>
      </w:pPr>
      <w:r>
        <w:rPr>
          <w:noProof/>
        </w:rPr>
        <w:drawing>
          <wp:inline distT="0" distB="0" distL="0" distR="0" wp14:anchorId="28EB0F61" wp14:editId="1FCE07C7">
            <wp:extent cx="6521570" cy="4347713"/>
            <wp:effectExtent l="0" t="0" r="0" b="0"/>
            <wp:docPr id="16381293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29380" name="Picture 16381293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28441" cy="4352294"/>
                    </a:xfrm>
                    <a:prstGeom prst="rect">
                      <a:avLst/>
                    </a:prstGeom>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the Experimental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3CB72F9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w:t>
      </w:r>
      <w:r>
        <w:rPr>
          <w:rFonts w:ascii="Times New Roman" w:eastAsia="Times New Roman" w:hAnsi="Times New Roman" w:cs="Times New Roman"/>
        </w:rPr>
        <w:lastRenderedPageBreak/>
        <w:t xml:space="preserve">associated with the Inefficient test event caused four output features to be correctly activated and three to be incorrectly activated. The first three were correctly activated due to associations 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t>
      </w:r>
      <w:r>
        <w:rPr>
          <w:rFonts w:ascii="Times New Roman" w:eastAsia="Times New Roman" w:hAnsi="Times New Roman" w:cs="Times New Roman"/>
        </w:rPr>
        <w:lastRenderedPageBreak/>
        <w:t>were activated because they were linked to some of this event’s input features (e.g., Obstacle Height 0, Obstacle Horizontal Position Missing, etc.) during pretraining. Importantly, the combined contribution of these two units to the network’s total error in the Inconsistent event 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77777777"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2"/>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3"/>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4"/>
                          <a:srcRect/>
                          <a:stretch>
                            <a:fillRect/>
                          </a:stretch>
                        </pic:blipFill>
                        <pic:spPr>
                          <a:xfrm>
                            <a:off x="0" y="0"/>
                            <a:ext cx="3686519" cy="2255237"/>
                          </a:xfrm>
                          <a:prstGeom prst="rect">
                            <a:avLst/>
                          </a:prstGeom>
                          <a:ln/>
                        </pic:spPr>
                      </pic:pic>
                    </a:graphicData>
                  </a:graphic>
                </wp:inline>
              </w:drawing>
            </w:r>
          </w:p>
        </w:tc>
      </w:tr>
    </w:tbl>
    <w:p w14:paraId="450A49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Simulation 2 across conditions overall (left panel) and different habituation epochs (right panel).</w:t>
      </w:r>
      <w:r>
        <w:rPr>
          <w:rFonts w:ascii="Times New Roman" w:eastAsia="Times New Roman" w:hAnsi="Times New Roman" w:cs="Times New Roman"/>
          <w:color w:val="000000"/>
        </w:rPr>
        <w:t xml:space="preserve">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5"/>
                          <a:srcRect/>
                          <a:stretch>
                            <a:fillRect/>
                          </a:stretch>
                        </pic:blipFill>
                        <pic:spPr>
                          <a:xfrm>
                            <a:off x="0" y="0"/>
                            <a:ext cx="4703786" cy="2894637"/>
                          </a:xfrm>
                          <a:prstGeom prst="rect">
                            <a:avLst/>
                          </a:prstGeom>
                          <a:ln/>
                        </pic:spPr>
                      </pic:pic>
                    </a:graphicData>
                  </a:graphic>
                </wp:inline>
              </w:drawing>
            </w:r>
          </w:p>
        </w:tc>
      </w:tr>
    </w:tbl>
    <w:p w14:paraId="5BF5BB75"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Efficient and Inefficient test events in the Experimental and Control conditions for ALIAS-2</w:t>
      </w:r>
      <w:r>
        <w:rPr>
          <w:rFonts w:ascii="Times New Roman" w:eastAsia="Times New Roman" w:hAnsi="Times New Roman" w:cs="Times New Roman"/>
          <w:color w:val="000000"/>
        </w:rPr>
        <w:t>.</w:t>
      </w:r>
      <w:r>
        <w:rPr>
          <w:rFonts w:ascii="Times New Roman" w:eastAsia="Times New Roman" w:hAnsi="Times New Roman" w:cs="Times New Roman"/>
          <w:i/>
          <w:iCs/>
          <w:color w:val="000000"/>
        </w:rPr>
        <w:t xml:space="preserve"> </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w:t>
      </w:r>
      <w:r>
        <w:rPr>
          <w:rFonts w:ascii="Times New Roman" w:eastAsia="Times New Roman" w:hAnsi="Times New Roman" w:cs="Times New Roman"/>
        </w:rPr>
        <w:lastRenderedPageBreak/>
        <w:t xml:space="preserve">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Csibra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possible to instantiate it within that framework. The approach taken here involved terminating the habituation event after the first object cleared the barrier but before it reached the second </w:t>
      </w:r>
      <w:r>
        <w:rPr>
          <w:rFonts w:ascii="Times New Roman" w:eastAsia="Times New Roman" w:hAnsi="Times New Roman" w:cs="Times New Roman"/>
        </w:rPr>
        <w:lastRenderedPageBreak/>
        <w:t xml:space="preserve">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 a second experiment, infants were habituated to a constrained action event except that the barrier was hidden behind an opaque screen. Infants could nonetheless see the second object and parts of the first object’s arced motion path. Csibra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6"/>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7"/>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8"/>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error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2"/>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3524858" cy="2819886"/>
                          </a:xfrm>
                          <a:prstGeom prst="rect">
                            <a:avLst/>
                          </a:prstGeom>
                          <a:ln/>
                        </pic:spPr>
                      </pic:pic>
                    </a:graphicData>
                  </a:graphic>
                </wp:inline>
              </w:drawing>
            </w:r>
          </w:p>
        </w:tc>
      </w:tr>
    </w:tbl>
    <w:p w14:paraId="4BA7AFA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event.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argue that even this simulation does not pose a sufficiently strong challenge to ALIAS and that a more compelling test of its explanatory scope would be to show that it can capture data from Liu and Spelke’s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and constrained High, inefficient test events (Experiment 1) or on unconstrained versions of these events (Experiment 2). Liu and Spelke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Spelke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Overwalle’s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mean error to the High, inefficient and Low, efficient test events across experiments overall (left) and across different habituation epochs (right). These experiments correspond to those in Liu and Spelke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Figure 19 shows ALIAS’s responses. Networks in Experiments 1 and 3 produced more error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error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8"/>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event—its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9"/>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mean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error to the High, inefficient test event than to the Low, efficient one. Networks in Experiment 2 produced equivalent error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the Effective Action condition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0"/>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4103137" cy="2510103"/>
                          </a:xfrm>
                          <a:prstGeom prst="rect">
                            <a:avLst/>
                          </a:prstGeom>
                          <a:ln/>
                        </pic:spPr>
                      </pic:pic>
                    </a:graphicData>
                  </a:graphic>
                </wp:inline>
              </w:drawing>
            </w:r>
          </w:p>
        </w:tc>
      </w:tr>
    </w:tbl>
    <w:p w14:paraId="5FD41F7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Performance of ALIAS in the Effective Action condition</w:t>
      </w:r>
      <w:r>
        <w:rPr>
          <w:rFonts w:ascii="Times New Roman" w:eastAsia="Times New Roman" w:hAnsi="Times New Roman" w:cs="Times New Roman"/>
          <w:color w:val="000000"/>
        </w:rPr>
        <w:t>. Plotted is networks’ mean error to the Efficient and Inefficient test events in the Experimental (top row) and Control conditions (bottom row), both overall (left column) and across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the Effective Action condition.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the No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error to the Inefficient than to the 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Performance of ALIAS in the Ineffective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produced more error to the</w:t>
      </w:r>
      <w:r>
        <w:rPr>
          <w:rFonts w:ascii="Times New Roman" w:eastAsia="Times New Roman" w:hAnsi="Times New Roman" w:cs="Times New Roman"/>
          <w:i/>
          <w:iCs/>
        </w:rPr>
        <w:t xml:space="preserve"> </w:t>
      </w:r>
      <w:r>
        <w:rPr>
          <w:rFonts w:ascii="Times New Roman" w:eastAsia="Times New Roman" w:hAnsi="Times New Roman" w:cs="Times New Roman"/>
        </w:rPr>
        <w:t>Efficient than to the Inefficient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 xml:space="preserve">rather than precedes habituation, infants should show the canonical pattern of longer looking to the Inefficient than to the Efficient test event. In both cases, longer looking to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Plotted in the top row is the overall mean error to the Efficient and Inefficient test events for networks assigned either to the Experimental (top left) or to the Control condition (top right) in the Effective Action condition. Plotted in the middle row is the overall mean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like it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the Experimental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7"/>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error to the Barrierless, inefficient test event than to the High, inefficient one. Thus, ALIAS predicts that infants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An open question in the developmental cognitive sciences concerns when and how action efficiency understanding develops. One widely accepted answer is that infants interpret actions in terms of specialized mechanisms and abstract efficiency-based notions of action (e.g., Csibra &amp; Gergely, 1998; Gergely &amp; Csibra,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sine qua non</w:t>
      </w:r>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Csibra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Liu &amp; Spelke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DD94E7B" id="Text Box 3" o:spid="_x0000_s1027" type="#_x0000_t202" style="position:absolute;margin-left:5.15pt;margin-top:14.35pt;width:79.5pt;height:110.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" filled="f" stroked="f">
                      <v:textbox style="mso-fit-shape-to-text:t">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6A42CFCE" id="Text Box 9" o:spid="_x0000_s1028" type="#_x0000_t202" style="position:absolute;margin-left:-.6pt;margin-top:17.75pt;width:79.5pt;height:110.6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" filled="f" stroked="f">
                      <v:textbox style="mso-fit-shape-to-text:t">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333159B" id="Text Box 1" o:spid="_x0000_s1029" type="#_x0000_t202" style="position:absolute;margin-left:-.6pt;margin-top:17.95pt;width:79.5pt;height:110.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" filled="f" stroked="f">
                      <v:textbox style="mso-fit-shape-to-text:t">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C5ED81B" id="Text Box 5" o:spid="_x0000_s1030" type="#_x0000_t202" style="position:absolute;margin-left:-.6pt;margin-top:17.6pt;width:79.5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" filled="f" stroked="f">
                      <v:textbox style="mso-fit-shape-to-text:t">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7248683D" id="Text Box 4" o:spid="_x0000_s1031" type="#_x0000_t202" style="position:absolute;margin-left:-.45pt;margin-top:17.6pt;width:79.5pt;height:110.6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" filled="f" stroked="f">
                      <v:textbox style="mso-fit-shape-to-text:t">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Non-sticky mittens training  constrained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102BE75" id="Text Box 7" o:spid="_x0000_s1032" type="#_x0000_t202" style="position:absolute;margin-left:-.6pt;margin-top:17.95pt;width:79.5pt;height:110.6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" filled="f" stroked="f">
                      <v:textbox style="mso-fit-shape-to-text:t">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720578E" id="Text Box 2" o:spid="_x0000_s1033" type="#_x0000_t202" style="position:absolute;margin-left:-.45pt;margin-top:17.95pt;width:79.5pt;height:110.6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" filled="f" stroked="f">
                      <v:textbox style="mso-fit-shape-to-text:t">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3B86AC00" id="Text Box 6" o:spid="_x0000_s1034" type="#_x0000_t202" style="position:absolute;margin-left:-.6pt;margin-top:18pt;width:79.5pt;height:110.6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" filled="f" stroked="f">
                      <v:textbox style="mso-fit-shape-to-text:t">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3655AAF" id="Text Box 10" o:spid="_x0000_s1035" type="#_x0000_t202" style="position:absolute;margin-left:-.45pt;margin-top:18pt;width:79.5pt;height:110.6pt;z-index:25166745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" filled="f" stroked="f">
                      <v:textbox style="mso-fit-shape-to-text:t">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Xs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the simulations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attributes’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the salience of centrally located obstacles should weaken or prevent the formation of those same associations. Additionally, extending the sticky-mittens-induced attentional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Csibra et al., 2003; Csibra et al., 1999; Gergely et al., 1995; Liu &amp; Spelke,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Ossmy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5F40C9B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w:t>
      </w:r>
      <w:r w:rsidR="009D08DA">
        <w:rPr>
          <w:rFonts w:ascii="Times New Roman" w:eastAsia="Times New Roman" w:hAnsi="Times New Roman" w:cs="Times New Roman"/>
        </w:rPr>
        <w:t xml:space="preserve"> from</w:t>
      </w:r>
      <w:r>
        <w:rPr>
          <w:rFonts w:ascii="Times New Roman" w:eastAsia="Times New Roman" w:hAnsi="Times New Roman" w:cs="Times New Roman"/>
        </w:rPr>
        <w:t xml:space="preserve">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capacity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Ossmy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early-emerging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1">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2">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Spelke,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3">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4">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5">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Benton, D. T. (2025). An associative-learning account of how infants learn about causal action in animates and inanimates: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6">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10.1093/chidev/aacag119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7">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68">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69">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0">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Bogartz, R. S., Shinskey, J. L., &amp; Schilling, T. H. (2000). Object permanence in five‐and‐a‐half‐month‐old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1">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Siqueland,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2">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3">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4">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5">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6">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7">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78">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79">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0">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1">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2">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3">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attend to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4">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5">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Csibra,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6">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Csibra,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7">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88">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89">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0">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1">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2">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3">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M., &amp; Ray, E. D. (2000). What is the significance of imitation in animals?.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4">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5">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6">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7">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as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98">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99">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0">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Kamewari,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1">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Spelke,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2">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Spelke,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3">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4">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causality?.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5">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Spelke, E. S. (2019). Origins of the concepts cause, cost, and goal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6">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Spelke,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7">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08">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the human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09">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0">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1">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2">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3">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Muentener,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4">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5">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6">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Nair, V., &amp; Hinton, G. E. (2010). Rectified linear units improve restricted boltzmann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7">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18">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beliefs?.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19">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Ossmy, O., Han, D., Kaplan, B. E., Xu, M., Bianco, C., Mukamel, R., &amp; Adolph, K. E. (2021). Children do not distinguish efficient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0">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deep?.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1">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2">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3">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Spelke,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4">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Eimas,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5">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6">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Lupyan,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7">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28">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Scarf, D., Imuta, K., Colombo, M., &amp; Hayne, H. (2012a). Golden Rule or valence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Imuta,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29">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Amso,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0">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1">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Csibra,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2">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3">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4">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5">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6">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7">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38">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Spelke, E. S. (2013). First-person action experience reveals sensitivity to action efficiency in prereaching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39">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develops?.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0">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Sodian,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1">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2">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3">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Spelke,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Spelke, E. S., Breinlinger,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4">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5">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Vallortigara, G., Regolin, L., &amp; Marconato, F. (2005). Visually inexperienced chicks exhibit spontaneous preference for biological motion patterns. PLoS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6">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w:t>
      </w:r>
      <w:r>
        <w:rPr>
          <w:rFonts w:ascii="Times New Roman" w:eastAsia="Times New Roman" w:hAnsi="Times New Roman" w:cs="Times New Roman"/>
          <w:i/>
          <w:iCs/>
        </w:rPr>
        <w:t>NeuroImage</w:t>
      </w:r>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7">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48">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49">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negligently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0">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1">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2">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3">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4">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5">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6"/>
      <w:headerReference w:type="default" r:id="rId157"/>
      <w:footerReference w:type="even" r:id="rId158"/>
      <w:footerReference w:type="default" r:id="rId159"/>
      <w:headerReference w:type="first" r:id="rId160"/>
      <w:footerReference w:type="first" r:id="rId16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50A4E" w14:textId="77777777" w:rsidR="00FA7344" w:rsidRDefault="00FA7344">
      <w:pPr>
        <w:spacing w:after="0" w:line="240" w:lineRule="auto"/>
      </w:pPr>
      <w:r>
        <w:separator/>
      </w:r>
    </w:p>
  </w:endnote>
  <w:endnote w:type="continuationSeparator" w:id="0">
    <w:p w14:paraId="68E588EA" w14:textId="77777777" w:rsidR="00FA7344" w:rsidRDefault="00FA73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C7C0006-4E80-4DE8-A8D1-189286C83D5A}"/>
    <w:embedItalic r:id="rId2" w:fontKey="{7787D8F3-3E68-440E-AA84-7CBCDE5053B8}"/>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60826F36-3792-487F-AB0C-5F832F65A93A}"/>
    <w:embedItalic r:id="rId4" w:fontKey="{32A8687F-84D2-42A2-BA39-8D8A0F8DDDF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6AF4E310-EAF1-4501-9E11-6662C0666523}"/>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D4F58270-DC64-422E-B514-97354FBEAA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ACE4F" w14:textId="77777777" w:rsidR="00FA7344" w:rsidRDefault="00FA7344">
      <w:pPr>
        <w:spacing w:after="0" w:line="240" w:lineRule="auto"/>
      </w:pPr>
      <w:r>
        <w:separator/>
      </w:r>
    </w:p>
  </w:footnote>
  <w:footnote w:type="continuationSeparator" w:id="0">
    <w:p w14:paraId="27249AAB" w14:textId="77777777" w:rsidR="00FA7344" w:rsidRDefault="00FA73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445B4"/>
    <w:rsid w:val="00062A94"/>
    <w:rsid w:val="00075D5E"/>
    <w:rsid w:val="00093283"/>
    <w:rsid w:val="000F519A"/>
    <w:rsid w:val="001210AD"/>
    <w:rsid w:val="001823E7"/>
    <w:rsid w:val="0018493C"/>
    <w:rsid w:val="001B5B10"/>
    <w:rsid w:val="002069A3"/>
    <w:rsid w:val="0021679C"/>
    <w:rsid w:val="002D382C"/>
    <w:rsid w:val="002E3D4E"/>
    <w:rsid w:val="003142D3"/>
    <w:rsid w:val="00334473"/>
    <w:rsid w:val="00373ECD"/>
    <w:rsid w:val="003E1AD7"/>
    <w:rsid w:val="0050035E"/>
    <w:rsid w:val="00571F1F"/>
    <w:rsid w:val="00591A74"/>
    <w:rsid w:val="005A5F23"/>
    <w:rsid w:val="006B1527"/>
    <w:rsid w:val="006E768A"/>
    <w:rsid w:val="006F2F23"/>
    <w:rsid w:val="006F4CBC"/>
    <w:rsid w:val="007373DF"/>
    <w:rsid w:val="00775855"/>
    <w:rsid w:val="007A1544"/>
    <w:rsid w:val="007B6549"/>
    <w:rsid w:val="007E60D9"/>
    <w:rsid w:val="00841EA0"/>
    <w:rsid w:val="00874297"/>
    <w:rsid w:val="00875845"/>
    <w:rsid w:val="008F2839"/>
    <w:rsid w:val="00933C4E"/>
    <w:rsid w:val="009D08DA"/>
    <w:rsid w:val="009D32CE"/>
    <w:rsid w:val="00A11752"/>
    <w:rsid w:val="00A14809"/>
    <w:rsid w:val="00A24A0D"/>
    <w:rsid w:val="00A55E1A"/>
    <w:rsid w:val="00A81191"/>
    <w:rsid w:val="00AB76C2"/>
    <w:rsid w:val="00AD33F5"/>
    <w:rsid w:val="00B31621"/>
    <w:rsid w:val="00B34A9D"/>
    <w:rsid w:val="00B71F1A"/>
    <w:rsid w:val="00BD0B90"/>
    <w:rsid w:val="00C81B3C"/>
    <w:rsid w:val="00CD3B1B"/>
    <w:rsid w:val="00D56B0E"/>
    <w:rsid w:val="00DA46DE"/>
    <w:rsid w:val="00E807F1"/>
    <w:rsid w:val="00EE170F"/>
    <w:rsid w:val="00F050E1"/>
    <w:rsid w:val="00F233C3"/>
    <w:rsid w:val="00F3185B"/>
    <w:rsid w:val="00F4722E"/>
    <w:rsid w:val="00FA254A"/>
    <w:rsid w:val="00FA73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doi.org/10.1016/0010-0277(85)90008-3" TargetMode="External"/><Relationship Id="rId84" Type="http://schemas.openxmlformats.org/officeDocument/2006/relationships/hyperlink" Target="https://doi.org/10.1038/s41467-025-61517-3" TargetMode="External"/><Relationship Id="rId138" Type="http://schemas.openxmlformats.org/officeDocument/2006/relationships/hyperlink" Target="https://doi.org/10.1016/S1364-6613(02)01926-5" TargetMode="External"/><Relationship Id="rId159" Type="http://schemas.openxmlformats.org/officeDocument/2006/relationships/footer" Target="footer2.xml"/><Relationship Id="rId107" Type="http://schemas.openxmlformats.org/officeDocument/2006/relationships/hyperlink" Target="https://doi.org/10.1016/j.cognition.2016.12.007" TargetMode="External"/><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hyperlink" Target="https://doi.org/10.1016/S0885-2014(02)00124-7" TargetMode="External"/><Relationship Id="rId128" Type="http://schemas.openxmlformats.org/officeDocument/2006/relationships/hyperlink" Target="https://doi.org/10.1038/323533a0" TargetMode="External"/><Relationship Id="rId149" Type="http://schemas.openxmlformats.org/officeDocument/2006/relationships/hyperlink" Target="https://doi.org/10.1016/j.cogdev.2012.08.004" TargetMode="External"/><Relationship Id="rId5" Type="http://schemas.openxmlformats.org/officeDocument/2006/relationships/footnotes" Target="footnotes.xml"/><Relationship Id="rId95" Type="http://schemas.openxmlformats.org/officeDocument/2006/relationships/hyperlink" Target="https://doi.org/10.1037/0012-1649.19.3.338" TargetMode="External"/><Relationship Id="rId160" Type="http://schemas.openxmlformats.org/officeDocument/2006/relationships/header" Target="header3.xm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hyperlink" Target="https://doi.org/10.1016/j.dr.2022.101034"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073/pnas.1318053110%20" TargetMode="External"/><Relationship Id="rId85" Type="http://schemas.openxmlformats.org/officeDocument/2006/relationships/hyperlink" Target="https://doi.org/10.1038/415755a%20" TargetMode="External"/><Relationship Id="rId150" Type="http://schemas.openxmlformats.org/officeDocument/2006/relationships/hyperlink" Target="https://doi.org/10.1016/j.cognition.2017.06.029"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doi.org/10.1037/0096-1523.18.2.385" TargetMode="External"/><Relationship Id="rId108" Type="http://schemas.openxmlformats.org/officeDocument/2006/relationships/hyperlink" Target="https://doi.org/10.1111/desc.13581"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371/journal.pone.0042698" TargetMode="External"/><Relationship Id="rId54" Type="http://schemas.openxmlformats.org/officeDocument/2006/relationships/image" Target="media/image46.png"/><Relationship Id="rId70" Type="http://schemas.openxmlformats.org/officeDocument/2006/relationships/hyperlink" Target="https://doi.org/10.1016/j.tics.2022.12.014" TargetMode="External"/><Relationship Id="rId75" Type="http://schemas.openxmlformats.org/officeDocument/2006/relationships/hyperlink" Target="https://doi.org/10.1111/1467-7687.00220"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111/j.1551-6709.2010.01129.x" TargetMode="External"/><Relationship Id="rId145" Type="http://schemas.openxmlformats.org/officeDocument/2006/relationships/hyperlink" Target="https://doi.org/10.1002/icd.2359" TargetMode="External"/><Relationship Id="rId16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02/icd.2355" TargetMode="External"/><Relationship Id="rId81" Type="http://schemas.openxmlformats.org/officeDocument/2006/relationships/hyperlink" Target="https://doi.org/10.1207/s15516709cog1402_1%20"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111/j.1467-7687.2012.01177.x"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S0010-0277(98)00058-4" TargetMode="External"/><Relationship Id="rId156"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37/0012-1649.36.5.635"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37/0012-1649.29.3.421" TargetMode="External"/><Relationship Id="rId97" Type="http://schemas.openxmlformats.org/officeDocument/2006/relationships/hyperlink" Target="https://doi.org/10.1016/j.cognition.2015.03.006" TargetMode="External"/><Relationship Id="rId104" Type="http://schemas.openxmlformats.org/officeDocument/2006/relationships/hyperlink" Target="https://doi.org/10.1016/S0010-0277(98)00036-5" TargetMode="External"/><Relationship Id="rId120" Type="http://schemas.openxmlformats.org/officeDocument/2006/relationships/hyperlink" Target="https://doi.org/10.1038/s41598-021-97354-9"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016/j.infbeh.2003.05.006" TargetMode="External"/><Relationship Id="rId146" Type="http://schemas.openxmlformats.org/officeDocument/2006/relationships/hyperlink" Target="https://doi.org/10.1371/journal.pbio.0030208"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207/S15327078IN0104_3" TargetMode="External"/><Relationship Id="rId92" Type="http://schemas.openxmlformats.org/officeDocument/2006/relationships/hyperlink" Target="https://doi.org/10.1038/nature06288"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37/xge0001656" TargetMode="External"/><Relationship Id="rId87" Type="http://schemas.openxmlformats.org/officeDocument/2006/relationships/hyperlink" Target="https://doi.org/10.1016/0010-0277(95)00661-H" TargetMode="External"/><Relationship Id="rId110" Type="http://schemas.openxmlformats.org/officeDocument/2006/relationships/hyperlink" Target="https://doi.org/10.1080/095400999116322"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016/S0885-2014(97)90008-3" TargetMode="External"/><Relationship Id="rId157" Type="http://schemas.openxmlformats.org/officeDocument/2006/relationships/header" Target="header2.xml"/><Relationship Id="rId61" Type="http://schemas.openxmlformats.org/officeDocument/2006/relationships/hyperlink" Target="https://doi.org/10.1016/0010-0277(86)90052-1" TargetMode="External"/><Relationship Id="rId82" Type="http://schemas.openxmlformats.org/officeDocument/2006/relationships/hyperlink" Target="https://doi.org/10.1207/s15516709cog1401_5" TargetMode="External"/><Relationship Id="rId152" Type="http://schemas.openxmlformats.org/officeDocument/2006/relationships/hyperlink" Target="https://doi.org/10.1111/1467-9280.00218"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doi.org/10.1037/0033-295X.112.2.347" TargetMode="External"/><Relationship Id="rId100" Type="http://schemas.openxmlformats.org/officeDocument/2006/relationships/hyperlink" Target="https://doi.org/10.1016/0885-2014(93)90008-S" TargetMode="External"/><Relationship Id="rId105" Type="http://schemas.openxmlformats.org/officeDocument/2006/relationships/hyperlink" Target="https://doi.org/10.1016/S0010-0277(87)80006-9"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016/j.neuroimage.2010.05.028"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0022-0965(83)90085-3%20"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146/annurev.ph.25.030163.002553"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j.cogdev.2022.10116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521/soco.2025.43.3.152" TargetMode="External"/><Relationship Id="rId158"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111/j.1467-8624.1991.tb01602.x" TargetMode="External"/><Relationship Id="rId83" Type="http://schemas.openxmlformats.org/officeDocument/2006/relationships/hyperlink" Target="https://doi.org/10.1111/j.1467-7687.2011.01048.x" TargetMode="External"/><Relationship Id="rId88" Type="http://schemas.openxmlformats.org/officeDocument/2006/relationships/hyperlink" Target="https://doi.org/10.1016/j.jecp.2020.105035" TargetMode="External"/><Relationship Id="rId111" Type="http://schemas.openxmlformats.org/officeDocument/2006/relationships/hyperlink" Target="https://doi.org/10.1111/j.1467-7687.2007.00586.x%20"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038/358749a0"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73/pnas.1904786116%20" TargetMode="External"/><Relationship Id="rId127" Type="http://schemas.openxmlformats.org/officeDocument/2006/relationships/hyperlink" Target="https://doi.org/10.1111/j.1540-5834.2008.00469.x" TargetMode="Externa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hyperlink" Target="https://doi.org/10.1016/S1364-6613(99)01356-X" TargetMode="External"/><Relationship Id="rId78" Type="http://schemas.openxmlformats.org/officeDocument/2006/relationships/hyperlink" Target="https://doi.org/10.1111/1467-7687.00039"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177/0956797615572806" TargetMode="External"/><Relationship Id="rId101" Type="http://schemas.openxmlformats.org/officeDocument/2006/relationships/hyperlink" Target="https://doi.org/10.1016/j.cogdev.2005.04.004"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16/j.cognition.2004.07.004%20" TargetMode="External"/><Relationship Id="rId148" Type="http://schemas.openxmlformats.org/officeDocument/2006/relationships/hyperlink" Target="https://doi.org/10.1207/s15327078in0701_6%20" TargetMode="Externa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hyperlink" Target="https://doi.org/10.1111/desc.134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j.0956-7976.2004.00755.x"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111/1467-8721.ep10772615" TargetMode="Externa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doi.org/10.1207/s15516709cog2701_4" TargetMode="External"/><Relationship Id="rId102" Type="http://schemas.openxmlformats.org/officeDocument/2006/relationships/hyperlink" Target="https://doi.org/10.1016/0010-0285(83)90017-8"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37/0033-295X.99.4.605" TargetMode="External"/><Relationship Id="rId90" Type="http://schemas.openxmlformats.org/officeDocument/2006/relationships/hyperlink" Target="https://doi.org/10.1177/0963721412470687" TargetMode="Externa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hyperlink" Target="https://doi.org/10.1016/j.cognition.2012.11.007%20" TargetMode="External"/><Relationship Id="rId113" Type="http://schemas.openxmlformats.org/officeDocument/2006/relationships/hyperlink" Target="https://doi.org/10.1016/j.tics.2023.09.001"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16/S0010-0277(99)00039-6" TargetMode="External"/><Relationship Id="rId155" Type="http://schemas.openxmlformats.org/officeDocument/2006/relationships/hyperlink" Target="https://doi.org/10.2307/113047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81</Pages>
  <Words>16725</Words>
  <Characters>95334</Characters>
  <Application>Microsoft Office Word</Application>
  <DocSecurity>0</DocSecurity>
  <Lines>794</Lines>
  <Paragraphs>223</Paragraphs>
  <ScaleCrop>false</ScaleCrop>
  <Company/>
  <LinksUpToDate>false</LinksUpToDate>
  <CharactersWithSpaces>111836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51</cp:revision>
  <dcterms:created xsi:type="dcterms:W3CDTF">2026-07-07T01:25:00Z</dcterms:created>
  <dcterms:modified xsi:type="dcterms:W3CDTF">2026-07-10T22:28:00Z</dcterms:modified>
</cp:coreProperties>
</file>