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23624" w14:textId="77777777" w:rsidR="006F2F23" w:rsidRDefault="006F2F23">
      <w:pPr>
        <w:spacing w:after="0" w:line="480" w:lineRule="auto"/>
        <w:rPr>
          <w:rFonts w:ascii="Times New Roman" w:eastAsia="Times New Roman" w:hAnsi="Times New Roman" w:cs="Times New Roman"/>
          <w:b/>
          <w:bCs/>
        </w:rPr>
      </w:pPr>
      <w:bookmarkStart w:id="0" w:name="_k5wul69avle3" w:colFirst="0" w:colLast="0"/>
      <w:bookmarkEnd w:id="0"/>
    </w:p>
    <w:p w14:paraId="0C43AB65" w14:textId="77777777" w:rsidR="006F2F23" w:rsidRDefault="006F2F23">
      <w:pPr>
        <w:spacing w:after="0" w:line="480" w:lineRule="auto"/>
        <w:jc w:val="center"/>
        <w:rPr>
          <w:rFonts w:ascii="Times New Roman" w:eastAsia="Times New Roman" w:hAnsi="Times New Roman" w:cs="Times New Roman"/>
          <w:b/>
          <w:bCs/>
        </w:rPr>
      </w:pPr>
    </w:p>
    <w:p w14:paraId="1B12EA88" w14:textId="77777777" w:rsidR="006F2F23" w:rsidRDefault="006F2F23">
      <w:pPr>
        <w:spacing w:after="0" w:line="480" w:lineRule="auto"/>
        <w:jc w:val="center"/>
        <w:rPr>
          <w:rFonts w:ascii="Times New Roman" w:eastAsia="Times New Roman" w:hAnsi="Times New Roman" w:cs="Times New Roman"/>
          <w:b/>
          <w:bCs/>
        </w:rPr>
      </w:pPr>
    </w:p>
    <w:p w14:paraId="3FBC16A8" w14:textId="77777777" w:rsidR="006F2F23" w:rsidRDefault="006F2F23">
      <w:pPr>
        <w:rPr>
          <w:rFonts w:ascii="Times New Roman" w:eastAsia="Times New Roman" w:hAnsi="Times New Roman" w:cs="Times New Roman"/>
        </w:rPr>
      </w:pPr>
    </w:p>
    <w:p w14:paraId="2DBE0E2A"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 xml:space="preserve">Associative learning is sufficient to explain infants’ putative action efficiency understanding </w:t>
      </w:r>
      <w:r>
        <w:rPr>
          <w:rFonts w:ascii="Times New Roman" w:eastAsia="Times New Roman" w:hAnsi="Times New Roman" w:cs="Times New Roman"/>
          <w:b/>
          <w:bCs/>
        </w:rPr>
        <w:br/>
      </w:r>
      <w:r>
        <w:rPr>
          <w:rFonts w:ascii="Times New Roman" w:eastAsia="Times New Roman" w:hAnsi="Times New Roman" w:cs="Times New Roman"/>
        </w:rPr>
        <w:t>Deon T. Benton</w:t>
      </w:r>
      <w:r>
        <w:rPr>
          <w:rFonts w:ascii="Times New Roman" w:eastAsia="Times New Roman" w:hAnsi="Times New Roman" w:cs="Times New Roman"/>
        </w:rPr>
        <w:br/>
        <w:t>Vanderbilt University</w:t>
      </w:r>
    </w:p>
    <w:p w14:paraId="6F3220A5" w14:textId="77777777" w:rsidR="006F2F23" w:rsidRDefault="006F2F23">
      <w:pPr>
        <w:spacing w:after="0" w:line="480" w:lineRule="auto"/>
        <w:rPr>
          <w:rFonts w:ascii="Times New Roman" w:eastAsia="Times New Roman" w:hAnsi="Times New Roman" w:cs="Times New Roman"/>
        </w:rPr>
      </w:pPr>
    </w:p>
    <w:p w14:paraId="711B4D67" w14:textId="77777777" w:rsidR="006F2F23" w:rsidRDefault="006F2F23">
      <w:pPr>
        <w:spacing w:after="0" w:line="480" w:lineRule="auto"/>
        <w:rPr>
          <w:rFonts w:ascii="Times New Roman" w:eastAsia="Times New Roman" w:hAnsi="Times New Roman" w:cs="Times New Roman"/>
        </w:rPr>
      </w:pPr>
    </w:p>
    <w:p w14:paraId="3F75652D" w14:textId="77777777" w:rsidR="006F2F23" w:rsidRDefault="006F2F23">
      <w:pPr>
        <w:spacing w:after="0" w:line="480" w:lineRule="auto"/>
        <w:rPr>
          <w:rFonts w:ascii="Times New Roman" w:eastAsia="Times New Roman" w:hAnsi="Times New Roman" w:cs="Times New Roman"/>
        </w:rPr>
      </w:pPr>
    </w:p>
    <w:p w14:paraId="15B73376" w14:textId="77777777" w:rsidR="006F2F23" w:rsidRDefault="006F2F23">
      <w:pPr>
        <w:spacing w:after="0" w:line="480" w:lineRule="auto"/>
        <w:rPr>
          <w:rFonts w:ascii="Times New Roman" w:eastAsia="Times New Roman" w:hAnsi="Times New Roman" w:cs="Times New Roman"/>
        </w:rPr>
      </w:pPr>
    </w:p>
    <w:p w14:paraId="303DED9D" w14:textId="77777777" w:rsidR="006F2F23" w:rsidRDefault="006F2F23">
      <w:pPr>
        <w:spacing w:after="0" w:line="480" w:lineRule="auto"/>
        <w:rPr>
          <w:rFonts w:ascii="Times New Roman" w:eastAsia="Times New Roman" w:hAnsi="Times New Roman" w:cs="Times New Roman"/>
        </w:rPr>
      </w:pPr>
    </w:p>
    <w:p w14:paraId="52D17F45" w14:textId="77777777" w:rsidR="006F2F23" w:rsidRDefault="006F2F23">
      <w:pPr>
        <w:spacing w:after="0" w:line="480" w:lineRule="auto"/>
        <w:rPr>
          <w:rFonts w:ascii="Times New Roman" w:eastAsia="Times New Roman" w:hAnsi="Times New Roman" w:cs="Times New Roman"/>
        </w:rPr>
      </w:pPr>
    </w:p>
    <w:p w14:paraId="4A0C4EBC" w14:textId="77777777" w:rsidR="006F2F23" w:rsidRDefault="006F2F23">
      <w:pPr>
        <w:spacing w:after="0" w:line="480" w:lineRule="auto"/>
        <w:rPr>
          <w:rFonts w:ascii="Times New Roman" w:eastAsia="Times New Roman" w:hAnsi="Times New Roman" w:cs="Times New Roman"/>
        </w:rPr>
      </w:pPr>
    </w:p>
    <w:p w14:paraId="553565E0" w14:textId="77777777" w:rsidR="006F2F23" w:rsidRDefault="006F2F23">
      <w:pPr>
        <w:spacing w:after="0" w:line="480" w:lineRule="auto"/>
        <w:rPr>
          <w:rFonts w:ascii="Times New Roman" w:eastAsia="Times New Roman" w:hAnsi="Times New Roman" w:cs="Times New Roman"/>
        </w:rPr>
      </w:pPr>
    </w:p>
    <w:p w14:paraId="7C922B92" w14:textId="77777777" w:rsidR="006F2F23" w:rsidRDefault="006F2F23">
      <w:pPr>
        <w:spacing w:after="0" w:line="480" w:lineRule="auto"/>
        <w:rPr>
          <w:rFonts w:ascii="Times New Roman" w:eastAsia="Times New Roman" w:hAnsi="Times New Roman" w:cs="Times New Roman"/>
        </w:rPr>
      </w:pPr>
    </w:p>
    <w:p w14:paraId="0E9E8125" w14:textId="77777777" w:rsidR="006F2F23" w:rsidRDefault="006F2F23">
      <w:pPr>
        <w:spacing w:after="0" w:line="480" w:lineRule="auto"/>
        <w:rPr>
          <w:rFonts w:ascii="Times New Roman" w:eastAsia="Times New Roman" w:hAnsi="Times New Roman" w:cs="Times New Roman"/>
        </w:rPr>
      </w:pPr>
    </w:p>
    <w:p w14:paraId="71CD1AB7" w14:textId="77777777" w:rsidR="006F2F23" w:rsidRDefault="006F2F23">
      <w:pPr>
        <w:spacing w:after="0" w:line="480" w:lineRule="auto"/>
        <w:rPr>
          <w:rFonts w:ascii="Times New Roman" w:eastAsia="Times New Roman" w:hAnsi="Times New Roman" w:cs="Times New Roman"/>
        </w:rPr>
      </w:pPr>
    </w:p>
    <w:p w14:paraId="6486DA1C" w14:textId="77777777" w:rsidR="006F2F23" w:rsidRDefault="00000000">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246A5949" w14:textId="77777777" w:rsidR="006F2F23" w:rsidRDefault="006F2F23">
      <w:pPr>
        <w:rPr>
          <w:rFonts w:ascii="Times New Roman" w:eastAsia="Times New Roman" w:hAnsi="Times New Roman" w:cs="Times New Roman"/>
        </w:rPr>
      </w:pPr>
    </w:p>
    <w:p w14:paraId="1EF01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Data availability statement: Data for these simulations are available at </w:t>
      </w:r>
      <w:hyperlink r:id="rId7">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7C63046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Conflicts of interest: none</w:t>
      </w:r>
    </w:p>
    <w:p w14:paraId="7DADD376" w14:textId="77777777" w:rsidR="006F2F23" w:rsidRDefault="006F2F23">
      <w:pPr>
        <w:spacing w:after="0" w:line="480" w:lineRule="auto"/>
        <w:rPr>
          <w:rFonts w:ascii="Times New Roman" w:eastAsia="Times New Roman" w:hAnsi="Times New Roman" w:cs="Times New Roman"/>
        </w:rPr>
      </w:pPr>
    </w:p>
    <w:p w14:paraId="10965E77"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Associative learning is sufficient to explain infants’ putative action efficiency understanding</w:t>
      </w:r>
      <w:r>
        <w:rPr>
          <w:rFonts w:ascii="Times New Roman" w:eastAsia="Times New Roman" w:hAnsi="Times New Roman" w:cs="Times New Roman"/>
        </w:rPr>
        <w:t>”</w:t>
      </w:r>
    </w:p>
    <w:p w14:paraId="73B2B3CC" w14:textId="77777777" w:rsidR="006F2F23" w:rsidRDefault="006F2F23">
      <w:pPr>
        <w:jc w:val="center"/>
        <w:rPr>
          <w:rFonts w:ascii="Times New Roman" w:eastAsia="Times New Roman" w:hAnsi="Times New Roman" w:cs="Times New Roman"/>
        </w:rPr>
      </w:pPr>
    </w:p>
    <w:p w14:paraId="29A89EA2"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t>Abstract</w:t>
      </w:r>
    </w:p>
    <w:p w14:paraId="44DA7AB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(for Associative Learning in Action Studies) and shows that it reproduces key findings in this literature previously taken as evidence for the nativist position. Analyses of ALIAS’s internal dynamics indicated that its responses emerged from learned associations between action kinematics and their associated visible surface features. The model also generates novel testable predictions. Together, these findings suggest that a domain-general associative learning mechanism operating over perceptually grounded event representations is sufficient to account for the principal findings in the infant action-efficiency literature without recourse to specialized,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and action-centered representations.</w:t>
      </w:r>
      <w:r>
        <w:br w:type="page"/>
      </w:r>
    </w:p>
    <w:p w14:paraId="0CA21AAB"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“Associative learning is sufficient to explain infants’ putative action efficiency understanding”</w:t>
      </w:r>
    </w:p>
    <w:p w14:paraId="41E5CC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challenge faced by young learners is distinguishing between efficient and inefficient actions. For instance, a child may learn that stairs provide a safer and more efficient route to the top after observing another child tumble down one. In general, determining an action’s </w:t>
      </w:r>
      <w:proofErr w:type="gramStart"/>
      <w:r>
        <w:rPr>
          <w:rFonts w:ascii="Times New Roman" w:eastAsia="Times New Roman" w:hAnsi="Times New Roman" w:cs="Times New Roman"/>
        </w:rPr>
        <w:t>efficiency—a</w:t>
      </w:r>
      <w:proofErr w:type="gramEnd"/>
      <w:r>
        <w:rPr>
          <w:rFonts w:ascii="Times New Roman" w:eastAsia="Times New Roman" w:hAnsi="Times New Roman" w:cs="Times New Roman"/>
        </w:rPr>
        <w:t xml:space="preserve"> capacity referred to here as </w:t>
      </w:r>
      <w:r>
        <w:rPr>
          <w:rFonts w:ascii="Times New Roman" w:eastAsia="Times New Roman" w:hAnsi="Times New Roman" w:cs="Times New Roman"/>
          <w:i/>
          <w:iCs/>
        </w:rPr>
        <w:t>action efficiency understanding</w:t>
      </w:r>
      <w:r>
        <w:rPr>
          <w:rFonts w:ascii="Times New Roman" w:eastAsia="Times New Roman" w:hAnsi="Times New Roman" w:cs="Times New Roman"/>
        </w:rPr>
        <w:t>—is crucial for navigating the world competently.  An open question then concerns when, and importantly how, this capacity develops in preverbal infants with limited mobility and first-hand action experience.</w:t>
      </w:r>
    </w:p>
    <w:p w14:paraId="27DD049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Developmental cognitive scientists have typically studied the origins of this capacity via the violation-of-expectation paradigm, whereby infants are habituated to an event in which an object jumps over a barrier to reach another one and then tested on events that differ in their efficiency (see Figure 1). In the Efficient event, the first object moves along a straight path to reach the second object. In the Inefficient event, the first object continues to move along the familiar, but now inefficient, curved or arced motion path.</w:t>
      </w:r>
    </w:p>
    <w:p w14:paraId="6506E129" w14:textId="77777777" w:rsidR="006F2F23" w:rsidRDefault="006F2F23">
      <w:pPr>
        <w:spacing w:after="0" w:line="480" w:lineRule="auto"/>
        <w:ind w:firstLine="720"/>
        <w:rPr>
          <w:rFonts w:ascii="Times New Roman" w:eastAsia="Times New Roman" w:hAnsi="Times New Roman" w:cs="Times New Roman"/>
        </w:rPr>
      </w:pPr>
    </w:p>
    <w:p w14:paraId="53F8D1D6" w14:textId="77777777" w:rsidR="006F2F23" w:rsidRDefault="006F2F23">
      <w:pPr>
        <w:spacing w:line="480" w:lineRule="auto"/>
        <w:rPr>
          <w:rFonts w:ascii="Times New Roman" w:eastAsia="Times New Roman" w:hAnsi="Times New Roman" w:cs="Times New Roman"/>
        </w:rPr>
      </w:pPr>
    </w:p>
    <w:tbl>
      <w:tblPr>
        <w:tblStyle w:val="a"/>
        <w:tblW w:w="11674"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11674"/>
      </w:tblGrid>
      <w:tr w:rsidR="006F2F23" w14:paraId="3721C53B" w14:textId="77777777">
        <w:trPr>
          <w:trHeight w:val="3123"/>
        </w:trPr>
        <w:tc>
          <w:tcPr>
            <w:tcW w:w="11674" w:type="dxa"/>
          </w:tcPr>
          <w:p w14:paraId="0B96E6D2"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933E55B" wp14:editId="76F2A0B5">
                  <wp:extent cx="6762820" cy="2415396"/>
                  <wp:effectExtent l="0" t="0" r="0" b="0"/>
                  <wp:docPr id="7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8"/>
                          <a:srcRect/>
                          <a:stretch>
                            <a:fillRect/>
                          </a:stretch>
                        </pic:blipFill>
                        <pic:spPr>
                          <a:xfrm>
                            <a:off x="0" y="0"/>
                            <a:ext cx="6762820" cy="2415396"/>
                          </a:xfrm>
                          <a:prstGeom prst="rect">
                            <a:avLst/>
                          </a:prstGeom>
                          <a:ln/>
                        </pic:spPr>
                      </pic:pic>
                    </a:graphicData>
                  </a:graphic>
                </wp:inline>
              </w:drawing>
            </w:r>
          </w:p>
        </w:tc>
      </w:tr>
    </w:tbl>
    <w:p w14:paraId="25983217"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 xml:space="preserve">Figure 1. </w:t>
      </w:r>
      <w:r w:rsidRPr="00A55E1A">
        <w:rPr>
          <w:rFonts w:ascii="Times New Roman" w:eastAsia="Times New Roman" w:hAnsi="Times New Roman" w:cs="Times New Roman"/>
          <w:color w:val="000000" w:themeColor="text1"/>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 Data for the first target finding discussed in the text derived from this paradigm.</w:t>
      </w:r>
    </w:p>
    <w:p w14:paraId="5AC66509" w14:textId="77777777" w:rsidR="006F2F23" w:rsidRDefault="006F2F23">
      <w:pPr>
        <w:spacing w:after="0" w:line="480" w:lineRule="auto"/>
        <w:ind w:firstLine="720"/>
        <w:rPr>
          <w:rFonts w:ascii="Times New Roman" w:eastAsia="Times New Roman" w:hAnsi="Times New Roman" w:cs="Times New Roman"/>
        </w:rPr>
      </w:pPr>
    </w:p>
    <w:p w14:paraId="081EE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Several important findings have emerged from the use of this method. Figure 2 provides a visualization of their corresponding paradigms. One is that 9- to 12-month-olds looked longer at inefficient than efficient actions if the first object’s habituation movement was constrained (Figure 1A) but not unconstrained (Figure 1B; Gergely et al., 1995; see also Phillips &amp; Wellman, 2005; Schwier et al., 2006;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 Woodward &amp; Sommerville, 2000). Importantly, the agent did not need to be self-propelled for infants to show this pattern (Figure 2A;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et al., 2005). </w:t>
      </w:r>
    </w:p>
    <w:p w14:paraId="253B8B2C" w14:textId="77777777" w:rsidR="006F2F23" w:rsidRDefault="006F2F23">
      <w:pPr>
        <w:spacing w:line="480" w:lineRule="auto"/>
        <w:ind w:firstLine="720"/>
        <w:rPr>
          <w:rFonts w:ascii="Times New Roman" w:eastAsia="Times New Roman" w:hAnsi="Times New Roman" w:cs="Times New Roman"/>
        </w:rPr>
      </w:pPr>
    </w:p>
    <w:tbl>
      <w:tblPr>
        <w:tblStyle w:val="a0"/>
        <w:tblW w:w="10777"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10777"/>
      </w:tblGrid>
      <w:tr w:rsidR="006F2F23" w14:paraId="37484405" w14:textId="77777777">
        <w:trPr>
          <w:trHeight w:val="1800"/>
          <w:jc w:val="center"/>
        </w:trPr>
        <w:tc>
          <w:tcPr>
            <w:tcW w:w="10777" w:type="dxa"/>
          </w:tcPr>
          <w:p w14:paraId="7856DC2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50C38FD" wp14:editId="50F317DA">
                  <wp:extent cx="6716470" cy="2403865"/>
                  <wp:effectExtent l="0" t="0" r="0" b="0"/>
                  <wp:docPr id="80"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
                          <a:srcRect/>
                          <a:stretch>
                            <a:fillRect/>
                          </a:stretch>
                        </pic:blipFill>
                        <pic:spPr>
                          <a:xfrm>
                            <a:off x="0" y="0"/>
                            <a:ext cx="6716470" cy="2403865"/>
                          </a:xfrm>
                          <a:prstGeom prst="rect">
                            <a:avLst/>
                          </a:prstGeom>
                          <a:ln/>
                        </pic:spPr>
                      </pic:pic>
                    </a:graphicData>
                  </a:graphic>
                </wp:inline>
              </w:drawing>
            </w:r>
          </w:p>
        </w:tc>
      </w:tr>
      <w:tr w:rsidR="006F2F23" w14:paraId="6FAD0F7F" w14:textId="77777777">
        <w:trPr>
          <w:trHeight w:val="1800"/>
          <w:jc w:val="center"/>
        </w:trPr>
        <w:tc>
          <w:tcPr>
            <w:tcW w:w="10777" w:type="dxa"/>
          </w:tcPr>
          <w:p w14:paraId="6A663FDE"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6ED26" wp14:editId="6E24944F">
                  <wp:extent cx="6323386" cy="1962547"/>
                  <wp:effectExtent l="0" t="0" r="0" b="0"/>
                  <wp:docPr id="7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
                          <a:srcRect/>
                          <a:stretch>
                            <a:fillRect/>
                          </a:stretch>
                        </pic:blipFill>
                        <pic:spPr>
                          <a:xfrm>
                            <a:off x="0" y="0"/>
                            <a:ext cx="6323386" cy="1962547"/>
                          </a:xfrm>
                          <a:prstGeom prst="rect">
                            <a:avLst/>
                          </a:prstGeom>
                          <a:ln/>
                        </pic:spPr>
                      </pic:pic>
                    </a:graphicData>
                  </a:graphic>
                </wp:inline>
              </w:drawing>
            </w:r>
          </w:p>
        </w:tc>
      </w:tr>
    </w:tbl>
    <w:p w14:paraId="5D3871E6" w14:textId="77777777" w:rsidR="006F2F23" w:rsidRPr="00A55E1A" w:rsidRDefault="00000000">
      <w:pPr>
        <w:pBdr>
          <w:top w:val="nil"/>
          <w:left w:val="nil"/>
          <w:bottom w:val="nil"/>
          <w:right w:val="nil"/>
          <w:between w:val="nil"/>
        </w:pBdr>
        <w:spacing w:after="200" w:line="240" w:lineRule="auto"/>
        <w:rPr>
          <w:rFonts w:ascii="Times New Roman" w:eastAsia="Times New Roman" w:hAnsi="Times New Roman" w:cs="Times New Roman"/>
          <w:color w:val="000000" w:themeColor="text1"/>
        </w:rPr>
      </w:pPr>
      <w:r w:rsidRPr="00A55E1A">
        <w:rPr>
          <w:rFonts w:ascii="Times New Roman" w:eastAsia="Times New Roman" w:hAnsi="Times New Roman" w:cs="Times New Roman"/>
          <w:b/>
          <w:bCs/>
          <w:color w:val="000000" w:themeColor="text1"/>
        </w:rPr>
        <w:t>Figure 2.</w:t>
      </w:r>
      <w:r w:rsidRPr="00A55E1A">
        <w:rPr>
          <w:rFonts w:ascii="Times New Roman" w:eastAsia="Times New Roman" w:hAnsi="Times New Roman" w:cs="Times New Roman"/>
          <w:color w:val="000000" w:themeColor="text1"/>
        </w:rPr>
        <w:t xml:space="preserve"> </w:t>
      </w:r>
      <w:r w:rsidRPr="00A55E1A">
        <w:rPr>
          <w:rFonts w:ascii="Times New Roman" w:eastAsia="Times New Roman" w:hAnsi="Times New Roman" w:cs="Times New Roman"/>
          <w:i/>
          <w:iCs/>
          <w:color w:val="000000" w:themeColor="text1"/>
        </w:rPr>
        <w:t>Schematic overview of the paradigms from which Target Findings 2–5 derive.</w:t>
      </w:r>
      <w:r w:rsidRPr="00A55E1A">
        <w:rPr>
          <w:rFonts w:ascii="Times New Roman" w:eastAsia="Times New Roman" w:hAnsi="Times New Roman" w:cs="Times New Roman"/>
          <w:color w:val="000000" w:themeColor="text1"/>
        </w:rPr>
        <w:t xml:space="preserve"> Panels A–D depict, respectively, the experimental paradigms showing (A) the independence of action efficiency understanding from animacy cues, (B) bidirectional inferences about actions, goals, and constraints, (C) graded representations of efficiency, and (D) action efficiency understanding in pre-reaching infants. Note that closed gloves correspond to the sticky-mittens condition, whereas open gloves correspond to the non-sticky-mittens condition. The paradigm underlying Target Finding 1 is shown in Figure 1.</w:t>
      </w:r>
    </w:p>
    <w:p w14:paraId="59765AA5" w14:textId="77777777" w:rsidR="006F2F23" w:rsidRDefault="006F2F23">
      <w:pPr>
        <w:spacing w:after="0" w:line="480" w:lineRule="auto"/>
        <w:ind w:firstLine="720"/>
        <w:rPr>
          <w:rFonts w:ascii="Times New Roman" w:eastAsia="Times New Roman" w:hAnsi="Times New Roman" w:cs="Times New Roman"/>
        </w:rPr>
      </w:pPr>
    </w:p>
    <w:p w14:paraId="2C8060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Beyond identifying inefficient actions across different types of entities, infants ostensibly can also reason about the relations among actions, goals, and environmental constraints (Figure 2B). For example,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see also Wagner &amp; Carey, 2005) showed that 12-month-olds can make bidirectional inferences among these factors: they can use information about an agent’s actions and the constraints under which those actions are performed to infer its goal, and </w:t>
      </w:r>
      <w:r>
        <w:rPr>
          <w:rFonts w:ascii="Times New Roman" w:eastAsia="Times New Roman" w:hAnsi="Times New Roman" w:cs="Times New Roman"/>
        </w:rPr>
        <w:lastRenderedPageBreak/>
        <w:t xml:space="preserve">they can use information about its goal and actions to infer the presence of environmental constraints. Finally, infants appear to interpret action efficiency in a graded manner.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looked longer at substantially than at mildly inefficient events, and they generalized these expectations across changes in environmental constraints (Figure 2C). </w:t>
      </w:r>
    </w:p>
    <w:p w14:paraId="540F8CA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notable finding is that infants with minimal object-manipulation experience show sensitivity to action efficiency when they are given direct-actions experience (e.g., Skerry et al., 2013; see also Liu et al., 2019). Skerry et al. showed that providing pre-reaching 3-month-olds with such experience via “sticky mittens” enabled them to distinguish efficient from inefficient actions (Figure 2D); this pattern was absent in infants fitted with non-sticky mittens or given no mittens training whatsoever. One question that these findings raise concerns the origins of action efficiency understanding.</w:t>
      </w:r>
    </w:p>
    <w:p w14:paraId="7393516F" w14:textId="77777777" w:rsidR="006F2F23" w:rsidRDefault="006F2F23">
      <w:pPr>
        <w:spacing w:after="0" w:line="480" w:lineRule="auto"/>
        <w:ind w:firstLine="720"/>
        <w:rPr>
          <w:rFonts w:ascii="Times New Roman" w:eastAsia="Times New Roman" w:hAnsi="Times New Roman" w:cs="Times New Roman"/>
        </w:rPr>
      </w:pPr>
    </w:p>
    <w:p w14:paraId="75A7F1B4"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Rich proposals for the origins of infant action efficiency understanding</w:t>
      </w:r>
    </w:p>
    <w:p w14:paraId="46F07343"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Two kinds of proposals have been offered to explain </w:t>
      </w:r>
      <w:proofErr w:type="gramStart"/>
      <w:r>
        <w:rPr>
          <w:rFonts w:ascii="Times New Roman" w:eastAsia="Times New Roman" w:hAnsi="Times New Roman" w:cs="Times New Roman"/>
        </w:rPr>
        <w:t>its</w:t>
      </w:r>
      <w:proofErr w:type="gramEnd"/>
      <w:r>
        <w:rPr>
          <w:rFonts w:ascii="Times New Roman" w:eastAsia="Times New Roman" w:hAnsi="Times New Roman" w:cs="Times New Roman"/>
        </w:rPr>
        <w:t xml:space="preserve"> origins. Rich proposals maintain that infants possess early emerging, domain-specific mechanisms that support abstract and conceptually rich knowledge about how the various objects and entities in the world behave and act. For example, the </w:t>
      </w:r>
      <w:r>
        <w:rPr>
          <w:rFonts w:ascii="Times New Roman" w:eastAsia="Times New Roman" w:hAnsi="Times New Roman" w:cs="Times New Roman"/>
          <w:i/>
          <w:iCs/>
        </w:rPr>
        <w:t xml:space="preserve">teleological stance </w:t>
      </w:r>
      <w:r>
        <w:rPr>
          <w:rFonts w:ascii="Times New Roman" w:eastAsia="Times New Roman" w:hAnsi="Times New Roman" w:cs="Times New Roman"/>
        </w:rPr>
        <w:t>(</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2003) holds that if an agent pursues some end state efficiently given the physical context—and thus satisfies the “rationality principle”—then the end state will be treated as the agent’s goal, its behavior as a goal-directed “means” to it, and the physical context as a set of “constraints”. The </w:t>
      </w:r>
      <w:r>
        <w:rPr>
          <w:rFonts w:ascii="Times New Roman" w:eastAsia="Times New Roman" w:hAnsi="Times New Roman" w:cs="Times New Roman"/>
          <w:i/>
          <w:iCs/>
        </w:rPr>
        <w:t>naïve utility calculus</w:t>
      </w:r>
      <w:r>
        <w:rPr>
          <w:rFonts w:ascii="Times New Roman" w:eastAsia="Times New Roman" w:hAnsi="Times New Roman" w:cs="Times New Roman"/>
        </w:rPr>
        <w:t xml:space="preserve"> casts this in Bayesian terms (Jara-Ettinger et al., 2016, 2020): agents choose minimally costly actions based on their subjective utilities. More recently, Liu et al. (2026) argued that action efficiency understanding emerges from a </w:t>
      </w:r>
      <w:r>
        <w:rPr>
          <w:rFonts w:ascii="Times New Roman" w:eastAsia="Times New Roman" w:hAnsi="Times New Roman" w:cs="Times New Roman"/>
          <w:i/>
          <w:iCs/>
        </w:rPr>
        <w:t>naïve psychology</w:t>
      </w:r>
      <w:r>
        <w:rPr>
          <w:rFonts w:ascii="Times New Roman" w:eastAsia="Times New Roman" w:hAnsi="Times New Roman" w:cs="Times New Roman"/>
        </w:rPr>
        <w:t xml:space="preserve"> system (in </w:t>
      </w:r>
      <w:r>
        <w:rPr>
          <w:rFonts w:ascii="Times New Roman" w:eastAsia="Times New Roman" w:hAnsi="Times New Roman" w:cs="Times New Roman"/>
        </w:rPr>
        <w:lastRenderedPageBreak/>
        <w:t xml:space="preserve">which agents are represented as goal-directed reward-maximizers) that interfaces with a </w:t>
      </w:r>
      <w:r>
        <w:rPr>
          <w:rFonts w:ascii="Times New Roman" w:eastAsia="Times New Roman" w:hAnsi="Times New Roman" w:cs="Times New Roman"/>
          <w:i/>
          <w:iCs/>
        </w:rPr>
        <w:t>naïve physics</w:t>
      </w:r>
      <w:r>
        <w:rPr>
          <w:rFonts w:ascii="Times New Roman" w:eastAsia="Times New Roman" w:hAnsi="Times New Roman" w:cs="Times New Roman"/>
        </w:rPr>
        <w:t xml:space="preserve"> system (in which objects are represented as bounded and solid). </w:t>
      </w:r>
    </w:p>
    <w:p w14:paraId="1182A85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perspectives have real strengths: they address foundational questions at the heart of the developmental cognitive sciences, have generated a substantial body of research, and enjoy some degree of empirical support. Yet, each shares a common limitation: none specifies the origins of the relevant primitives. The teleological stance does not explain the basis for goal, constraint, efficiency, or rationality notions. The naïve utility calculus is similarly silent about the origins of such notions as reward, cost, and subjective utility. And Liu et al.’s proposal presupposes the very agent and object concept it explains (e.g., Benton, 2025).  </w:t>
      </w:r>
    </w:p>
    <w:p w14:paraId="5C809A4C" w14:textId="77777777" w:rsidR="006F2F23" w:rsidRDefault="006F2F23">
      <w:pPr>
        <w:spacing w:after="0" w:line="480" w:lineRule="auto"/>
        <w:ind w:firstLine="720"/>
        <w:rPr>
          <w:rFonts w:ascii="Times New Roman" w:eastAsia="Times New Roman" w:hAnsi="Times New Roman" w:cs="Times New Roman"/>
        </w:rPr>
      </w:pPr>
    </w:p>
    <w:p w14:paraId="4CAC3225" w14:textId="77777777" w:rsidR="006F2F23" w:rsidRDefault="00000000">
      <w:pPr>
        <w:spacing w:after="0" w:line="480" w:lineRule="auto"/>
        <w:rPr>
          <w:rFonts w:ascii="Times New Roman" w:eastAsia="Times New Roman" w:hAnsi="Times New Roman" w:cs="Times New Roman"/>
          <w:b/>
          <w:bCs/>
        </w:rPr>
      </w:pPr>
      <w:proofErr w:type="gramStart"/>
      <w:r>
        <w:rPr>
          <w:rFonts w:ascii="Times New Roman" w:eastAsia="Times New Roman" w:hAnsi="Times New Roman" w:cs="Times New Roman"/>
          <w:b/>
          <w:bCs/>
        </w:rPr>
        <w:t>Lean</w:t>
      </w:r>
      <w:proofErr w:type="gramEnd"/>
      <w:r>
        <w:rPr>
          <w:rFonts w:ascii="Times New Roman" w:eastAsia="Times New Roman" w:hAnsi="Times New Roman" w:cs="Times New Roman"/>
          <w:b/>
          <w:bCs/>
        </w:rPr>
        <w:t xml:space="preserve"> proposals for the origins of infant action efficiency understanding</w:t>
      </w:r>
    </w:p>
    <w:p w14:paraId="050C9BC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Lean proposals instead explain infants’ looking behaviors as the product of domain-general learning over perceptual regularities (e.g., Blumberg &amp; Adolph, 2023; Cohen et al., 2002; Cohen &amp; Oakes, 1993; Colunga &amp; Smith, 2005; Heyes, 2018, 2024; Jones &amp; Smith, 1993; Quinn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Sloutsky, 2010). Although lean proposals abound for a range of cognitive capacities (Benton, 202, 2026; Benton &amp; Hoch, 2026; Benton &amp; Lapan, 2021; Benton et al., 2024; Berthiaume et al., 2013; </w:t>
      </w: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et al., 2000; Clearfield &amp; Mix, 1999; Cohen et al., 2002; Cohen &amp; Marks, 2002; McClelland &amp; Thompson, 2007; McMahon &amp; Isik, 2023; Munakata, 1998; Munakata et al., 1997; Perner &amp; Ruffman, 2005; Scarf et al., 2012a, 2012b; Schlesinger et al., 2012; Schlesinger &amp; Casey, 2013; Simon, 1997;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2008), efforts to explain action efficiency remain scarce. </w:t>
      </w:r>
    </w:p>
    <w:p w14:paraId="4FC1993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 hereafter, VOM10) is an exception to this. He argued that as infants observe agents moving toward their goals, internal representations develop capturing the </w:t>
      </w:r>
      <w:r>
        <w:rPr>
          <w:rFonts w:ascii="Times New Roman" w:eastAsia="Times New Roman" w:hAnsi="Times New Roman" w:cs="Times New Roman"/>
        </w:rPr>
        <w:lastRenderedPageBreak/>
        <w:t xml:space="preserve">visible state of the world at points along the trajectory. He showed that a connectionist model implementing this “forward model” reproduced the finding that infants looked longer at inefficient than efficient actions following habituation to constrained motion only. </w:t>
      </w:r>
    </w:p>
    <w:p w14:paraId="5120482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VOM10 is nevertheless limited in key respects. First, it received no action observation experience prior to the simulated habituation phase and thus could not draw on prior exposure the way findings like those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require. Second, implementing agent and object units meant that the model built in the very concepts lean accounts should explain. Finally, it departed from Gergely et al.’s (1995) study by omitting barrier information from its simulation of the Control condition (Figure 1B) and allowing the curved trajectory to overshoot the barrier. </w:t>
      </w:r>
    </w:p>
    <w:p w14:paraId="5E7C99DE" w14:textId="77777777"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Given these shortcomings, an alternative lean account is developed here and shown—through a series of computer simulations—to reproduce the five target findings discussed in the opening (and provided in list form below). Importantly, this theory, dubbed ALIAS (for Associative Learning in Action Studies), is not an account of how action efficiency understanding per se develops. It is an account of the mechanistic basis of infants’ </w:t>
      </w:r>
      <w:r>
        <w:rPr>
          <w:rFonts w:ascii="Times New Roman" w:eastAsia="Times New Roman" w:hAnsi="Times New Roman" w:cs="Times New Roman"/>
          <w:i/>
          <w:iCs/>
        </w:rPr>
        <w:t xml:space="preserve">looking behaviors </w:t>
      </w:r>
      <w:r>
        <w:rPr>
          <w:rFonts w:ascii="Times New Roman" w:eastAsia="Times New Roman" w:hAnsi="Times New Roman" w:cs="Times New Roman"/>
        </w:rPr>
        <w:t>in studies on this topic. How genuine action efficiency may develop is described in the General Discussion.</w:t>
      </w:r>
    </w:p>
    <w:p w14:paraId="6D27BF19"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Selective longer looking to inefficient actions.</w:t>
      </w:r>
      <w:r>
        <w:rPr>
          <w:rFonts w:ascii="Times New Roman" w:eastAsia="Times New Roman" w:hAnsi="Times New Roman" w:cs="Times New Roman"/>
          <w:color w:val="000000"/>
        </w:rPr>
        <w:t xml:space="preserve"> Twelve-month-old infants look longer at barrierless curved than straight trajectories following habituation to a constrained event. This pattern disappears following habituation to an unconstrained event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Gergely et al., 1995); </w:t>
      </w:r>
    </w:p>
    <w:p w14:paraId="28DB200A"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Independence from animacy.</w:t>
      </w:r>
      <w:r>
        <w:rPr>
          <w:rFonts w:ascii="Times New Roman" w:eastAsia="Times New Roman" w:hAnsi="Times New Roman" w:cs="Times New Roman"/>
          <w:color w:val="000000"/>
        </w:rPr>
        <w:t xml:space="preserve"> Nine-month-old infants show the pattern described in (1) even when the agents lack animate features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1999; </w:t>
      </w:r>
      <w:proofErr w:type="spellStart"/>
      <w:r>
        <w:rPr>
          <w:rFonts w:ascii="Times New Roman" w:eastAsia="Times New Roman" w:hAnsi="Times New Roman" w:cs="Times New Roman"/>
          <w:color w:val="000000"/>
        </w:rPr>
        <w:t>Sodian</w:t>
      </w:r>
      <w:proofErr w:type="spellEnd"/>
      <w:r>
        <w:rPr>
          <w:rFonts w:ascii="Times New Roman" w:eastAsia="Times New Roman" w:hAnsi="Times New Roman" w:cs="Times New Roman"/>
          <w:color w:val="000000"/>
        </w:rPr>
        <w:t xml:space="preserve"> et al., 2004); </w:t>
      </w:r>
    </w:p>
    <w:p w14:paraId="7968E025"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Bidirectional inferences about actions, goals, and constraints.</w:t>
      </w:r>
      <w:r>
        <w:rPr>
          <w:rFonts w:ascii="Times New Roman" w:eastAsia="Times New Roman" w:hAnsi="Times New Roman" w:cs="Times New Roman"/>
          <w:color w:val="000000"/>
        </w:rPr>
        <w:t xml:space="preserve"> Twelve-month-old infants can infer goals from actions and constraints, and constraints from actions and goals (e.g., </w:t>
      </w:r>
      <w:proofErr w:type="spellStart"/>
      <w:r>
        <w:rPr>
          <w:rFonts w:ascii="Times New Roman" w:eastAsia="Times New Roman" w:hAnsi="Times New Roman" w:cs="Times New Roman"/>
          <w:color w:val="000000"/>
        </w:rPr>
        <w:t>Csibra</w:t>
      </w:r>
      <w:proofErr w:type="spellEnd"/>
      <w:r>
        <w:rPr>
          <w:rFonts w:ascii="Times New Roman" w:eastAsia="Times New Roman" w:hAnsi="Times New Roman" w:cs="Times New Roman"/>
          <w:color w:val="000000"/>
        </w:rPr>
        <w:t xml:space="preserve"> et al., 2003; Wagner &amp; Carey, 2005); </w:t>
      </w:r>
    </w:p>
    <w:p w14:paraId="476BD457" w14:textId="77777777" w:rsidR="006F2F23" w:rsidRDefault="00000000">
      <w:pPr>
        <w:numPr>
          <w:ilvl w:val="0"/>
          <w:numId w:val="2"/>
        </w:numPr>
        <w:pBdr>
          <w:top w:val="nil"/>
          <w:left w:val="nil"/>
          <w:bottom w:val="nil"/>
          <w:right w:val="nil"/>
          <w:between w:val="nil"/>
        </w:pBdr>
        <w:spacing w:after="0"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Graded representations of efficiency.</w:t>
      </w:r>
      <w:r>
        <w:rPr>
          <w:rFonts w:ascii="Times New Roman" w:eastAsia="Times New Roman" w:hAnsi="Times New Roman" w:cs="Times New Roman"/>
          <w:color w:val="000000"/>
        </w:rPr>
        <w:t xml:space="preserve"> Six-month-old infants represent action efficiency continuously rather than dichotomously (e.g., Liu &amp;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2017);</w:t>
      </w:r>
    </w:p>
    <w:p w14:paraId="0EBDF2D6" w14:textId="77777777" w:rsidR="006F2F23" w:rsidRDefault="00000000">
      <w:pPr>
        <w:numPr>
          <w:ilvl w:val="0"/>
          <w:numId w:val="2"/>
        </w:numPr>
        <w:pBdr>
          <w:top w:val="nil"/>
          <w:left w:val="nil"/>
          <w:bottom w:val="nil"/>
          <w:right w:val="nil"/>
          <w:between w:val="nil"/>
        </w:pBdr>
        <w:spacing w:line="48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efficiency understanding in pre-reaching infants.</w:t>
      </w:r>
      <w:r>
        <w:rPr>
          <w:rFonts w:ascii="Times New Roman" w:eastAsia="Times New Roman" w:hAnsi="Times New Roman" w:cs="Times New Roman"/>
          <w:color w:val="000000"/>
        </w:rPr>
        <w:t xml:space="preserve"> Three-month-olds show the pattern described in (1) following direction-action experience (e.g., Skerry et al., 2013).</w:t>
      </w:r>
    </w:p>
    <w:p w14:paraId="2819BE6E" w14:textId="77777777" w:rsidR="006F2F23" w:rsidRDefault="006F2F23">
      <w:pPr>
        <w:spacing w:after="0" w:line="480" w:lineRule="auto"/>
        <w:rPr>
          <w:rFonts w:ascii="Times New Roman" w:eastAsia="Times New Roman" w:hAnsi="Times New Roman" w:cs="Times New Roman"/>
        </w:rPr>
      </w:pPr>
    </w:p>
    <w:p w14:paraId="7EAB4EC2"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 xml:space="preserve">An experience-based associative learning account of infants’ looking behavior in action efficiency understanding studies </w:t>
      </w:r>
    </w:p>
    <w:p w14:paraId="0CF96FA7" w14:textId="77777777" w:rsidR="006F2F23" w:rsidRDefault="006F2F23">
      <w:pPr>
        <w:spacing w:line="480" w:lineRule="auto"/>
        <w:rPr>
          <w:rFonts w:ascii="Times New Roman" w:eastAsia="Times New Roman" w:hAnsi="Times New Roman" w:cs="Times New Roman"/>
        </w:rPr>
      </w:pPr>
    </w:p>
    <w:tbl>
      <w:tblPr>
        <w:tblStyle w:val="a1"/>
        <w:tblW w:w="1165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11653"/>
      </w:tblGrid>
      <w:tr w:rsidR="006F2F23" w14:paraId="12F759DC" w14:textId="77777777">
        <w:trPr>
          <w:trHeight w:val="6752"/>
        </w:trPr>
        <w:tc>
          <w:tcPr>
            <w:tcW w:w="11653" w:type="dxa"/>
          </w:tcPr>
          <w:p w14:paraId="583D00DB" w14:textId="77777777" w:rsidR="006F2F23" w:rsidRDefault="00000000">
            <w:pPr>
              <w:keepNext/>
              <w:spacing w:line="480" w:lineRule="auto"/>
            </w:pPr>
            <w:r>
              <w:rPr>
                <w:rFonts w:ascii="Times New Roman" w:eastAsia="Times New Roman" w:hAnsi="Times New Roman" w:cs="Times New Roman"/>
                <w:noProof/>
              </w:rPr>
              <w:lastRenderedPageBreak/>
              <w:drawing>
                <wp:inline distT="0" distB="0" distL="0" distR="0" wp14:anchorId="0C5A7BCF" wp14:editId="064C7744">
                  <wp:extent cx="7115013" cy="4624759"/>
                  <wp:effectExtent l="0" t="0" r="0" b="0"/>
                  <wp:docPr id="82"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1"/>
                          <a:srcRect/>
                          <a:stretch>
                            <a:fillRect/>
                          </a:stretch>
                        </pic:blipFill>
                        <pic:spPr>
                          <a:xfrm>
                            <a:off x="0" y="0"/>
                            <a:ext cx="7115013" cy="4624759"/>
                          </a:xfrm>
                          <a:prstGeom prst="rect">
                            <a:avLst/>
                          </a:prstGeom>
                          <a:ln/>
                        </pic:spPr>
                      </pic:pic>
                    </a:graphicData>
                  </a:graphic>
                </wp:inline>
              </w:drawing>
            </w:r>
          </w:p>
          <w:p w14:paraId="3756AB53" w14:textId="77777777" w:rsidR="006F2F23" w:rsidRDefault="00000000">
            <w:pPr>
              <w:pBdr>
                <w:top w:val="nil"/>
                <w:left w:val="nil"/>
                <w:bottom w:val="nil"/>
                <w:right w:val="nil"/>
                <w:between w:val="nil"/>
              </w:pBdr>
              <w:spacing w:after="200"/>
              <w:rPr>
                <w:rFonts w:ascii="Times New Roman" w:eastAsia="Times New Roman" w:hAnsi="Times New Roman" w:cs="Times New Roman"/>
                <w:color w:val="0E2841"/>
              </w:rPr>
            </w:pPr>
            <w:r>
              <w:rPr>
                <w:rFonts w:ascii="Times New Roman" w:eastAsia="Times New Roman" w:hAnsi="Times New Roman" w:cs="Times New Roman"/>
                <w:b/>
                <w:bCs/>
                <w:color w:val="000000"/>
              </w:rPr>
              <w:t>Figure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 xml:space="preserve">Overview of the account instantiated by ALIAS. </w:t>
            </w:r>
            <w:r>
              <w:rPr>
                <w:rFonts w:ascii="Times New Roman" w:eastAsia="Times New Roman" w:hAnsi="Times New Roman" w:cs="Times New Roman"/>
                <w:color w:val="000000"/>
              </w:rPr>
              <w:t xml:space="preserve">(A) In the real world, infants learn associations among action kinematics and visible event features. (B) Habituation either reinforces or weakens these associations, and (C) test events that omit expected features (D) elicit prediction error.  </w:t>
            </w:r>
          </w:p>
        </w:tc>
      </w:tr>
    </w:tbl>
    <w:p w14:paraId="363F0412" w14:textId="77777777" w:rsidR="006F2F23" w:rsidRDefault="006F2F23">
      <w:pPr>
        <w:spacing w:after="0" w:line="480" w:lineRule="auto"/>
        <w:rPr>
          <w:rFonts w:ascii="Times New Roman" w:eastAsia="Times New Roman" w:hAnsi="Times New Roman" w:cs="Times New Roman"/>
        </w:rPr>
      </w:pPr>
    </w:p>
    <w:p w14:paraId="2A8BF4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As Figure 3 illustrates, ALIAS’s central thesis is that infants’ looking patterns are governed by learned associations among the kinematics of different actions and the visible surface features of the objects involved and the physical environments in which those actions occur. The critical associations for the present phenomena link obstacles with arced trajectories and absent obstacles with straight motion. Crucially, the resulting representations are entirely perceptually grounded. Nothing in them reflects goals, constraints, efficiency, cost, or rationality.</w:t>
      </w:r>
    </w:p>
    <w:p w14:paraId="562B6F9A" w14:textId="7F565B10"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Habituation events that align with these associations reinforce them; those that do not weaken them. A corollary of this learning process is that test events that present one component of a learned relation should produce greater prediction error than those presenting both components. Greater looking to inefficient </w:t>
      </w:r>
      <w:r w:rsidR="001B5B10">
        <w:rPr>
          <w:rFonts w:ascii="Times New Roman" w:eastAsia="Times New Roman" w:hAnsi="Times New Roman" w:cs="Times New Roman"/>
        </w:rPr>
        <w:t>relative to efficient actions</w:t>
      </w:r>
      <w:r>
        <w:rPr>
          <w:rFonts w:ascii="Times New Roman" w:eastAsia="Times New Roman" w:hAnsi="Times New Roman" w:cs="Times New Roman"/>
        </w:rPr>
        <w:t xml:space="preserve"> thus arises because inefficient actions</w:t>
      </w:r>
      <w:r w:rsidR="001B5B10">
        <w:rPr>
          <w:rFonts w:ascii="Times New Roman" w:eastAsia="Times New Roman" w:hAnsi="Times New Roman" w:cs="Times New Roman"/>
        </w:rPr>
        <w:t xml:space="preserve"> violate</w:t>
      </w:r>
      <w:r>
        <w:rPr>
          <w:rFonts w:ascii="Times New Roman" w:eastAsia="Times New Roman" w:hAnsi="Times New Roman" w:cs="Times New Roman"/>
        </w:rPr>
        <w:t xml:space="preserve"> learned association between arced trajectories and obstacles, </w:t>
      </w:r>
      <w:r w:rsidR="001B5B10">
        <w:rPr>
          <w:rFonts w:ascii="Times New Roman" w:eastAsia="Times New Roman" w:hAnsi="Times New Roman" w:cs="Times New Roman"/>
        </w:rPr>
        <w:t xml:space="preserve">thereby </w:t>
      </w:r>
      <w:r>
        <w:rPr>
          <w:rFonts w:ascii="Times New Roman" w:eastAsia="Times New Roman" w:hAnsi="Times New Roman" w:cs="Times New Roman"/>
        </w:rPr>
        <w:t>elicit</w:t>
      </w:r>
      <w:r w:rsidR="001B5B10">
        <w:rPr>
          <w:rFonts w:ascii="Times New Roman" w:eastAsia="Times New Roman" w:hAnsi="Times New Roman" w:cs="Times New Roman"/>
        </w:rPr>
        <w:t>ing</w:t>
      </w:r>
      <w:r>
        <w:rPr>
          <w:rFonts w:ascii="Times New Roman" w:eastAsia="Times New Roman" w:hAnsi="Times New Roman" w:cs="Times New Roman"/>
        </w:rPr>
        <w:t xml:space="preserve"> greater prediction error and</w:t>
      </w:r>
      <w:r w:rsidR="001B5B10">
        <w:rPr>
          <w:rFonts w:ascii="Times New Roman" w:eastAsia="Times New Roman" w:hAnsi="Times New Roman" w:cs="Times New Roman"/>
        </w:rPr>
        <w:t xml:space="preserve"> </w:t>
      </w:r>
      <w:r>
        <w:rPr>
          <w:rFonts w:ascii="Times New Roman" w:eastAsia="Times New Roman" w:hAnsi="Times New Roman" w:cs="Times New Roman"/>
        </w:rPr>
        <w:t xml:space="preserve">longer looking (assuming error is the basis of such looking). </w:t>
      </w:r>
    </w:p>
    <w:p w14:paraId="5B65478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effect disappears following unconstrained habituation because, by being located peripheral to the arced trajectory, the barrier is less salient and thus less likely to be encoded. If infants nevertheless manage to notice the barrier in this configuration, any new association formed between it and arced motion will tend to weaken the stronger one between arced trajectories and the obstacles appearing beneath them. In either case, inefficient and efficient actions should be treated equivalently. </w:t>
      </w:r>
    </w:p>
    <w:p w14:paraId="5775E5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account can also explain why pre-reaching infants show the effect only after direct-action experience. Sticky-mittens experience may temporarily heighten infants’ attention to the geometry and trajectory of their own successful reaches (for evidence consistent with this, see Needham et al., 2002 and Sommerville et al., 2005). Because successful reaches likely approximate a straight path, sticky-mittens experience should selectively strengthen the association between no obstacles and straight trajectories. The consequence is that efficient actions should produce less prediction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and thus less looking—than inefficient ones. </w:t>
      </w:r>
    </w:p>
    <w:p w14:paraId="7766BB01" w14:textId="4119FF7C" w:rsidR="007E60D9" w:rsidRDefault="001B5B10">
      <w:pPr>
        <w:spacing w:after="0" w:line="480" w:lineRule="auto"/>
        <w:ind w:firstLine="720"/>
        <w:rPr>
          <w:rFonts w:ascii="Times New Roman" w:eastAsia="Times New Roman" w:hAnsi="Times New Roman" w:cs="Times New Roman"/>
        </w:rPr>
      </w:pPr>
      <w:r>
        <w:rPr>
          <w:rFonts w:ascii="Times New Roman" w:hAnsi="Times New Roman" w:cs="Times New Roman"/>
        </w:rPr>
        <w:t>One important question that this account raises concerns how</w:t>
      </w:r>
      <w:r w:rsidRPr="008B60F5">
        <w:rPr>
          <w:rFonts w:ascii="Times New Roman" w:hAnsi="Times New Roman" w:cs="Times New Roman"/>
        </w:rPr>
        <w:t xml:space="preserve"> pre-reaching infants detect a correspondence between their own reaches and those performed by others</w:t>
      </w:r>
      <w:r>
        <w:rPr>
          <w:rFonts w:ascii="Times New Roman" w:hAnsi="Times New Roman" w:cs="Times New Roman"/>
        </w:rPr>
        <w:t xml:space="preserve"> in the first place.</w:t>
      </w:r>
      <w:r w:rsidRPr="008B60F5">
        <w:rPr>
          <w:rFonts w:ascii="Times New Roman" w:hAnsi="Times New Roman" w:cs="Times New Roman"/>
        </w:rPr>
        <w:t xml:space="preserve"> </w:t>
      </w:r>
      <w:r w:rsidR="007E60D9" w:rsidRPr="007E60D9">
        <w:rPr>
          <w:rFonts w:ascii="Times New Roman" w:eastAsia="Times New Roman" w:hAnsi="Times New Roman" w:cs="Times New Roman"/>
        </w:rPr>
        <w:t>One possibility is that</w:t>
      </w:r>
      <w:r w:rsidR="007E60D9">
        <w:rPr>
          <w:rFonts w:ascii="Times New Roman" w:eastAsia="Times New Roman" w:hAnsi="Times New Roman" w:cs="Times New Roman"/>
        </w:rPr>
        <w:t xml:space="preserve"> </w:t>
      </w:r>
      <w:r w:rsidR="007E60D9" w:rsidRPr="007E60D9">
        <w:rPr>
          <w:rFonts w:ascii="Times New Roman" w:eastAsia="Times New Roman" w:hAnsi="Times New Roman" w:cs="Times New Roman"/>
        </w:rPr>
        <w:t xml:space="preserve">observing their own arm </w:t>
      </w:r>
      <w:r w:rsidR="007E60D9">
        <w:rPr>
          <w:rFonts w:ascii="Times New Roman" w:eastAsia="Times New Roman" w:hAnsi="Times New Roman" w:cs="Times New Roman"/>
        </w:rPr>
        <w:t>movements</w:t>
      </w:r>
      <w:r>
        <w:rPr>
          <w:rFonts w:ascii="Times New Roman" w:eastAsia="Times New Roman" w:hAnsi="Times New Roman" w:cs="Times New Roman"/>
        </w:rPr>
        <w:t xml:space="preserve"> causes </w:t>
      </w:r>
      <w:r w:rsidR="007E60D9">
        <w:rPr>
          <w:rFonts w:ascii="Times New Roman" w:eastAsia="Times New Roman" w:hAnsi="Times New Roman" w:cs="Times New Roman"/>
        </w:rPr>
        <w:t>infants</w:t>
      </w:r>
      <w:r>
        <w:rPr>
          <w:rFonts w:ascii="Times New Roman" w:eastAsia="Times New Roman" w:hAnsi="Times New Roman" w:cs="Times New Roman"/>
        </w:rPr>
        <w:t xml:space="preserve"> to</w:t>
      </w:r>
      <w:r w:rsidR="007E60D9">
        <w:rPr>
          <w:rFonts w:ascii="Times New Roman" w:eastAsia="Times New Roman" w:hAnsi="Times New Roman" w:cs="Times New Roman"/>
        </w:rPr>
        <w:t xml:space="preserve"> form </w:t>
      </w:r>
      <w:proofErr w:type="spellStart"/>
      <w:r w:rsidR="007E60D9" w:rsidRPr="007E60D9">
        <w:rPr>
          <w:rFonts w:ascii="Times New Roman" w:eastAsia="Times New Roman" w:hAnsi="Times New Roman" w:cs="Times New Roman"/>
        </w:rPr>
        <w:t>amodal</w:t>
      </w:r>
      <w:proofErr w:type="spellEnd"/>
      <w:r w:rsidR="007E60D9" w:rsidRPr="007E60D9">
        <w:rPr>
          <w:rFonts w:ascii="Times New Roman" w:eastAsia="Times New Roman" w:hAnsi="Times New Roman" w:cs="Times New Roman"/>
        </w:rPr>
        <w:t xml:space="preserve"> representations of </w:t>
      </w:r>
      <w:r w:rsidR="007E60D9">
        <w:rPr>
          <w:rFonts w:ascii="Times New Roman" w:eastAsia="Times New Roman" w:hAnsi="Times New Roman" w:cs="Times New Roman"/>
        </w:rPr>
        <w:t>the geometry and trajectory of those reaches.</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 xml:space="preserve">A corollary of this is that </w:t>
      </w:r>
      <w:r w:rsidR="00A24A0D">
        <w:rPr>
          <w:rFonts w:ascii="Times New Roman" w:eastAsia="Times New Roman" w:hAnsi="Times New Roman" w:cs="Times New Roman"/>
        </w:rPr>
        <w:lastRenderedPageBreak/>
        <w:t>efficient reaches enacted by others should be rendered more familiar due to their overlap with</w:t>
      </w:r>
      <w:r w:rsidR="007E60D9" w:rsidRPr="007E60D9">
        <w:rPr>
          <w:rFonts w:ascii="Times New Roman" w:eastAsia="Times New Roman" w:hAnsi="Times New Roman" w:cs="Times New Roman"/>
        </w:rPr>
        <w:t xml:space="preserve"> </w:t>
      </w:r>
      <w:r w:rsidR="00A24A0D">
        <w:rPr>
          <w:rFonts w:ascii="Times New Roman" w:eastAsia="Times New Roman" w:hAnsi="Times New Roman" w:cs="Times New Roman"/>
        </w:rPr>
        <w:t xml:space="preserve">such </w:t>
      </w:r>
      <w:proofErr w:type="spellStart"/>
      <w:r w:rsidR="00A24A0D">
        <w:rPr>
          <w:rFonts w:ascii="Times New Roman" w:eastAsia="Times New Roman" w:hAnsi="Times New Roman" w:cs="Times New Roman"/>
        </w:rPr>
        <w:t>amodal</w:t>
      </w:r>
      <w:proofErr w:type="spellEnd"/>
      <w:r w:rsidR="00A24A0D">
        <w:rPr>
          <w:rFonts w:ascii="Times New Roman" w:eastAsia="Times New Roman" w:hAnsi="Times New Roman" w:cs="Times New Roman"/>
        </w:rPr>
        <w:t xml:space="preserve"> representations</w:t>
      </w:r>
      <w:r>
        <w:rPr>
          <w:rFonts w:ascii="Times New Roman" w:eastAsia="Times New Roman" w:hAnsi="Times New Roman" w:cs="Times New Roman"/>
        </w:rPr>
        <w:t>.</w:t>
      </w:r>
    </w:p>
    <w:p w14:paraId="60E109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next section opens with a brief discussion of VOM10 and its modified variant, VOM10-2, followed by a discussion of ALIAS and its modified variant, ALIAS-2. To determine whether ALIAS could reproduce the five target findings as well as whether it provided a better account of these findings than any of the competitor models, five simulations are then reported.  Two additional simulations are then presented demonstrating that ALIAS does more than capture existing data: It can generate predictions that meaningfully diverge from those of domain-specific accounts and that serve as predictions for how infants would perform in analogous experiments. In all simulations, only the most critical aspects of the corresponding experiments were preserved. Reasonable assumptions were made when methodological details were unavailable. Simulations were run using the Lens neural network simulator (Rohde, 1999). All training, testing, and data files are available for download at </w:t>
      </w:r>
      <w:hyperlink r:id="rId12">
        <w:r w:rsidR="006F2F23">
          <w:rPr>
            <w:rFonts w:ascii="Times New Roman" w:eastAsia="Times New Roman" w:hAnsi="Times New Roman" w:cs="Times New Roman"/>
            <w:color w:val="467886"/>
            <w:u w:val="single"/>
          </w:rPr>
          <w:t>https://osf.io/9eqpf/?view_only=62f752417a9141c7b0509a998039ad13</w:t>
        </w:r>
      </w:hyperlink>
      <w:r>
        <w:rPr>
          <w:rFonts w:ascii="Times New Roman" w:eastAsia="Times New Roman" w:hAnsi="Times New Roman" w:cs="Times New Roman"/>
        </w:rPr>
        <w:t>.</w:t>
      </w:r>
    </w:p>
    <w:p w14:paraId="3443B9C7" w14:textId="033F18B5" w:rsidR="006F2F23" w:rsidRDefault="008F2839" w:rsidP="00CD3B1B">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Two points are</w:t>
      </w:r>
      <w:r w:rsidR="00F3185B">
        <w:rPr>
          <w:rFonts w:ascii="Times New Roman" w:eastAsia="Times New Roman" w:hAnsi="Times New Roman" w:cs="Times New Roman"/>
        </w:rPr>
        <w:t xml:space="preserve"> worth noting before turning to the simulations</w:t>
      </w:r>
      <w:r>
        <w:rPr>
          <w:rFonts w:ascii="Times New Roman" w:eastAsia="Times New Roman" w:hAnsi="Times New Roman" w:cs="Times New Roman"/>
        </w:rPr>
        <w:t xml:space="preserve">. First, </w:t>
      </w:r>
      <w:r w:rsidR="00F3185B" w:rsidRPr="00F3185B">
        <w:rPr>
          <w:rFonts w:ascii="Times New Roman" w:eastAsia="Times New Roman" w:hAnsi="Times New Roman" w:cs="Times New Roman"/>
        </w:rPr>
        <w:t xml:space="preserve">ALIAS </w:t>
      </w:r>
      <w:r w:rsidR="00F3185B">
        <w:rPr>
          <w:rFonts w:ascii="Times New Roman" w:eastAsia="Times New Roman" w:hAnsi="Times New Roman" w:cs="Times New Roman"/>
        </w:rPr>
        <w:t xml:space="preserve">is </w:t>
      </w:r>
      <w:r w:rsidR="00F3185B" w:rsidRPr="00F3185B">
        <w:rPr>
          <w:rFonts w:ascii="Times New Roman" w:eastAsia="Times New Roman" w:hAnsi="Times New Roman" w:cs="Times New Roman"/>
        </w:rPr>
        <w:t xml:space="preserve">neither a theory of action efficiency understanding nor of how such a capacity develops. </w:t>
      </w:r>
      <w:r w:rsidR="00875845">
        <w:rPr>
          <w:rFonts w:ascii="Times New Roman" w:eastAsia="Times New Roman" w:hAnsi="Times New Roman" w:cs="Times New Roman"/>
        </w:rPr>
        <w:t>It is a</w:t>
      </w:r>
      <w:r w:rsidR="00F4722E">
        <w:rPr>
          <w:rFonts w:ascii="Times New Roman" w:eastAsia="Times New Roman" w:hAnsi="Times New Roman" w:cs="Times New Roman"/>
        </w:rPr>
        <w:t>n account of the mechanistic basis of</w:t>
      </w:r>
      <w:r w:rsidR="00875845">
        <w:rPr>
          <w:rFonts w:ascii="Times New Roman" w:eastAsia="Times New Roman" w:hAnsi="Times New Roman" w:cs="Times New Roman"/>
        </w:rPr>
        <w:t xml:space="preserve"> </w:t>
      </w:r>
      <w:r w:rsidR="00F3185B">
        <w:rPr>
          <w:rFonts w:ascii="Times New Roman" w:eastAsia="Times New Roman" w:hAnsi="Times New Roman" w:cs="Times New Roman"/>
        </w:rPr>
        <w:t xml:space="preserve">infants’ </w:t>
      </w:r>
      <w:r w:rsidR="00CD3B1B">
        <w:rPr>
          <w:rFonts w:ascii="Times New Roman" w:eastAsia="Times New Roman" w:hAnsi="Times New Roman" w:cs="Times New Roman"/>
        </w:rPr>
        <w:t xml:space="preserve">looking </w:t>
      </w:r>
      <w:r w:rsidR="00CD3B1B" w:rsidRPr="00F3185B">
        <w:rPr>
          <w:rFonts w:ascii="Times New Roman" w:eastAsia="Times New Roman" w:hAnsi="Times New Roman" w:cs="Times New Roman"/>
        </w:rPr>
        <w:t>behaviors</w:t>
      </w:r>
      <w:r w:rsidR="00F3185B" w:rsidRPr="00F3185B">
        <w:rPr>
          <w:rFonts w:ascii="Times New Roman" w:eastAsia="Times New Roman" w:hAnsi="Times New Roman" w:cs="Times New Roman"/>
        </w:rPr>
        <w:t xml:space="preserve"> in studies </w:t>
      </w:r>
      <w:r w:rsidR="007A1544">
        <w:rPr>
          <w:rFonts w:ascii="Times New Roman" w:eastAsia="Times New Roman" w:hAnsi="Times New Roman" w:cs="Times New Roman"/>
        </w:rPr>
        <w:t>on this topic.</w:t>
      </w:r>
      <w:r w:rsidR="00874297">
        <w:rPr>
          <w:rFonts w:ascii="Times New Roman" w:eastAsia="Times New Roman" w:hAnsi="Times New Roman" w:cs="Times New Roman"/>
        </w:rPr>
        <w:t xml:space="preserve"> </w:t>
      </w:r>
      <w:r w:rsidR="00075D5E">
        <w:rPr>
          <w:rFonts w:ascii="Times New Roman" w:eastAsia="Times New Roman" w:hAnsi="Times New Roman" w:cs="Times New Roman"/>
        </w:rPr>
        <w:t>This point is revisited in the General Discussion</w:t>
      </w:r>
      <w:r w:rsidR="00874297">
        <w:rPr>
          <w:rFonts w:ascii="Times New Roman" w:eastAsia="Times New Roman" w:hAnsi="Times New Roman" w:cs="Times New Roman"/>
        </w:rPr>
        <w:t xml:space="preserve">. </w:t>
      </w:r>
      <w:r>
        <w:rPr>
          <w:rFonts w:ascii="Times New Roman" w:eastAsia="Times New Roman" w:hAnsi="Times New Roman" w:cs="Times New Roman"/>
        </w:rPr>
        <w:t xml:space="preserve">Second, </w:t>
      </w:r>
      <w:r w:rsidR="00F233C3" w:rsidRPr="00F233C3">
        <w:rPr>
          <w:rFonts w:ascii="Times New Roman" w:eastAsia="Times New Roman" w:hAnsi="Times New Roman" w:cs="Times New Roman"/>
        </w:rPr>
        <w:t xml:space="preserve">demonstrating that </w:t>
      </w:r>
      <w:r w:rsidR="00F233C3">
        <w:rPr>
          <w:rFonts w:ascii="Times New Roman" w:eastAsia="Times New Roman" w:hAnsi="Times New Roman" w:cs="Times New Roman"/>
        </w:rPr>
        <w:t>ALIAS</w:t>
      </w:r>
      <w:r w:rsidR="00F233C3" w:rsidRPr="00F233C3">
        <w:rPr>
          <w:rFonts w:ascii="Times New Roman" w:eastAsia="Times New Roman" w:hAnsi="Times New Roman" w:cs="Times New Roman"/>
        </w:rPr>
        <w:t xml:space="preserve"> can capture the very same data as domain-specific proposals does not disprove them any more than </w:t>
      </w:r>
      <w:r w:rsidR="0021679C">
        <w:rPr>
          <w:rFonts w:ascii="Times New Roman" w:eastAsia="Times New Roman" w:hAnsi="Times New Roman" w:cs="Times New Roman"/>
        </w:rPr>
        <w:t xml:space="preserve">it </w:t>
      </w:r>
      <w:r w:rsidR="00875845">
        <w:rPr>
          <w:rFonts w:ascii="Times New Roman" w:eastAsia="Times New Roman" w:hAnsi="Times New Roman" w:cs="Times New Roman"/>
        </w:rPr>
        <w:t xml:space="preserve">establishes </w:t>
      </w:r>
      <w:r w:rsidR="0021679C">
        <w:rPr>
          <w:rFonts w:ascii="Times New Roman" w:eastAsia="Times New Roman" w:hAnsi="Times New Roman" w:cs="Times New Roman"/>
        </w:rPr>
        <w:t>ALIAS as the right account.</w:t>
      </w:r>
      <w:r w:rsidR="00F233C3" w:rsidRPr="00F233C3">
        <w:rPr>
          <w:rFonts w:ascii="Times New Roman" w:eastAsia="Times New Roman" w:hAnsi="Times New Roman" w:cs="Times New Roman"/>
        </w:rPr>
        <w:t xml:space="preserve"> </w:t>
      </w:r>
      <w:r w:rsidR="00875845">
        <w:rPr>
          <w:rFonts w:ascii="Times New Roman" w:eastAsia="Times New Roman" w:hAnsi="Times New Roman" w:cs="Times New Roman"/>
        </w:rPr>
        <w:t>Instead, it</w:t>
      </w:r>
      <w:r w:rsidR="00F233C3" w:rsidRPr="00F233C3">
        <w:rPr>
          <w:rFonts w:ascii="Times New Roman" w:eastAsia="Times New Roman" w:hAnsi="Times New Roman" w:cs="Times New Roman"/>
        </w:rPr>
        <w:t xml:space="preserve"> </w:t>
      </w:r>
      <w:r w:rsidR="001823E7" w:rsidRPr="00F233C3">
        <w:rPr>
          <w:rFonts w:ascii="Times New Roman" w:eastAsia="Times New Roman" w:hAnsi="Times New Roman" w:cs="Times New Roman"/>
        </w:rPr>
        <w:t>serves</w:t>
      </w:r>
      <w:r w:rsidR="00F233C3" w:rsidRPr="00F233C3">
        <w:rPr>
          <w:rFonts w:ascii="Times New Roman" w:eastAsia="Times New Roman" w:hAnsi="Times New Roman" w:cs="Times New Roman"/>
        </w:rPr>
        <w:t xml:space="preserve"> as proof of concept that infants’ behavior </w:t>
      </w:r>
      <w:r w:rsidR="00F233C3">
        <w:rPr>
          <w:rFonts w:ascii="Times New Roman" w:eastAsia="Times New Roman" w:hAnsi="Times New Roman" w:cs="Times New Roman"/>
        </w:rPr>
        <w:t>in these studies</w:t>
      </w:r>
      <w:r w:rsidR="00F233C3" w:rsidRPr="00F233C3">
        <w:rPr>
          <w:rFonts w:ascii="Times New Roman" w:eastAsia="Times New Roman" w:hAnsi="Times New Roman" w:cs="Times New Roman"/>
        </w:rPr>
        <w:t xml:space="preserve"> can emerge from more general processes</w:t>
      </w:r>
      <w:r w:rsidR="00841EA0">
        <w:rPr>
          <w:rFonts w:ascii="Times New Roman" w:eastAsia="Times New Roman" w:hAnsi="Times New Roman" w:cs="Times New Roman"/>
        </w:rPr>
        <w:t xml:space="preserve">, </w:t>
      </w:r>
      <w:r w:rsidR="0050035E">
        <w:rPr>
          <w:rFonts w:ascii="Times New Roman" w:eastAsia="Times New Roman" w:hAnsi="Times New Roman" w:cs="Times New Roman"/>
        </w:rPr>
        <w:t>thereby calling into</w:t>
      </w:r>
      <w:r w:rsidR="0021679C">
        <w:rPr>
          <w:rFonts w:ascii="Times New Roman" w:eastAsia="Times New Roman" w:hAnsi="Times New Roman" w:cs="Times New Roman"/>
        </w:rPr>
        <w:t xml:space="preserve"> </w:t>
      </w:r>
      <w:r w:rsidR="0050035E">
        <w:rPr>
          <w:rFonts w:ascii="Times New Roman" w:eastAsia="Times New Roman" w:hAnsi="Times New Roman" w:cs="Times New Roman"/>
        </w:rPr>
        <w:t xml:space="preserve">question whether </w:t>
      </w:r>
      <w:r w:rsidR="006F4CBC">
        <w:rPr>
          <w:rFonts w:ascii="Times New Roman" w:eastAsia="Times New Roman" w:hAnsi="Times New Roman" w:cs="Times New Roman"/>
        </w:rPr>
        <w:t>findings from these studies</w:t>
      </w:r>
      <w:r w:rsidR="00F233C3" w:rsidRPr="00F233C3">
        <w:rPr>
          <w:rFonts w:ascii="Times New Roman" w:eastAsia="Times New Roman" w:hAnsi="Times New Roman" w:cs="Times New Roman"/>
        </w:rPr>
        <w:t xml:space="preserve"> uniquely support domain-specific interpretations.</w:t>
      </w:r>
    </w:p>
    <w:p w14:paraId="177078C1" w14:textId="77777777" w:rsidR="00D56B0E" w:rsidRDefault="00D56B0E" w:rsidP="00CD3B1B">
      <w:pPr>
        <w:spacing w:after="0" w:line="480" w:lineRule="auto"/>
        <w:ind w:firstLine="720"/>
        <w:rPr>
          <w:rFonts w:ascii="Times New Roman" w:eastAsia="Times New Roman" w:hAnsi="Times New Roman" w:cs="Times New Roman"/>
        </w:rPr>
      </w:pPr>
    </w:p>
    <w:p w14:paraId="253AC902"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General Method</w:t>
      </w:r>
    </w:p>
    <w:p w14:paraId="5B3E10AA"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Models</w:t>
      </w:r>
    </w:p>
    <w:p w14:paraId="771239C6"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VOM10</w:t>
      </w:r>
    </w:p>
    <w:p w14:paraId="113F4FF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This model was a one-layer recurrent connectionist model consisting of 27 fully interconnected units—25 of these units implemented </w:t>
      </w:r>
      <w:proofErr w:type="gramStart"/>
      <w:r>
        <w:rPr>
          <w:rFonts w:ascii="Times New Roman" w:eastAsia="Times New Roman" w:hAnsi="Times New Roman" w:cs="Times New Roman"/>
        </w:rPr>
        <w:t>a 5 ×</w:t>
      </w:r>
      <w:proofErr w:type="gramEnd"/>
      <w:r>
        <w:rPr>
          <w:rFonts w:ascii="Times New Roman" w:eastAsia="Times New Roman" w:hAnsi="Times New Roman" w:cs="Times New Roman"/>
        </w:rPr>
        <w:t xml:space="preserve"> 5 spatial grid and the remaining two represented an agent and goal object. Training involved presenting action trajectories that unfolded across a series of discrete time steps. Figure 4 illustrates such an action sequence. VOM10-2 was identical except that the agent no longer overshot the barrier </w:t>
      </w:r>
      <w:proofErr w:type="gramStart"/>
      <w:r>
        <w:rPr>
          <w:rFonts w:ascii="Times New Roman" w:eastAsia="Times New Roman" w:hAnsi="Times New Roman" w:cs="Times New Roman"/>
        </w:rPr>
        <w:t>by</w:t>
      </w:r>
      <w:proofErr w:type="gramEnd"/>
      <w:r>
        <w:rPr>
          <w:rFonts w:ascii="Times New Roman" w:eastAsia="Times New Roman" w:hAnsi="Times New Roman" w:cs="Times New Roman"/>
        </w:rPr>
        <w:t xml:space="preserve"> one cell (seen in the middle cell of the middle row in Figure 4). Additionally, in VOM10-2 the barrier and goal remained continuously visible throughout the agent’s arced trajectory. </w:t>
      </w:r>
    </w:p>
    <w:p w14:paraId="44EBE4CA" w14:textId="77777777" w:rsidR="006F2F23" w:rsidRDefault="006F2F23">
      <w:pPr>
        <w:spacing w:after="0" w:line="480" w:lineRule="auto"/>
        <w:rPr>
          <w:rFonts w:ascii="Times New Roman" w:eastAsia="Times New Roman" w:hAnsi="Times New Roman" w:cs="Times New Roman"/>
        </w:rPr>
      </w:pPr>
    </w:p>
    <w:p w14:paraId="28B4F15A" w14:textId="77777777" w:rsidR="006F2F23" w:rsidRDefault="00000000">
      <w:pPr>
        <w:keepNext/>
        <w:spacing w:line="480" w:lineRule="auto"/>
      </w:pPr>
      <w:r>
        <w:rPr>
          <w:noProof/>
        </w:rPr>
        <w:lastRenderedPageBreak/>
        <w:drawing>
          <wp:inline distT="0" distB="0" distL="0" distR="0" wp14:anchorId="3E880E9F" wp14:editId="04A5B5F8">
            <wp:extent cx="5943600" cy="5284470"/>
            <wp:effectExtent l="0" t="0" r="0" b="0"/>
            <wp:docPr id="81"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5943600" cy="5284470"/>
                    </a:xfrm>
                    <a:prstGeom prst="rect">
                      <a:avLst/>
                    </a:prstGeom>
                    <a:ln/>
                  </pic:spPr>
                </pic:pic>
              </a:graphicData>
            </a:graphic>
          </wp:inline>
        </w:drawing>
      </w:r>
    </w:p>
    <w:p w14:paraId="409BC69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4. </w:t>
      </w:r>
      <w:r>
        <w:rPr>
          <w:rFonts w:ascii="Times New Roman" w:eastAsia="Times New Roman" w:hAnsi="Times New Roman" w:cs="Times New Roman"/>
          <w:i/>
          <w:iCs/>
          <w:color w:val="000000"/>
        </w:rPr>
        <w:t>Input patterns shown to VOM10 networks in the Experimental condition across nine steps</w:t>
      </w:r>
      <w:r>
        <w:rPr>
          <w:rFonts w:ascii="Times New Roman" w:eastAsia="Times New Roman" w:hAnsi="Times New Roman" w:cs="Times New Roman"/>
          <w:color w:val="000000"/>
        </w:rPr>
        <w:t xml:space="preserve">. Each panel represents the input to the network at that time step. The central 5 × 5 array corresponds to the spatial grid; the two units flanking the spatial grid correspond to the agent and goal objects. Dark green indicates the agent’s current position (+1), light green indicates adjacent cells (+0.5), red indicates the presence of the barrier (-1), and gray indicates no activation (0). The goal unit is activated only at the final step. The barrier is present only when the agent occupies a position immediately adjacent to it (see Van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overlaid curved path in each panel depicts the amount of arc motion the agent has completed through that time step. Two-headed arrows and the circular arrow denote bidirectional connectivity. As in </w:t>
      </w:r>
      <w:proofErr w:type="spellStart"/>
      <w:r>
        <w:rPr>
          <w:rFonts w:ascii="Times New Roman" w:eastAsia="Times New Roman" w:hAnsi="Times New Roman" w:cs="Times New Roman"/>
          <w:color w:val="000000"/>
        </w:rPr>
        <w:t>Overwalle</w:t>
      </w:r>
      <w:proofErr w:type="spellEnd"/>
      <w:r>
        <w:rPr>
          <w:rFonts w:ascii="Times New Roman" w:eastAsia="Times New Roman" w:hAnsi="Times New Roman" w:cs="Times New Roman"/>
          <w:color w:val="000000"/>
        </w:rPr>
        <w:t xml:space="preserve"> (2010), the critical units for arced motion were the three units comprising its apex; the bottommost middle cell was the critical unit for the straight path. See the online article for a color version of this figure.</w:t>
      </w:r>
    </w:p>
    <w:p w14:paraId="331F425D" w14:textId="77777777" w:rsidR="006F2F23" w:rsidRDefault="006F2F23">
      <w:pPr>
        <w:spacing w:after="0" w:line="480" w:lineRule="auto"/>
        <w:rPr>
          <w:rFonts w:ascii="Times New Roman" w:eastAsia="Times New Roman" w:hAnsi="Times New Roman" w:cs="Times New Roman"/>
        </w:rPr>
      </w:pPr>
    </w:p>
    <w:p w14:paraId="5141AEA5" w14:textId="77777777" w:rsidR="006F2F23" w:rsidRDefault="006F2F23">
      <w:pPr>
        <w:spacing w:after="0" w:line="480" w:lineRule="auto"/>
        <w:rPr>
          <w:rFonts w:ascii="Times New Roman" w:eastAsia="Times New Roman" w:hAnsi="Times New Roman" w:cs="Times New Roman"/>
        </w:rPr>
      </w:pPr>
    </w:p>
    <w:p w14:paraId="5FD5C702" w14:textId="77777777" w:rsidR="006F2F23" w:rsidRDefault="00000000">
      <w:pPr>
        <w:spacing w:after="0" w:line="480" w:lineRule="auto"/>
        <w:rPr>
          <w:rFonts w:ascii="Times New Roman" w:eastAsia="Times New Roman" w:hAnsi="Times New Roman" w:cs="Times New Roman"/>
          <w:b/>
          <w:bCs/>
          <w:i/>
          <w:iCs/>
        </w:rPr>
      </w:pPr>
      <w:r>
        <w:rPr>
          <w:rFonts w:ascii="Times New Roman" w:eastAsia="Times New Roman" w:hAnsi="Times New Roman" w:cs="Times New Roman"/>
          <w:b/>
          <w:bCs/>
          <w:i/>
          <w:iCs/>
        </w:rPr>
        <w:t>ALIAS</w:t>
      </w:r>
    </w:p>
    <w:p w14:paraId="2740741D" w14:textId="77777777" w:rsidR="006F2F23" w:rsidRDefault="00000000">
      <w:pPr>
        <w:spacing w:after="0" w:line="480" w:lineRule="auto"/>
        <w:rPr>
          <w:rFonts w:ascii="Times New Roman" w:eastAsia="Times New Roman" w:hAnsi="Times New Roman" w:cs="Times New Roman"/>
          <w:b/>
          <w:bCs/>
        </w:rPr>
      </w:pPr>
      <w:r>
        <w:rPr>
          <w:rFonts w:ascii="Times New Roman" w:eastAsia="Times New Roman" w:hAnsi="Times New Roman" w:cs="Times New Roman"/>
          <w:b/>
          <w:bCs/>
        </w:rPr>
        <w:t>Method</w:t>
      </w:r>
      <w:r>
        <w:rPr>
          <w:noProof/>
        </w:rPr>
        <mc:AlternateContent>
          <mc:Choice Requires="wps">
            <w:drawing>
              <wp:anchor distT="45720" distB="45720" distL="114300" distR="114300" simplePos="0" relativeHeight="251658240" behindDoc="0" locked="0" layoutInCell="1" hidden="0" allowOverlap="1" wp14:anchorId="64429427" wp14:editId="693A8AAF">
                <wp:simplePos x="0" y="0"/>
                <wp:positionH relativeFrom="column">
                  <wp:posOffset>-703579</wp:posOffset>
                </wp:positionH>
                <wp:positionV relativeFrom="paragraph">
                  <wp:posOffset>410209</wp:posOffset>
                </wp:positionV>
                <wp:extent cx="7459345" cy="5985510"/>
                <wp:effectExtent l="0" t="0" r="8255" b="0"/>
                <wp:wrapSquare wrapText="bothSides" distT="45720" distB="45720" distL="114300" distR="114300"/>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713155EB" w14:textId="77777777" w:rsidR="002069A3" w:rsidRDefault="00000000" w:rsidP="004D4F4D">
                            <w:pPr>
                              <w:keepNext/>
                              <w:jc w:val="center"/>
                            </w:pPr>
                            <w:r>
                              <w:rPr>
                                <w:noProof/>
                              </w:rPr>
                              <w:drawing>
                                <wp:inline distT="0" distB="0" distL="0" distR="0" wp14:anchorId="1DE50DC3" wp14:editId="774DA516">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4"/>
                                          <a:stretch>
                                            <a:fillRect/>
                                          </a:stretch>
                                        </pic:blipFill>
                                        <pic:spPr>
                                          <a:xfrm>
                                            <a:off x="0" y="0"/>
                                            <a:ext cx="7359962" cy="4906641"/>
                                          </a:xfrm>
                                          <a:prstGeom prst="rect">
                                            <a:avLst/>
                                          </a:prstGeom>
                                        </pic:spPr>
                                      </pic:pic>
                                    </a:graphicData>
                                  </a:graphic>
                                </wp:inline>
                              </w:drawing>
                            </w:r>
                          </w:p>
                          <w:p w14:paraId="0CBA0219" w14:textId="77777777" w:rsidR="002069A3" w:rsidRPr="00385ADB" w:rsidRDefault="00000000" w:rsidP="00886EEB">
                            <w:pPr>
                              <w:rPr>
                                <w:rFonts w:ascii="Times New Roman" w:hAnsi="Times New Roman" w:cs="Times New Roman"/>
                                <w:color w:val="000000" w:themeColor="text1"/>
                              </w:rPr>
                            </w:pPr>
                            <w:r w:rsidRPr="00F41036">
                              <w:rPr>
                                <w:rFonts w:ascii="Times New Roman" w:hAnsi="Times New Roman" w:cs="Times New Roman"/>
                                <w:color w:val="000000" w:themeColor="text1"/>
                              </w:rPr>
                              <w:t xml:space="preserve">Figure </w:t>
                            </w:r>
                            <w:r w:rsidRPr="00F41036">
                              <w:rPr>
                                <w:rFonts w:ascii="Times New Roman" w:hAnsi="Times New Roman" w:cs="Times New Roman"/>
                                <w:color w:val="000000" w:themeColor="text1"/>
                              </w:rPr>
                              <w:fldChar w:fldCharType="begin"/>
                            </w:r>
                            <w:r w:rsidRPr="00F41036">
                              <w:rPr>
                                <w:rFonts w:ascii="Times New Roman" w:hAnsi="Times New Roman" w:cs="Times New Roman"/>
                                <w:color w:val="000000" w:themeColor="text1"/>
                              </w:rPr>
                              <w:instrText xml:space="preserve"> SEQ Figure \* ARABIC </w:instrText>
                            </w:r>
                            <w:r w:rsidRPr="00F41036">
                              <w:rPr>
                                <w:rFonts w:ascii="Times New Roman" w:hAnsi="Times New Roman" w:cs="Times New Roman"/>
                                <w:color w:val="000000" w:themeColor="text1"/>
                              </w:rPr>
                              <w:fldChar w:fldCharType="separate"/>
                            </w:r>
                            <w:r>
                              <w:rPr>
                                <w:rFonts w:ascii="Times New Roman" w:hAnsi="Times New Roman" w:cs="Times New Roman"/>
                                <w:noProof/>
                                <w:color w:val="000000" w:themeColor="text1"/>
                              </w:rPr>
                              <w:t>5</w:t>
                            </w:r>
                            <w:r w:rsidRPr="00F41036">
                              <w:rPr>
                                <w:rFonts w:ascii="Times New Roman" w:hAnsi="Times New Roman" w:cs="Times New Roman"/>
                                <w:color w:val="000000" w:themeColor="text1"/>
                              </w:rPr>
                              <w:fldChar w:fldCharType="end"/>
                            </w:r>
                            <w:r w:rsidRPr="00F41036">
                              <w:rPr>
                                <w:rFonts w:ascii="Times New Roman" w:hAnsi="Times New Roman" w:cs="Times New Roman"/>
                                <w:color w:val="000000" w:themeColor="text1"/>
                              </w:rPr>
                              <w:t xml:space="preserve">. </w:t>
                            </w:r>
                            <w:r w:rsidRPr="006C0CF3">
                              <w:rPr>
                                <w:rFonts w:ascii="Times New Roman" w:hAnsi="Times New Roman" w:cs="Times New Roman"/>
                                <w:color w:val="000000" w:themeColor="text1"/>
                              </w:rPr>
                              <w:t xml:space="preserve">Architecture of the ALIAS model. </w:t>
                            </w:r>
                            <w:r w:rsidRPr="0051151E">
                              <w:rPr>
                                <w:rFonts w:ascii="Times New Roman" w:hAnsi="Times New Roman" w:cs="Times New Roman"/>
                                <w:color w:val="000000" w:themeColor="text1"/>
                              </w:rPr>
                              <w:t>The model consisted of input, hidden, context, and output layers.</w:t>
                            </w:r>
                            <w:r>
                              <w:rPr>
                                <w:rFonts w:ascii="Times New Roman" w:hAnsi="Times New Roman" w:cs="Times New Roman"/>
                                <w:color w:val="000000" w:themeColor="text1"/>
                              </w:rPr>
                              <w:t xml:space="preserve"> Input and output layers consisted of 193 units. The model combined an autoencoder (Groups 1-2 and 4-11) with an SRN (Group 3). The autoencoder copied the input activity to the output layer; the SRN predicted subsequent spatial positions from earlier ones. See the online article for a color version of this figure.</w:t>
                            </w:r>
                          </w:p>
                          <w:p w14:paraId="56EF37F2" w14:textId="77777777" w:rsidR="002069A3" w:rsidRPr="00E03CC8" w:rsidRDefault="002069A3" w:rsidP="004D4F4D">
                            <w:pPr>
                              <w:rPr>
                                <w:rFonts w:ascii="Times New Roman" w:hAnsi="Times New Roman" w:cs="Times New Roman"/>
                              </w:rPr>
                            </w:pPr>
                          </w:p>
                          <w:p w14:paraId="324227F7" w14:textId="77777777" w:rsidR="002069A3" w:rsidRDefault="002069A3" w:rsidP="004D4F4D">
                            <w:pPr>
                              <w:keepNext/>
                            </w:pPr>
                          </w:p>
                          <w:p w14:paraId="2F03FB89" w14:textId="77777777" w:rsidR="002069A3" w:rsidRDefault="002069A3" w:rsidP="004D4F4D"/>
                        </w:txbxContent>
                      </wps:txbx>
                      <wps:bodyPr rot="0" vert="horz" wrap="square" lIns="91440" tIns="45720" rIns="91440" bIns="4572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-703579</wp:posOffset>
                </wp:positionH>
                <wp:positionV relativeFrom="paragraph">
                  <wp:posOffset>410209</wp:posOffset>
                </wp:positionV>
                <wp:extent cx="7467600" cy="5985510"/>
                <wp:effectExtent b="0" l="0" r="0" t="0"/>
                <wp:wrapSquare wrapText="bothSides" distB="45720" distT="45720" distL="114300" distR="114300"/>
                <wp:docPr id="8" name="image31.png"/>
                <a:graphic>
                  <a:graphicData uri="http://schemas.openxmlformats.org/drawingml/2006/picture">
                    <pic:pic>
                      <pic:nvPicPr>
                        <pic:cNvPr id="0" name="image31.png"/>
                        <pic:cNvPicPr preferRelativeResize="0"/>
                      </pic:nvPicPr>
                      <pic:blipFill>
                        <a:blip r:embed="rId15"/>
                        <a:srcRect b="0" l="0" r="0" t="0"/>
                        <a:stretch>
                          <a:fillRect/>
                        </a:stretch>
                      </pic:blipFill>
                      <pic:spPr>
                        <a:xfrm>
                          <a:off x="0" y="0"/>
                          <a:ext cx="7467600" cy="5985510"/>
                        </a:xfrm>
                        <a:prstGeom prst="rect"/>
                        <a:ln/>
                      </pic:spPr>
                    </pic:pic>
                  </a:graphicData>
                </a:graphic>
              </wp:anchor>
            </w:drawing>
          </mc:Fallback>
        </mc:AlternateContent>
      </w:r>
    </w:p>
    <w:p w14:paraId="6EB354F3" w14:textId="77777777" w:rsidR="006F2F23" w:rsidRDefault="006F2F23">
      <w:pPr>
        <w:spacing w:after="0" w:line="480" w:lineRule="auto"/>
        <w:ind w:firstLine="720"/>
        <w:rPr>
          <w:rFonts w:ascii="Times New Roman" w:eastAsia="Times New Roman" w:hAnsi="Times New Roman" w:cs="Times New Roman"/>
          <w:b/>
          <w:bCs/>
          <w:i/>
          <w:iCs/>
        </w:rPr>
      </w:pPr>
    </w:p>
    <w:p w14:paraId="70CED50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Network Architecture.</w:t>
      </w:r>
      <w:r>
        <w:rPr>
          <w:rFonts w:ascii="Times New Roman" w:eastAsia="Times New Roman" w:hAnsi="Times New Roman" w:cs="Times New Roman"/>
        </w:rPr>
        <w:t xml:space="preserve"> Figure 5 shows the model architecture. ALIAS combined an autoencoder with a simple recurrent network (SRN). Autoencoders learn compact internal </w:t>
      </w:r>
      <w:r>
        <w:rPr>
          <w:rFonts w:ascii="Times New Roman" w:eastAsia="Times New Roman" w:hAnsi="Times New Roman" w:cs="Times New Roman"/>
        </w:rPr>
        <w:lastRenderedPageBreak/>
        <w:t>representations sufficient to reproduce the current input pattern at the output layer. SRNs learn to predict upcoming states from prior states by extracting sequential regularities in the input. The fact that both model types employed a form of learning that did not require an explicit teaching signal called self-supervised learning made them appropriate choices for the present simulations.</w:t>
      </w:r>
    </w:p>
    <w:p w14:paraId="49CE62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model consisted of input and output layers, each consisting of 11 groups. The groups corresponded to different visible surface features (described below). Between the input and output layers were 10 to 50 hidden and context units; the precise number depended on the simulation. The input and context layers were fully connected to the hidden layer, which in turn was fully connected to the output layer. Weights were initialized to small random values sampled uniformly between ±0.1. Bias connections were not included in any of the simulations. </w:t>
      </w:r>
    </w:p>
    <w:p w14:paraId="0DA1D7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The activation values of input units were set externally to reflect the input appropriate to the current time step. The activation values for “upstream” units were based on their net input from other units. The net input into a hidden unit was calculated as follows:</w:t>
      </w:r>
    </w:p>
    <w:p w14:paraId="14D7C0D4" w14:textId="77777777" w:rsidR="006F2F23" w:rsidRDefault="006F2F23">
      <w:pPr>
        <w:spacing w:line="480" w:lineRule="auto"/>
        <w:rPr>
          <w:rFonts w:ascii="Times New Roman" w:eastAsia="Times New Roman" w:hAnsi="Times New Roman" w:cs="Times New Roman"/>
        </w:rPr>
      </w:pPr>
    </w:p>
    <w:tbl>
      <w:tblPr>
        <w:tblStyle w:val="a2"/>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132B2805" w14:textId="77777777">
        <w:trPr>
          <w:trHeight w:val="521"/>
        </w:trPr>
        <w:tc>
          <w:tcPr>
            <w:tcW w:w="4592" w:type="dxa"/>
          </w:tcPr>
          <w:p w14:paraId="340D2EC0"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nary>
                <m:naryPr>
                  <m:chr m:val="∑"/>
                  <m:ctrlPr>
                    <w:rPr>
                      <w:rFonts w:ascii="Cambria Math" w:eastAsia="Cambria Math" w:hAnsi="Cambria Math" w:cs="Cambria Math"/>
                    </w:rPr>
                  </m:ctrlPr>
                </m:naryPr>
                <m:sub>
                  <m:r>
                    <w:rPr>
                      <w:rFonts w:ascii="Cambria Math" w:eastAsia="Cambria Math" w:hAnsi="Cambria Math" w:cs="Cambria Math"/>
                    </w:rPr>
                    <m:t>i</m:t>
                  </m:r>
                </m:sub>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w:t>
            </w:r>
          </w:p>
        </w:tc>
        <w:tc>
          <w:tcPr>
            <w:tcW w:w="4592" w:type="dxa"/>
          </w:tcPr>
          <w:p w14:paraId="78C75C41"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(1)</w:t>
            </w:r>
          </w:p>
        </w:tc>
      </w:tr>
    </w:tbl>
    <w:p w14:paraId="79AB0BC6" w14:textId="77777777" w:rsidR="006F2F23" w:rsidRDefault="006F2F23">
      <w:pPr>
        <w:spacing w:after="0" w:line="480" w:lineRule="auto"/>
        <w:rPr>
          <w:rFonts w:ascii="Times New Roman" w:eastAsia="Times New Roman" w:hAnsi="Times New Roman" w:cs="Times New Roman"/>
        </w:rPr>
      </w:pPr>
    </w:p>
    <w:p w14:paraId="31EFA178"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oMath>
      <w:r>
        <w:rPr>
          <w:rFonts w:ascii="Times New Roman" w:eastAsia="Times New Roman" w:hAnsi="Times New Roman" w:cs="Times New Roman"/>
        </w:rPr>
        <w:t xml:space="preserve"> is the activation of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and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 xml:space="preserve"> </m:t>
        </m:r>
      </m:oMath>
      <w:r>
        <w:rPr>
          <w:rFonts w:ascii="Times New Roman" w:eastAsia="Times New Roman" w:hAnsi="Times New Roman" w:cs="Times New Roman"/>
        </w:rPr>
        <w:t xml:space="preserve">is the weight on the connection from input unit </w:t>
      </w:r>
      <w:proofErr w:type="spellStart"/>
      <w:r>
        <w:rPr>
          <w:rFonts w:ascii="Times New Roman" w:eastAsia="Times New Roman" w:hAnsi="Times New Roman" w:cs="Times New Roman"/>
          <w:i/>
          <w:iCs/>
        </w:rPr>
        <w:t>i</w:t>
      </w:r>
      <w:proofErr w:type="spellEnd"/>
      <w:r>
        <w:rPr>
          <w:rFonts w:ascii="Times New Roman" w:eastAsia="Times New Roman" w:hAnsi="Times New Roman" w:cs="Times New Roman"/>
        </w:rPr>
        <w:t xml:space="preserve"> to hidden unit </w:t>
      </w:r>
      <w:r>
        <w:rPr>
          <w:rFonts w:ascii="Times New Roman" w:eastAsia="Times New Roman" w:hAnsi="Times New Roman" w:cs="Times New Roman"/>
          <w:i/>
          <w:iCs/>
        </w:rPr>
        <w:t>j</w:t>
      </w:r>
      <w:r>
        <w:rPr>
          <w:rFonts w:ascii="Times New Roman" w:eastAsia="Times New Roman" w:hAnsi="Times New Roman" w:cs="Times New Roman"/>
        </w:rPr>
        <w:t xml:space="preserve">. Hidden unit activations were based on the rectified linear unit activation function (Nair &amp; Hinton, 2010) and were calculated as follows: </w:t>
      </w:r>
    </w:p>
    <w:p w14:paraId="511239DB" w14:textId="77777777" w:rsidR="006F2F23" w:rsidRDefault="006F2F23">
      <w:pPr>
        <w:spacing w:line="480" w:lineRule="auto"/>
        <w:rPr>
          <w:rFonts w:ascii="Times New Roman" w:eastAsia="Times New Roman" w:hAnsi="Times New Roman" w:cs="Times New Roman"/>
        </w:rPr>
      </w:pPr>
    </w:p>
    <w:tbl>
      <w:tblPr>
        <w:tblStyle w:val="a3"/>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27A5CD43" w14:textId="77777777">
        <w:trPr>
          <w:trHeight w:val="521"/>
        </w:trPr>
        <w:tc>
          <w:tcPr>
            <w:tcW w:w="4592" w:type="dxa"/>
          </w:tcPr>
          <w:p w14:paraId="4342686A"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r>
                <w:rPr>
                  <w:rFonts w:ascii="Cambria Math" w:eastAsia="Cambria Math" w:hAnsi="Cambria Math" w:cs="Cambria Math"/>
                </w:rPr>
                <m:t xml:space="preserve">=max⁡(0, </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r>
                <w:rPr>
                  <w:rFonts w:ascii="Cambria Math" w:eastAsia="Cambria Math" w:hAnsi="Cambria Math" w:cs="Cambria Math"/>
                </w:rPr>
                <m:t>)</m:t>
              </m:r>
            </m:oMath>
            <w:r>
              <w:rPr>
                <w:rFonts w:ascii="Times New Roman" w:eastAsia="Times New Roman" w:hAnsi="Times New Roman" w:cs="Times New Roman"/>
              </w:rPr>
              <w:t>,</w:t>
            </w:r>
          </w:p>
        </w:tc>
        <w:tc>
          <w:tcPr>
            <w:tcW w:w="4592" w:type="dxa"/>
          </w:tcPr>
          <w:p w14:paraId="65AC8CE3"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(2)</w:t>
            </w:r>
          </w:p>
        </w:tc>
      </w:tr>
    </w:tbl>
    <w:p w14:paraId="1EC0534A" w14:textId="77777777" w:rsidR="006F2F23" w:rsidRDefault="006F2F23">
      <w:pPr>
        <w:spacing w:after="0" w:line="480" w:lineRule="auto"/>
        <w:rPr>
          <w:rFonts w:ascii="Times New Roman" w:eastAsia="Times New Roman" w:hAnsi="Times New Roman" w:cs="Times New Roman"/>
        </w:rPr>
      </w:pPr>
    </w:p>
    <w:p w14:paraId="53481074"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j</m:t>
            </m:r>
          </m:sub>
        </m:sSub>
      </m:oMath>
      <w:r>
        <w:rPr>
          <w:rFonts w:ascii="Times New Roman" w:eastAsia="Times New Roman" w:hAnsi="Times New Roman" w:cs="Times New Roman"/>
        </w:rPr>
        <w:t xml:space="preserve"> is the activation of hidden unit </w:t>
      </w:r>
      <w:r>
        <w:rPr>
          <w:rFonts w:ascii="Times New Roman" w:eastAsia="Times New Roman" w:hAnsi="Times New Roman" w:cs="Times New Roman"/>
          <w:i/>
          <w:iCs/>
        </w:rPr>
        <w:t>j</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j</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max</m:t>
        </m:r>
      </m:oMath>
      <w:r>
        <w:rPr>
          <w:rFonts w:ascii="Times New Roman" w:eastAsia="Times New Roman" w:hAnsi="Times New Roman" w:cs="Times New Roman"/>
        </w:rPr>
        <w:t xml:space="preserve"> denotes the maximum of its two arguments. Output unit activations were a smooth, logistic function of a given output unit’s net input and were calculated as follows: </w:t>
      </w:r>
    </w:p>
    <w:p w14:paraId="0EAC126D" w14:textId="77777777" w:rsidR="006F2F23" w:rsidRDefault="006F2F23">
      <w:pPr>
        <w:spacing w:line="480" w:lineRule="auto"/>
        <w:rPr>
          <w:rFonts w:ascii="Times New Roman" w:eastAsia="Times New Roman" w:hAnsi="Times New Roman" w:cs="Times New Roman"/>
        </w:rPr>
      </w:pPr>
    </w:p>
    <w:tbl>
      <w:tblPr>
        <w:tblStyle w:val="a4"/>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92"/>
        <w:gridCol w:w="4592"/>
      </w:tblGrid>
      <w:tr w:rsidR="006F2F23" w14:paraId="48698104" w14:textId="77777777">
        <w:trPr>
          <w:trHeight w:val="521"/>
        </w:trPr>
        <w:tc>
          <w:tcPr>
            <w:tcW w:w="4592" w:type="dxa"/>
          </w:tcPr>
          <w:p w14:paraId="7A4BA2BB" w14:textId="77777777" w:rsidR="006F2F23" w:rsidRDefault="00000000">
            <w:pPr>
              <w:spacing w:line="480" w:lineRule="auto"/>
              <w:jc w:val="center"/>
              <w:rPr>
                <w:rFonts w:ascii="Times New Roman" w:eastAsia="Times New Roman" w:hAnsi="Times New Roman" w:cs="Times New Roman"/>
              </w:rPr>
            </w:pP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1+exp⁡(-</m:t>
                  </m:r>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r>
                    <w:rPr>
                      <w:rFonts w:ascii="Cambria Math" w:eastAsia="Cambria Math" w:hAnsi="Cambria Math" w:cs="Cambria Math"/>
                    </w:rPr>
                    <m:t>)</m:t>
                  </m:r>
                </m:den>
              </m:f>
            </m:oMath>
            <w:r>
              <w:rPr>
                <w:rFonts w:ascii="Times New Roman" w:eastAsia="Times New Roman" w:hAnsi="Times New Roman" w:cs="Times New Roman"/>
              </w:rPr>
              <w:t>,</w:t>
            </w:r>
          </w:p>
        </w:tc>
        <w:tc>
          <w:tcPr>
            <w:tcW w:w="4592" w:type="dxa"/>
          </w:tcPr>
          <w:p w14:paraId="42AED68C"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(4)</w:t>
            </w:r>
          </w:p>
        </w:tc>
      </w:tr>
    </w:tbl>
    <w:p w14:paraId="12874D39" w14:textId="77777777" w:rsidR="006F2F23" w:rsidRDefault="006F2F23">
      <w:pPr>
        <w:spacing w:after="0" w:line="480" w:lineRule="auto"/>
        <w:rPr>
          <w:rFonts w:ascii="Times New Roman" w:eastAsia="Times New Roman" w:hAnsi="Times New Roman" w:cs="Times New Roman"/>
        </w:rPr>
      </w:pPr>
    </w:p>
    <w:p w14:paraId="6BAA4438" w14:textId="4C8A904C"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k</m:t>
            </m:r>
          </m:sub>
        </m:sSub>
      </m:oMath>
      <w:r>
        <w:rPr>
          <w:rFonts w:ascii="Times New Roman" w:eastAsia="Times New Roman" w:hAnsi="Times New Roman" w:cs="Times New Roman"/>
        </w:rPr>
        <w:t xml:space="preserve"> is activation of output unit </w:t>
      </w:r>
      <w:r>
        <w:rPr>
          <w:rFonts w:ascii="Times New Roman" w:eastAsia="Times New Roman" w:hAnsi="Times New Roman" w:cs="Times New Roman"/>
          <w:i/>
          <w:iCs/>
        </w:rPr>
        <w:t>k</w:t>
      </w:r>
      <w:r>
        <w:rPr>
          <w:rFonts w:ascii="Times New Roman" w:eastAsia="Times New Roman" w:hAnsi="Times New Roman" w:cs="Times New Roman"/>
        </w:rPr>
        <w:t xml:space="preserve">, </w:t>
      </w:r>
      <m:oMath>
        <m:sSub>
          <m:sSubPr>
            <m:ctrlPr>
              <w:rPr>
                <w:rFonts w:ascii="Cambria Math" w:eastAsia="Cambria Math" w:hAnsi="Cambria Math" w:cs="Cambria Math"/>
              </w:rPr>
            </m:ctrlPr>
          </m:sSubPr>
          <m:e>
            <m:r>
              <w:rPr>
                <w:rFonts w:ascii="Cambria Math" w:eastAsia="Cambria Math" w:hAnsi="Cambria Math" w:cs="Cambria Math"/>
              </w:rPr>
              <m:t>net</m:t>
            </m:r>
          </m:e>
          <m:sub>
            <m:r>
              <w:rPr>
                <w:rFonts w:ascii="Cambria Math" w:eastAsia="Cambria Math" w:hAnsi="Cambria Math" w:cs="Cambria Math"/>
              </w:rPr>
              <m:t>k</m:t>
            </m:r>
          </m:sub>
        </m:sSub>
      </m:oMath>
      <w:r>
        <w:rPr>
          <w:rFonts w:ascii="Times New Roman" w:eastAsia="Times New Roman" w:hAnsi="Times New Roman" w:cs="Times New Roman"/>
        </w:rPr>
        <w:t xml:space="preserve"> is its net input, and </w:t>
      </w:r>
      <m:oMath>
        <m:r>
          <w:rPr>
            <w:rFonts w:ascii="Cambria Math" w:eastAsia="Cambria Math" w:hAnsi="Cambria Math" w:cs="Cambria Math"/>
          </w:rPr>
          <m:t>exp⁡(∙)</m:t>
        </m:r>
      </m:oMath>
      <w:r>
        <w:rPr>
          <w:rFonts w:ascii="Times New Roman" w:eastAsia="Times New Roman" w:hAnsi="Times New Roman" w:cs="Times New Roman"/>
        </w:rPr>
        <w:t xml:space="preserve"> is the exponential function. Finally, as is true </w:t>
      </w:r>
      <w:r w:rsidR="003142D3">
        <w:rPr>
          <w:rFonts w:ascii="Times New Roman" w:eastAsia="Times New Roman" w:hAnsi="Times New Roman" w:cs="Times New Roman"/>
        </w:rPr>
        <w:t>of SRNs,</w:t>
      </w:r>
      <w:r>
        <w:rPr>
          <w:rFonts w:ascii="Times New Roman" w:eastAsia="Times New Roman" w:hAnsi="Times New Roman" w:cs="Times New Roman"/>
        </w:rPr>
        <w:t xml:space="preserve"> the activation of the hidden units at time </w:t>
      </w:r>
      <m:oMath>
        <m:r>
          <w:rPr>
            <w:rFonts w:ascii="Cambria Math" w:eastAsia="Cambria Math" w:hAnsi="Cambria Math" w:cs="Cambria Math"/>
          </w:rPr>
          <m:t>t</m:t>
        </m:r>
      </m:oMath>
      <w:r>
        <w:rPr>
          <w:rFonts w:ascii="Times New Roman" w:eastAsia="Times New Roman" w:hAnsi="Times New Roman" w:cs="Times New Roman"/>
        </w:rPr>
        <w:t xml:space="preserve"> was copied to the context units and made available as input at time</w:t>
      </w:r>
      <m:oMath>
        <m:r>
          <w:rPr>
            <w:rFonts w:ascii="Cambria Math" w:eastAsia="Cambria Math" w:hAnsi="Cambria Math" w:cs="Cambria Math"/>
          </w:rPr>
          <m:t xml:space="preserve"> t+1</m:t>
        </m:r>
      </m:oMath>
      <w:r>
        <w:rPr>
          <w:rFonts w:ascii="Times New Roman" w:eastAsia="Times New Roman" w:hAnsi="Times New Roman" w:cs="Times New Roman"/>
        </w:rPr>
        <w:t xml:space="preserve">. This provided the model with a rudimentary form of memory in which information from </w:t>
      </w:r>
      <w:proofErr w:type="gramStart"/>
      <w:r>
        <w:rPr>
          <w:rFonts w:ascii="Times New Roman" w:eastAsia="Times New Roman" w:hAnsi="Times New Roman" w:cs="Times New Roman"/>
        </w:rPr>
        <w:t>earlier time</w:t>
      </w:r>
      <w:proofErr w:type="gramEnd"/>
      <w:r>
        <w:rPr>
          <w:rFonts w:ascii="Times New Roman" w:eastAsia="Times New Roman" w:hAnsi="Times New Roman" w:cs="Times New Roman"/>
        </w:rPr>
        <w:t xml:space="preserve"> steps could influence processing at later ones.</w:t>
      </w:r>
    </w:p>
    <w:p w14:paraId="7E08013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Representations and Task.</w:t>
      </w:r>
      <w:r>
        <w:rPr>
          <w:rFonts w:ascii="Times New Roman" w:eastAsia="Times New Roman" w:hAnsi="Times New Roman" w:cs="Times New Roman"/>
          <w:b/>
          <w:bCs/>
        </w:rPr>
        <w:t xml:space="preserve"> </w:t>
      </w:r>
      <w:r>
        <w:rPr>
          <w:rFonts w:ascii="Times New Roman" w:eastAsia="Times New Roman" w:hAnsi="Times New Roman" w:cs="Times New Roman"/>
        </w:rPr>
        <w:t xml:space="preserve">At each time step, a linear or arced motion event was presented to the network as a pattern of activation distributed across the 11 input and output groups (Figure 5). The units within each group corresponded to distinct manifestations of a surface feature. Localist coding was used because it ensured that the model’s responses reflected learned regularities among actions and the visible surface features of the objects and entities involved and facilitated interpretation of the mechanism producing those responses; nothing in the current theory requires this </w:t>
      </w:r>
      <w:proofErr w:type="gramStart"/>
      <w:r>
        <w:rPr>
          <w:rFonts w:ascii="Times New Roman" w:eastAsia="Times New Roman" w:hAnsi="Times New Roman" w:cs="Times New Roman"/>
        </w:rPr>
        <w:t>particular coding</w:t>
      </w:r>
      <w:proofErr w:type="gramEnd"/>
      <w:r>
        <w:rPr>
          <w:rFonts w:ascii="Times New Roman" w:eastAsia="Times New Roman" w:hAnsi="Times New Roman" w:cs="Times New Roman"/>
        </w:rPr>
        <w:t xml:space="preserve"> scheme. Table 1 lists each group and the features represented by each unit within it. The naming convention used for each group was intended to emphasize their semantically neutral, surface-based nature. </w:t>
      </w:r>
    </w:p>
    <w:p w14:paraId="14248CC1" w14:textId="77777777" w:rsidR="006F2F23" w:rsidRDefault="006F2F23">
      <w:pPr>
        <w:spacing w:line="480" w:lineRule="auto"/>
        <w:ind w:firstLine="720"/>
        <w:rPr>
          <w:rFonts w:ascii="Times New Roman" w:eastAsia="Times New Roman" w:hAnsi="Times New Roman" w:cs="Times New Roman"/>
        </w:rPr>
      </w:pPr>
    </w:p>
    <w:p w14:paraId="59388AE0"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1</w:t>
      </w:r>
    </w:p>
    <w:p w14:paraId="6934872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ALIAS’s input and output groups</w:t>
      </w:r>
    </w:p>
    <w:tbl>
      <w:tblPr>
        <w:tblStyle w:val="a5"/>
        <w:tblW w:w="11363"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3150"/>
        <w:gridCol w:w="720"/>
        <w:gridCol w:w="3695"/>
        <w:gridCol w:w="3798"/>
      </w:tblGrid>
      <w:tr w:rsidR="006F2F23" w14:paraId="64BDE980" w14:textId="77777777">
        <w:tc>
          <w:tcPr>
            <w:tcW w:w="3150" w:type="dxa"/>
            <w:tcBorders>
              <w:top w:val="single" w:sz="4" w:space="0" w:color="000000"/>
              <w:bottom w:val="single" w:sz="4" w:space="0" w:color="000000"/>
            </w:tcBorders>
          </w:tcPr>
          <w:p w14:paraId="1F31732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720" w:type="dxa"/>
            <w:tcBorders>
              <w:top w:val="single" w:sz="4" w:space="0" w:color="000000"/>
              <w:bottom w:val="single" w:sz="4" w:space="0" w:color="000000"/>
            </w:tcBorders>
          </w:tcPr>
          <w:p w14:paraId="471A86E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Num</w:t>
            </w:r>
          </w:p>
        </w:tc>
        <w:tc>
          <w:tcPr>
            <w:tcW w:w="3695" w:type="dxa"/>
            <w:tcBorders>
              <w:top w:val="single" w:sz="4" w:space="0" w:color="000000"/>
              <w:bottom w:val="single" w:sz="4" w:space="0" w:color="000000"/>
            </w:tcBorders>
          </w:tcPr>
          <w:p w14:paraId="5FB6954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Represents</w:t>
            </w:r>
          </w:p>
        </w:tc>
        <w:tc>
          <w:tcPr>
            <w:tcW w:w="3798" w:type="dxa"/>
            <w:tcBorders>
              <w:top w:val="single" w:sz="4" w:space="0" w:color="000000"/>
              <w:bottom w:val="single" w:sz="4" w:space="0" w:color="000000"/>
            </w:tcBorders>
          </w:tcPr>
          <w:p w14:paraId="7A8894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Unit Meaning</w:t>
            </w:r>
          </w:p>
        </w:tc>
      </w:tr>
      <w:tr w:rsidR="006F2F23" w14:paraId="52442982" w14:textId="77777777">
        <w:tc>
          <w:tcPr>
            <w:tcW w:w="3150" w:type="dxa"/>
            <w:tcBorders>
              <w:top w:val="single" w:sz="4" w:space="0" w:color="000000"/>
            </w:tcBorders>
          </w:tcPr>
          <w:p w14:paraId="64B3B6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Left</w:t>
            </w:r>
          </w:p>
        </w:tc>
        <w:tc>
          <w:tcPr>
            <w:tcW w:w="720" w:type="dxa"/>
            <w:tcBorders>
              <w:top w:val="single" w:sz="4" w:space="0" w:color="000000"/>
            </w:tcBorders>
          </w:tcPr>
          <w:p w14:paraId="5D60E5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Borders>
              <w:top w:val="single" w:sz="4" w:space="0" w:color="000000"/>
            </w:tcBorders>
          </w:tcPr>
          <w:p w14:paraId="693EB04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left object</w:t>
            </w:r>
          </w:p>
        </w:tc>
        <w:tc>
          <w:tcPr>
            <w:tcW w:w="3798" w:type="dxa"/>
            <w:tcBorders>
              <w:top w:val="single" w:sz="4" w:space="0" w:color="000000"/>
            </w:tcBorders>
          </w:tcPr>
          <w:p w14:paraId="24FD8E3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2E461945" w14:textId="77777777" w:rsidR="006F2F23" w:rsidRDefault="006F2F23">
            <w:pPr>
              <w:rPr>
                <w:rFonts w:ascii="Times New Roman" w:eastAsia="Times New Roman" w:hAnsi="Times New Roman" w:cs="Times New Roman"/>
              </w:rPr>
            </w:pPr>
          </w:p>
        </w:tc>
      </w:tr>
      <w:tr w:rsidR="006F2F23" w14:paraId="2719E15D" w14:textId="77777777">
        <w:tc>
          <w:tcPr>
            <w:tcW w:w="3150" w:type="dxa"/>
          </w:tcPr>
          <w:p w14:paraId="1BF937F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Object Right</w:t>
            </w:r>
          </w:p>
        </w:tc>
        <w:tc>
          <w:tcPr>
            <w:tcW w:w="720" w:type="dxa"/>
          </w:tcPr>
          <w:p w14:paraId="42E4F3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82</w:t>
            </w:r>
          </w:p>
        </w:tc>
        <w:tc>
          <w:tcPr>
            <w:tcW w:w="3695" w:type="dxa"/>
          </w:tcPr>
          <w:p w14:paraId="645D1C4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Identity of right object</w:t>
            </w:r>
          </w:p>
        </w:tc>
        <w:tc>
          <w:tcPr>
            <w:tcW w:w="3798" w:type="dxa"/>
          </w:tcPr>
          <w:p w14:paraId="6312E0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Each unit corresponds to a unique object identity</w:t>
            </w:r>
          </w:p>
          <w:p w14:paraId="6631FF3E" w14:textId="77777777" w:rsidR="006F2F23" w:rsidRDefault="006F2F23">
            <w:pPr>
              <w:rPr>
                <w:rFonts w:ascii="Times New Roman" w:eastAsia="Times New Roman" w:hAnsi="Times New Roman" w:cs="Times New Roman"/>
              </w:rPr>
            </w:pPr>
          </w:p>
        </w:tc>
      </w:tr>
      <w:tr w:rsidR="006F2F23" w14:paraId="55529F5A" w14:textId="77777777">
        <w:tc>
          <w:tcPr>
            <w:tcW w:w="3150" w:type="dxa"/>
          </w:tcPr>
          <w:p w14:paraId="26E77F9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Position</w:t>
            </w:r>
          </w:p>
        </w:tc>
        <w:tc>
          <w:tcPr>
            <w:tcW w:w="720" w:type="dxa"/>
          </w:tcPr>
          <w:p w14:paraId="1A1645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6</w:t>
            </w:r>
          </w:p>
        </w:tc>
        <w:tc>
          <w:tcPr>
            <w:tcW w:w="3695" w:type="dxa"/>
          </w:tcPr>
          <w:p w14:paraId="63867EC6"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Sequential spatial positions</w:t>
            </w:r>
          </w:p>
        </w:tc>
        <w:tc>
          <w:tcPr>
            <w:tcW w:w="3798" w:type="dxa"/>
          </w:tcPr>
          <w:p w14:paraId="39BA69A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Position 1–6 in network space</w:t>
            </w:r>
          </w:p>
          <w:p w14:paraId="3F7482A3" w14:textId="77777777" w:rsidR="006F2F23" w:rsidRDefault="006F2F23">
            <w:pPr>
              <w:rPr>
                <w:rFonts w:ascii="Times New Roman" w:eastAsia="Times New Roman" w:hAnsi="Times New Roman" w:cs="Times New Roman"/>
              </w:rPr>
            </w:pPr>
          </w:p>
          <w:p w14:paraId="73C485EC" w14:textId="77777777" w:rsidR="006F2F23" w:rsidRDefault="006F2F23">
            <w:pPr>
              <w:rPr>
                <w:rFonts w:ascii="Times New Roman" w:eastAsia="Times New Roman" w:hAnsi="Times New Roman" w:cs="Times New Roman"/>
              </w:rPr>
            </w:pPr>
          </w:p>
        </w:tc>
      </w:tr>
      <w:tr w:rsidR="006F2F23" w14:paraId="0789AA5B" w14:textId="77777777">
        <w:tc>
          <w:tcPr>
            <w:tcW w:w="3150" w:type="dxa"/>
          </w:tcPr>
          <w:p w14:paraId="5DB819D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Horizontal Position</w:t>
            </w:r>
          </w:p>
        </w:tc>
        <w:tc>
          <w:tcPr>
            <w:tcW w:w="720" w:type="dxa"/>
          </w:tcPr>
          <w:p w14:paraId="7AC3EDE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498B660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Horizontal location of obstacle</w:t>
            </w:r>
          </w:p>
        </w:tc>
        <w:tc>
          <w:tcPr>
            <w:tcW w:w="3798" w:type="dxa"/>
          </w:tcPr>
          <w:p w14:paraId="03D5042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Missing, Middle, Periphery</w:t>
            </w:r>
          </w:p>
          <w:p w14:paraId="1E0D83E5" w14:textId="77777777" w:rsidR="006F2F23" w:rsidRDefault="006F2F23">
            <w:pPr>
              <w:rPr>
                <w:rFonts w:ascii="Times New Roman" w:eastAsia="Times New Roman" w:hAnsi="Times New Roman" w:cs="Times New Roman"/>
              </w:rPr>
            </w:pPr>
          </w:p>
        </w:tc>
      </w:tr>
      <w:tr w:rsidR="006F2F23" w14:paraId="16784A39" w14:textId="77777777">
        <w:tc>
          <w:tcPr>
            <w:tcW w:w="3150" w:type="dxa"/>
          </w:tcPr>
          <w:p w14:paraId="4759277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Obstacle Height</w:t>
            </w:r>
          </w:p>
        </w:tc>
        <w:tc>
          <w:tcPr>
            <w:tcW w:w="720" w:type="dxa"/>
          </w:tcPr>
          <w:p w14:paraId="424B17B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D945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Height of obstacle</w:t>
            </w:r>
          </w:p>
        </w:tc>
        <w:tc>
          <w:tcPr>
            <w:tcW w:w="3798" w:type="dxa"/>
          </w:tcPr>
          <w:p w14:paraId="0B5316A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Obstacle, Heights 1–4</w:t>
            </w:r>
          </w:p>
          <w:p w14:paraId="0D97DFFB" w14:textId="77777777" w:rsidR="006F2F23" w:rsidRDefault="006F2F23">
            <w:pPr>
              <w:rPr>
                <w:rFonts w:ascii="Times New Roman" w:eastAsia="Times New Roman" w:hAnsi="Times New Roman" w:cs="Times New Roman"/>
              </w:rPr>
            </w:pPr>
          </w:p>
        </w:tc>
      </w:tr>
      <w:tr w:rsidR="006F2F23" w14:paraId="3022F04A" w14:textId="77777777">
        <w:tc>
          <w:tcPr>
            <w:tcW w:w="3150" w:type="dxa"/>
          </w:tcPr>
          <w:p w14:paraId="1FC41C5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Apex–Obstacle Gap</w:t>
            </w:r>
          </w:p>
        </w:tc>
        <w:tc>
          <w:tcPr>
            <w:tcW w:w="720" w:type="dxa"/>
          </w:tcPr>
          <w:p w14:paraId="4180E35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3</w:t>
            </w:r>
          </w:p>
        </w:tc>
        <w:tc>
          <w:tcPr>
            <w:tcW w:w="3695" w:type="dxa"/>
          </w:tcPr>
          <w:p w14:paraId="089E6C5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Vertical distance between an obstacle and the apex of the arced motion trajectory </w:t>
            </w:r>
          </w:p>
        </w:tc>
        <w:tc>
          <w:tcPr>
            <w:tcW w:w="3798" w:type="dxa"/>
          </w:tcPr>
          <w:p w14:paraId="40AF9A2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Separation, Small Vertical Separation, Large Vertical Separation</w:t>
            </w:r>
          </w:p>
          <w:p w14:paraId="2BBA9640" w14:textId="77777777" w:rsidR="006F2F23" w:rsidRDefault="006F2F23">
            <w:pPr>
              <w:rPr>
                <w:rFonts w:ascii="Times New Roman" w:eastAsia="Times New Roman" w:hAnsi="Times New Roman" w:cs="Times New Roman"/>
              </w:rPr>
            </w:pPr>
          </w:p>
        </w:tc>
      </w:tr>
      <w:tr w:rsidR="006F2F23" w14:paraId="7DBE141C" w14:textId="77777777">
        <w:tc>
          <w:tcPr>
            <w:tcW w:w="3150" w:type="dxa"/>
          </w:tcPr>
          <w:p w14:paraId="476914F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Spatial Adjacency</w:t>
            </w:r>
          </w:p>
        </w:tc>
        <w:tc>
          <w:tcPr>
            <w:tcW w:w="720" w:type="dxa"/>
          </w:tcPr>
          <w:p w14:paraId="2555DF2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1</w:t>
            </w:r>
          </w:p>
        </w:tc>
        <w:tc>
          <w:tcPr>
            <w:tcW w:w="3695" w:type="dxa"/>
          </w:tcPr>
          <w:p w14:paraId="6A5FE24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Whether the two objects are adjacent</w:t>
            </w:r>
          </w:p>
        </w:tc>
        <w:tc>
          <w:tcPr>
            <w:tcW w:w="3798" w:type="dxa"/>
          </w:tcPr>
          <w:p w14:paraId="7B79376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Spatially Contiguous, Spatially Separated </w:t>
            </w:r>
          </w:p>
          <w:p w14:paraId="744E5FCC" w14:textId="77777777" w:rsidR="006F2F23" w:rsidRDefault="006F2F23">
            <w:pPr>
              <w:rPr>
                <w:rFonts w:ascii="Times New Roman" w:eastAsia="Times New Roman" w:hAnsi="Times New Roman" w:cs="Times New Roman"/>
              </w:rPr>
            </w:pPr>
          </w:p>
        </w:tc>
      </w:tr>
      <w:tr w:rsidR="006F2F23" w14:paraId="179B50BF" w14:textId="77777777">
        <w:tc>
          <w:tcPr>
            <w:tcW w:w="3150" w:type="dxa"/>
          </w:tcPr>
          <w:p w14:paraId="001671E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Arc Peak Height</w:t>
            </w:r>
          </w:p>
        </w:tc>
        <w:tc>
          <w:tcPr>
            <w:tcW w:w="720" w:type="dxa"/>
          </w:tcPr>
          <w:p w14:paraId="781B9A6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5</w:t>
            </w:r>
          </w:p>
        </w:tc>
        <w:tc>
          <w:tcPr>
            <w:tcW w:w="3695" w:type="dxa"/>
          </w:tcPr>
          <w:p w14:paraId="55FE6CA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Maximum height of arced trajectory</w:t>
            </w:r>
          </w:p>
        </w:tc>
        <w:tc>
          <w:tcPr>
            <w:tcW w:w="3798" w:type="dxa"/>
          </w:tcPr>
          <w:p w14:paraId="1C9C36F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No arc, Heights 1–4</w:t>
            </w:r>
          </w:p>
          <w:p w14:paraId="2FF65157" w14:textId="77777777" w:rsidR="006F2F23" w:rsidRDefault="006F2F23">
            <w:pPr>
              <w:rPr>
                <w:rFonts w:ascii="Times New Roman" w:eastAsia="Times New Roman" w:hAnsi="Times New Roman" w:cs="Times New Roman"/>
              </w:rPr>
            </w:pPr>
          </w:p>
        </w:tc>
      </w:tr>
      <w:tr w:rsidR="006F2F23" w14:paraId="3C9F5049" w14:textId="77777777">
        <w:tc>
          <w:tcPr>
            <w:tcW w:w="3150" w:type="dxa"/>
          </w:tcPr>
          <w:p w14:paraId="3C757692"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Kinematic Motion Type</w:t>
            </w:r>
          </w:p>
        </w:tc>
        <w:tc>
          <w:tcPr>
            <w:tcW w:w="720" w:type="dxa"/>
          </w:tcPr>
          <w:p w14:paraId="015287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56361EA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Type of motion</w:t>
            </w:r>
          </w:p>
        </w:tc>
        <w:tc>
          <w:tcPr>
            <w:tcW w:w="3798" w:type="dxa"/>
          </w:tcPr>
          <w:p w14:paraId="7542373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Linear, Arced</w:t>
            </w:r>
          </w:p>
          <w:p w14:paraId="084E3DA3" w14:textId="77777777" w:rsidR="006F2F23" w:rsidRDefault="006F2F23">
            <w:pPr>
              <w:rPr>
                <w:rFonts w:ascii="Times New Roman" w:eastAsia="Times New Roman" w:hAnsi="Times New Roman" w:cs="Times New Roman"/>
              </w:rPr>
            </w:pPr>
          </w:p>
        </w:tc>
      </w:tr>
      <w:tr w:rsidR="006F2F23" w14:paraId="27581820" w14:textId="77777777">
        <w:tc>
          <w:tcPr>
            <w:tcW w:w="3150" w:type="dxa"/>
          </w:tcPr>
          <w:p w14:paraId="46D7D19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Left</w:t>
            </w:r>
          </w:p>
        </w:tc>
        <w:tc>
          <w:tcPr>
            <w:tcW w:w="720" w:type="dxa"/>
          </w:tcPr>
          <w:p w14:paraId="60907C3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Pr>
          <w:p w14:paraId="21FA85E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left object</w:t>
            </w:r>
          </w:p>
        </w:tc>
        <w:tc>
          <w:tcPr>
            <w:tcW w:w="3798" w:type="dxa"/>
          </w:tcPr>
          <w:p w14:paraId="22EFB7AD"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616629A2" w14:textId="77777777" w:rsidR="006F2F23" w:rsidRDefault="006F2F23">
            <w:pPr>
              <w:rPr>
                <w:rFonts w:ascii="Times New Roman" w:eastAsia="Times New Roman" w:hAnsi="Times New Roman" w:cs="Times New Roman"/>
              </w:rPr>
            </w:pPr>
          </w:p>
        </w:tc>
      </w:tr>
      <w:tr w:rsidR="006F2F23" w14:paraId="523D5CBB" w14:textId="77777777">
        <w:tc>
          <w:tcPr>
            <w:tcW w:w="3150" w:type="dxa"/>
            <w:tcBorders>
              <w:bottom w:val="single" w:sz="4" w:space="0" w:color="000000"/>
            </w:tcBorders>
          </w:tcPr>
          <w:p w14:paraId="79A249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Property Right</w:t>
            </w:r>
          </w:p>
        </w:tc>
        <w:tc>
          <w:tcPr>
            <w:tcW w:w="720" w:type="dxa"/>
            <w:tcBorders>
              <w:bottom w:val="single" w:sz="4" w:space="0" w:color="000000"/>
            </w:tcBorders>
          </w:tcPr>
          <w:p w14:paraId="61DD72F3"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2</w:t>
            </w:r>
          </w:p>
        </w:tc>
        <w:tc>
          <w:tcPr>
            <w:tcW w:w="3695" w:type="dxa"/>
            <w:tcBorders>
              <w:bottom w:val="single" w:sz="4" w:space="0" w:color="000000"/>
            </w:tcBorders>
          </w:tcPr>
          <w:p w14:paraId="078FB20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Surface features of right object</w:t>
            </w:r>
          </w:p>
        </w:tc>
        <w:tc>
          <w:tcPr>
            <w:tcW w:w="3798" w:type="dxa"/>
            <w:tcBorders>
              <w:bottom w:val="single" w:sz="4" w:space="0" w:color="000000"/>
            </w:tcBorders>
          </w:tcPr>
          <w:p w14:paraId="2EACFFD9"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Animate-like, Inanimate-like</w:t>
            </w:r>
          </w:p>
          <w:p w14:paraId="3DDFEABE" w14:textId="77777777" w:rsidR="006F2F23" w:rsidRDefault="006F2F23">
            <w:pPr>
              <w:rPr>
                <w:rFonts w:ascii="Times New Roman" w:eastAsia="Times New Roman" w:hAnsi="Times New Roman" w:cs="Times New Roman"/>
              </w:rPr>
            </w:pPr>
          </w:p>
        </w:tc>
      </w:tr>
    </w:tbl>
    <w:p w14:paraId="171B466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Group names correspond to those shown in Figure 5. Each group represented a different visible surface feature; units within a group represented different manifestations of that feature. A localist encoding scheme was adopted for each group.</w:t>
      </w:r>
    </w:p>
    <w:p w14:paraId="0C67C5EB" w14:textId="77777777" w:rsidR="006F2F23" w:rsidRDefault="006F2F23">
      <w:pPr>
        <w:spacing w:after="0" w:line="480" w:lineRule="auto"/>
        <w:ind w:firstLine="720"/>
        <w:rPr>
          <w:rFonts w:ascii="Times New Roman" w:eastAsia="Times New Roman" w:hAnsi="Times New Roman" w:cs="Times New Roman"/>
        </w:rPr>
      </w:pPr>
    </w:p>
    <w:p w14:paraId="04207136" w14:textId="0063204A"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Input units corresponding to active (i.e., present) features during a given time step of an action event had activations of 1.0; all other input units had activations of 0.0. A small amount of Gaussian noise (</w:t>
      </w:r>
      <w:r>
        <w:rPr>
          <w:rFonts w:ascii="Times New Roman" w:eastAsia="Times New Roman" w:hAnsi="Times New Roman" w:cs="Times New Roman"/>
          <w:i/>
          <w:iCs/>
        </w:rPr>
        <w:t xml:space="preserve">M </w:t>
      </w:r>
      <w:r>
        <w:rPr>
          <w:rFonts w:ascii="Times New Roman" w:eastAsia="Times New Roman" w:hAnsi="Times New Roman" w:cs="Times New Roman"/>
        </w:rPr>
        <w:t xml:space="preserve">= 0, </w:t>
      </w:r>
      <w:r>
        <w:rPr>
          <w:rFonts w:ascii="Times New Roman" w:eastAsia="Times New Roman" w:hAnsi="Times New Roman" w:cs="Times New Roman"/>
          <w:i/>
          <w:iCs/>
        </w:rPr>
        <w:t xml:space="preserve">SD </w:t>
      </w:r>
      <w:r>
        <w:rPr>
          <w:rFonts w:ascii="Times New Roman" w:eastAsia="Times New Roman" w:hAnsi="Times New Roman" w:cs="Times New Roman"/>
        </w:rPr>
        <w:t xml:space="preserve">= 0.3) was then applied to these activations to instantiate the notion that learning and processing in infants is noisy. The network’s task at each time step was twofold. First, it was required to reproduce at the output layer the activation pattern presented </w:t>
      </w:r>
      <w:r>
        <w:rPr>
          <w:rFonts w:ascii="Times New Roman" w:eastAsia="Times New Roman" w:hAnsi="Times New Roman" w:cs="Times New Roman"/>
        </w:rPr>
        <w:lastRenderedPageBreak/>
        <w:t xml:space="preserve">across 10 of the 11 input groups. Second, it was required to predict that the position to the immediate right of the current position in the Horizontal Position input group would be active in the corresponding output group at the immediate next step. Thus, if the first </w:t>
      </w:r>
      <w:r w:rsidR="003142D3">
        <w:rPr>
          <w:rFonts w:ascii="Times New Roman" w:eastAsia="Times New Roman" w:hAnsi="Times New Roman" w:cs="Times New Roman"/>
        </w:rPr>
        <w:t xml:space="preserve">input </w:t>
      </w:r>
      <w:r>
        <w:rPr>
          <w:rFonts w:ascii="Times New Roman" w:eastAsia="Times New Roman" w:hAnsi="Times New Roman" w:cs="Times New Roman"/>
        </w:rPr>
        <w:t xml:space="preserve">unit in the Horizontal Position group was active at time </w:t>
      </w:r>
      <m:oMath>
        <m:r>
          <w:rPr>
            <w:rFonts w:ascii="Cambria Math" w:eastAsia="Cambria Math" w:hAnsi="Cambria Math" w:cs="Cambria Math"/>
          </w:rPr>
          <m:t>t</m:t>
        </m:r>
      </m:oMath>
      <w:r>
        <w:rPr>
          <w:rFonts w:ascii="Times New Roman" w:eastAsia="Times New Roman" w:hAnsi="Times New Roman" w:cs="Times New Roman"/>
        </w:rPr>
        <w:t xml:space="preserve">, the network’s task was to predict that the second </w:t>
      </w:r>
      <w:r w:rsidR="003142D3">
        <w:rPr>
          <w:rFonts w:ascii="Times New Roman" w:eastAsia="Times New Roman" w:hAnsi="Times New Roman" w:cs="Times New Roman"/>
        </w:rPr>
        <w:t xml:space="preserve">output </w:t>
      </w:r>
      <w:r>
        <w:rPr>
          <w:rFonts w:ascii="Times New Roman" w:eastAsia="Times New Roman" w:hAnsi="Times New Roman" w:cs="Times New Roman"/>
        </w:rPr>
        <w:t xml:space="preserve">unit would be active at time </w:t>
      </w:r>
      <m:oMath>
        <m:r>
          <w:rPr>
            <w:rFonts w:ascii="Cambria Math" w:eastAsia="Cambria Math" w:hAnsi="Cambria Math" w:cs="Cambria Math"/>
          </w:rPr>
          <m:t>t+1</m:t>
        </m:r>
      </m:oMath>
      <w:r>
        <w:rPr>
          <w:rFonts w:ascii="Times New Roman" w:eastAsia="Times New Roman" w:hAnsi="Times New Roman" w:cs="Times New Roman"/>
        </w:rPr>
        <w:t xml:space="preserve">. This represented the fact that motion is dynamic and necessarily </w:t>
      </w:r>
      <w:proofErr w:type="gramStart"/>
      <w:r>
        <w:rPr>
          <w:rFonts w:ascii="Times New Roman" w:eastAsia="Times New Roman" w:hAnsi="Times New Roman" w:cs="Times New Roman"/>
        </w:rPr>
        <w:t>unfolds</w:t>
      </w:r>
      <w:proofErr w:type="gramEnd"/>
      <w:r>
        <w:rPr>
          <w:rFonts w:ascii="Times New Roman" w:eastAsia="Times New Roman" w:hAnsi="Times New Roman" w:cs="Times New Roman"/>
        </w:rPr>
        <w:t xml:space="preserve"> over time and captured, in abstract form, the horizontal, rightward movement of the left object. Movement trajectory (e.g., linear or arced) itself was captured by the Kinematic Motion Type group. The copying task was carried out by the autoencoder (e.g., Mareschal et al., 2000); the prediction task, by the SRN. </w:t>
      </w:r>
    </w:p>
    <w:p w14:paraId="6BA3D7DE" w14:textId="0CF674AC"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Training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Learning unfolded across two phases. During pretraining, networks experienced two broad classes of events: Linear Path Events and Arced Path Events. These events—illustrated in Table 2—implemented the assumption that looking in action efficiency understanding studies is shaped by prior experience with these actions. In Linear Path Events, one object moved unobstructed along a straight, horizontal trajectory toward another object. In Arced Path Events, one object moved over a short barrier along an arced trajectory toward the other object. Half of the objects in both event types possessed surface features typical of animate entities; the remaining half possessed surface features typical of inanimate objects.  Although the exact nature of habituation depended on the simulation, </w:t>
      </w:r>
      <w:r w:rsidR="00B34A9D">
        <w:rPr>
          <w:rFonts w:ascii="Times New Roman" w:eastAsia="Times New Roman" w:hAnsi="Times New Roman" w:cs="Times New Roman"/>
        </w:rPr>
        <w:t xml:space="preserve">during habituation </w:t>
      </w:r>
      <w:r>
        <w:rPr>
          <w:rFonts w:ascii="Times New Roman" w:eastAsia="Times New Roman" w:hAnsi="Times New Roman" w:cs="Times New Roman"/>
        </w:rPr>
        <w:t xml:space="preserve">networks generally experienced an Arced Path event. Novel objects and differently sized barriers were used during </w:t>
      </w:r>
      <w:r w:rsidR="0018493C">
        <w:rPr>
          <w:rFonts w:ascii="Times New Roman" w:eastAsia="Times New Roman" w:hAnsi="Times New Roman" w:cs="Times New Roman"/>
        </w:rPr>
        <w:t xml:space="preserve">this phase </w:t>
      </w:r>
      <w:r>
        <w:rPr>
          <w:rFonts w:ascii="Times New Roman" w:eastAsia="Times New Roman" w:hAnsi="Times New Roman" w:cs="Times New Roman"/>
        </w:rPr>
        <w:t xml:space="preserve">to assess generalization beyond the pretraining stimuli. </w:t>
      </w:r>
    </w:p>
    <w:p w14:paraId="079D42C8" w14:textId="77777777" w:rsidR="006F2F23" w:rsidRDefault="006F2F23">
      <w:pPr>
        <w:spacing w:line="480" w:lineRule="auto"/>
        <w:rPr>
          <w:rFonts w:ascii="Times New Roman" w:eastAsia="Times New Roman" w:hAnsi="Times New Roman" w:cs="Times New Roman"/>
        </w:rPr>
      </w:pPr>
    </w:p>
    <w:p w14:paraId="3717B21F"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Table 2</w:t>
      </w:r>
    </w:p>
    <w:p w14:paraId="23192355" w14:textId="77777777" w:rsidR="006F2F23" w:rsidRDefault="00000000">
      <w:pPr>
        <w:rPr>
          <w:rFonts w:ascii="Times New Roman" w:eastAsia="Times New Roman" w:hAnsi="Times New Roman" w:cs="Times New Roman"/>
          <w:i/>
          <w:iCs/>
        </w:rPr>
      </w:pPr>
      <w:r>
        <w:rPr>
          <w:rFonts w:ascii="Times New Roman" w:eastAsia="Times New Roman" w:hAnsi="Times New Roman" w:cs="Times New Roman"/>
          <w:i/>
          <w:iCs/>
        </w:rPr>
        <w:t>Example encodings of linear and arced motion events</w:t>
      </w:r>
    </w:p>
    <w:tbl>
      <w:tblPr>
        <w:tblStyle w:val="a6"/>
        <w:tblW w:w="11880" w:type="dxa"/>
        <w:tblInd w:w="-1260" w:type="dxa"/>
        <w:tblBorders>
          <w:top w:val="nil"/>
          <w:left w:val="nil"/>
          <w:bottom w:val="nil"/>
          <w:right w:val="nil"/>
          <w:insideH w:val="nil"/>
          <w:insideV w:val="nil"/>
        </w:tblBorders>
        <w:tblLayout w:type="fixed"/>
        <w:tblLook w:val="0400" w:firstRow="0" w:lastRow="0" w:firstColumn="0" w:lastColumn="0" w:noHBand="0" w:noVBand="1"/>
      </w:tblPr>
      <w:tblGrid>
        <w:gridCol w:w="1620"/>
        <w:gridCol w:w="2340"/>
        <w:gridCol w:w="2340"/>
        <w:gridCol w:w="2791"/>
        <w:gridCol w:w="2789"/>
      </w:tblGrid>
      <w:tr w:rsidR="006F2F23" w14:paraId="09478B97" w14:textId="77777777" w:rsidTr="00571F1F">
        <w:tc>
          <w:tcPr>
            <w:tcW w:w="1620" w:type="dxa"/>
            <w:tcBorders>
              <w:top w:val="single" w:sz="4" w:space="0" w:color="000000"/>
              <w:bottom w:val="single" w:sz="4" w:space="0" w:color="000000"/>
            </w:tcBorders>
          </w:tcPr>
          <w:p w14:paraId="166D461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Group</w:t>
            </w:r>
          </w:p>
        </w:tc>
        <w:tc>
          <w:tcPr>
            <w:tcW w:w="4680" w:type="dxa"/>
            <w:gridSpan w:val="2"/>
            <w:tcBorders>
              <w:top w:val="single" w:sz="4" w:space="0" w:color="000000"/>
              <w:bottom w:val="single" w:sz="4" w:space="0" w:color="000000"/>
            </w:tcBorders>
          </w:tcPr>
          <w:p w14:paraId="79262AB4"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Linear Path Event</w:t>
            </w:r>
          </w:p>
        </w:tc>
        <w:tc>
          <w:tcPr>
            <w:tcW w:w="5580" w:type="dxa"/>
            <w:gridSpan w:val="2"/>
            <w:tcBorders>
              <w:top w:val="single" w:sz="4" w:space="0" w:color="000000"/>
              <w:bottom w:val="single" w:sz="4" w:space="0" w:color="000000"/>
            </w:tcBorders>
          </w:tcPr>
          <w:p w14:paraId="4841397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Arced Path Event</w:t>
            </w:r>
          </w:p>
        </w:tc>
      </w:tr>
      <w:tr w:rsidR="006F2F23" w14:paraId="520BCF2E" w14:textId="77777777" w:rsidTr="00571F1F">
        <w:tc>
          <w:tcPr>
            <w:tcW w:w="1620" w:type="dxa"/>
            <w:tcBorders>
              <w:top w:val="single" w:sz="4" w:space="0" w:color="000000"/>
              <w:bottom w:val="single" w:sz="4" w:space="0" w:color="000000"/>
            </w:tcBorders>
          </w:tcPr>
          <w:p w14:paraId="18C2DA27" w14:textId="77777777" w:rsidR="006F2F23" w:rsidRDefault="006F2F23">
            <w:pPr>
              <w:spacing w:line="480" w:lineRule="auto"/>
              <w:rPr>
                <w:rFonts w:ascii="Times New Roman" w:eastAsia="Times New Roman" w:hAnsi="Times New Roman" w:cs="Times New Roman"/>
              </w:rPr>
            </w:pPr>
          </w:p>
        </w:tc>
        <w:tc>
          <w:tcPr>
            <w:tcW w:w="2340" w:type="dxa"/>
            <w:tcBorders>
              <w:top w:val="single" w:sz="4" w:space="0" w:color="000000"/>
              <w:bottom w:val="single" w:sz="4" w:space="0" w:color="000000"/>
            </w:tcBorders>
          </w:tcPr>
          <w:p w14:paraId="0637C9C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340" w:type="dxa"/>
            <w:tcBorders>
              <w:top w:val="single" w:sz="4" w:space="0" w:color="000000"/>
              <w:bottom w:val="single" w:sz="4" w:space="0" w:color="000000"/>
            </w:tcBorders>
          </w:tcPr>
          <w:p w14:paraId="2544DFAA"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c>
          <w:tcPr>
            <w:tcW w:w="2791" w:type="dxa"/>
            <w:tcBorders>
              <w:top w:val="single" w:sz="4" w:space="0" w:color="000000"/>
              <w:bottom w:val="single" w:sz="4" w:space="0" w:color="000000"/>
            </w:tcBorders>
          </w:tcPr>
          <w:p w14:paraId="5E4546B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Input</w:t>
            </w:r>
          </w:p>
        </w:tc>
        <w:tc>
          <w:tcPr>
            <w:tcW w:w="2789" w:type="dxa"/>
            <w:tcBorders>
              <w:top w:val="single" w:sz="4" w:space="0" w:color="000000"/>
              <w:bottom w:val="single" w:sz="4" w:space="0" w:color="000000"/>
            </w:tcBorders>
          </w:tcPr>
          <w:p w14:paraId="22B698A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Target</w:t>
            </w:r>
          </w:p>
        </w:tc>
      </w:tr>
      <w:tr w:rsidR="006F2F23" w14:paraId="0A86D94B" w14:textId="77777777" w:rsidTr="00571F1F">
        <w:tc>
          <w:tcPr>
            <w:tcW w:w="1620" w:type="dxa"/>
            <w:tcBorders>
              <w:top w:val="single" w:sz="4" w:space="0" w:color="000000"/>
            </w:tcBorders>
          </w:tcPr>
          <w:p w14:paraId="2A18099B"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Left</w:t>
            </w:r>
          </w:p>
        </w:tc>
        <w:tc>
          <w:tcPr>
            <w:tcW w:w="2340" w:type="dxa"/>
            <w:tcBorders>
              <w:top w:val="single" w:sz="4" w:space="0" w:color="000000"/>
            </w:tcBorders>
          </w:tcPr>
          <w:p w14:paraId="773536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340" w:type="dxa"/>
            <w:tcBorders>
              <w:top w:val="single" w:sz="4" w:space="0" w:color="000000"/>
            </w:tcBorders>
          </w:tcPr>
          <w:p w14:paraId="4F74147C"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91" w:type="dxa"/>
            <w:tcBorders>
              <w:top w:val="single" w:sz="4" w:space="0" w:color="000000"/>
            </w:tcBorders>
          </w:tcPr>
          <w:p w14:paraId="3342AC9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c>
          <w:tcPr>
            <w:tcW w:w="2789" w:type="dxa"/>
            <w:tcBorders>
              <w:top w:val="single" w:sz="4" w:space="0" w:color="000000"/>
            </w:tcBorders>
          </w:tcPr>
          <w:p w14:paraId="1FE40B0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1</w:t>
            </w:r>
          </w:p>
        </w:tc>
      </w:tr>
      <w:tr w:rsidR="006F2F23" w14:paraId="24A8B660" w14:textId="77777777" w:rsidTr="00571F1F">
        <w:tc>
          <w:tcPr>
            <w:tcW w:w="1620" w:type="dxa"/>
          </w:tcPr>
          <w:p w14:paraId="724AC100"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Object Right</w:t>
            </w:r>
          </w:p>
        </w:tc>
        <w:tc>
          <w:tcPr>
            <w:tcW w:w="2340" w:type="dxa"/>
          </w:tcPr>
          <w:p w14:paraId="38DB040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340" w:type="dxa"/>
          </w:tcPr>
          <w:p w14:paraId="4536511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91" w:type="dxa"/>
          </w:tcPr>
          <w:p w14:paraId="4FD1C34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c>
          <w:tcPr>
            <w:tcW w:w="2789" w:type="dxa"/>
          </w:tcPr>
          <w:p w14:paraId="3D3E936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Unit 2</w:t>
            </w:r>
          </w:p>
        </w:tc>
      </w:tr>
      <w:tr w:rsidR="006F2F23" w14:paraId="652A3BFB" w14:textId="77777777" w:rsidTr="00571F1F">
        <w:tc>
          <w:tcPr>
            <w:tcW w:w="1620" w:type="dxa"/>
          </w:tcPr>
          <w:p w14:paraId="776934F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Horizontal Position</w:t>
            </w:r>
          </w:p>
        </w:tc>
        <w:tc>
          <w:tcPr>
            <w:tcW w:w="2340" w:type="dxa"/>
          </w:tcPr>
          <w:p w14:paraId="1A21315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340" w:type="dxa"/>
          </w:tcPr>
          <w:p w14:paraId="066E68D1"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c>
          <w:tcPr>
            <w:tcW w:w="2791" w:type="dxa"/>
          </w:tcPr>
          <w:p w14:paraId="54B7D2B8"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1</w:t>
            </w:r>
          </w:p>
        </w:tc>
        <w:tc>
          <w:tcPr>
            <w:tcW w:w="2789" w:type="dxa"/>
          </w:tcPr>
          <w:p w14:paraId="2B1BD0E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Position 2</w:t>
            </w:r>
          </w:p>
        </w:tc>
      </w:tr>
      <w:tr w:rsidR="006F2F23" w14:paraId="6E8495D8" w14:textId="77777777" w:rsidTr="00571F1F">
        <w:tc>
          <w:tcPr>
            <w:tcW w:w="1620" w:type="dxa"/>
            <w:shd w:val="clear" w:color="auto" w:fill="A6A6A6" w:themeFill="background1" w:themeFillShade="A6"/>
          </w:tcPr>
          <w:p w14:paraId="204BF5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Horizontal Position</w:t>
            </w:r>
          </w:p>
        </w:tc>
        <w:tc>
          <w:tcPr>
            <w:tcW w:w="2340" w:type="dxa"/>
            <w:shd w:val="clear" w:color="auto" w:fill="A6A6A6" w:themeFill="background1" w:themeFillShade="A6"/>
          </w:tcPr>
          <w:p w14:paraId="1D032BFD"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340" w:type="dxa"/>
            <w:shd w:val="clear" w:color="auto" w:fill="A6A6A6" w:themeFill="background1" w:themeFillShade="A6"/>
          </w:tcPr>
          <w:p w14:paraId="1DBB4F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Missing</w:t>
            </w:r>
          </w:p>
        </w:tc>
        <w:tc>
          <w:tcPr>
            <w:tcW w:w="2791" w:type="dxa"/>
            <w:shd w:val="clear" w:color="auto" w:fill="A6A6A6" w:themeFill="background1" w:themeFillShade="A6"/>
          </w:tcPr>
          <w:p w14:paraId="35EE124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c>
          <w:tcPr>
            <w:tcW w:w="2789" w:type="dxa"/>
            <w:shd w:val="clear" w:color="auto" w:fill="A6A6A6" w:themeFill="background1" w:themeFillShade="A6"/>
          </w:tcPr>
          <w:p w14:paraId="093FC56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Middle</w:t>
            </w:r>
          </w:p>
        </w:tc>
      </w:tr>
      <w:tr w:rsidR="006F2F23" w14:paraId="7957EA3E" w14:textId="77777777" w:rsidTr="00571F1F">
        <w:tc>
          <w:tcPr>
            <w:tcW w:w="1620" w:type="dxa"/>
            <w:shd w:val="clear" w:color="auto" w:fill="A6A6A6" w:themeFill="background1" w:themeFillShade="A6"/>
          </w:tcPr>
          <w:p w14:paraId="6F757DB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Obstacle Height</w:t>
            </w:r>
          </w:p>
        </w:tc>
        <w:tc>
          <w:tcPr>
            <w:tcW w:w="2340" w:type="dxa"/>
            <w:shd w:val="clear" w:color="auto" w:fill="A6A6A6" w:themeFill="background1" w:themeFillShade="A6"/>
          </w:tcPr>
          <w:p w14:paraId="0964F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340" w:type="dxa"/>
            <w:shd w:val="clear" w:color="auto" w:fill="A6A6A6" w:themeFill="background1" w:themeFillShade="A6"/>
          </w:tcPr>
          <w:p w14:paraId="0287E5B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Obstacle</w:t>
            </w:r>
          </w:p>
        </w:tc>
        <w:tc>
          <w:tcPr>
            <w:tcW w:w="2791" w:type="dxa"/>
            <w:shd w:val="clear" w:color="auto" w:fill="A6A6A6" w:themeFill="background1" w:themeFillShade="A6"/>
          </w:tcPr>
          <w:p w14:paraId="32843E7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165C98A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3FFE1DDC" w14:textId="77777777" w:rsidTr="00571F1F">
        <w:tc>
          <w:tcPr>
            <w:tcW w:w="1620" w:type="dxa"/>
            <w:shd w:val="clear" w:color="auto" w:fill="A6A6A6" w:themeFill="background1" w:themeFillShade="A6"/>
          </w:tcPr>
          <w:p w14:paraId="3CC24E99"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Apex–Obstacle Gap</w:t>
            </w:r>
          </w:p>
        </w:tc>
        <w:tc>
          <w:tcPr>
            <w:tcW w:w="2340" w:type="dxa"/>
            <w:shd w:val="clear" w:color="auto" w:fill="A6A6A6" w:themeFill="background1" w:themeFillShade="A6"/>
          </w:tcPr>
          <w:p w14:paraId="054E2A03"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340" w:type="dxa"/>
            <w:shd w:val="clear" w:color="auto" w:fill="A6A6A6" w:themeFill="background1" w:themeFillShade="A6"/>
          </w:tcPr>
          <w:p w14:paraId="22AE742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Separation</w:t>
            </w:r>
          </w:p>
        </w:tc>
        <w:tc>
          <w:tcPr>
            <w:tcW w:w="2791" w:type="dxa"/>
            <w:shd w:val="clear" w:color="auto" w:fill="A6A6A6" w:themeFill="background1" w:themeFillShade="A6"/>
          </w:tcPr>
          <w:p w14:paraId="19ABE04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c>
          <w:tcPr>
            <w:tcW w:w="2789" w:type="dxa"/>
            <w:shd w:val="clear" w:color="auto" w:fill="A6A6A6" w:themeFill="background1" w:themeFillShade="A6"/>
          </w:tcPr>
          <w:p w14:paraId="71C8D0C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Small Vertical Separation</w:t>
            </w:r>
          </w:p>
        </w:tc>
      </w:tr>
      <w:tr w:rsidR="006F2F23" w14:paraId="5DD38C25" w14:textId="77777777" w:rsidTr="00571F1F">
        <w:tc>
          <w:tcPr>
            <w:tcW w:w="1620" w:type="dxa"/>
          </w:tcPr>
          <w:p w14:paraId="12CC6A5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 Adjacency</w:t>
            </w:r>
          </w:p>
        </w:tc>
        <w:tc>
          <w:tcPr>
            <w:tcW w:w="2340" w:type="dxa"/>
          </w:tcPr>
          <w:p w14:paraId="4718A19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340" w:type="dxa"/>
          </w:tcPr>
          <w:p w14:paraId="16FCD03D"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91" w:type="dxa"/>
          </w:tcPr>
          <w:p w14:paraId="7BCD839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c>
          <w:tcPr>
            <w:tcW w:w="2789" w:type="dxa"/>
          </w:tcPr>
          <w:p w14:paraId="163DD9A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Spatially Contiguous</w:t>
            </w:r>
          </w:p>
        </w:tc>
      </w:tr>
      <w:tr w:rsidR="006F2F23" w14:paraId="58C50CAE" w14:textId="77777777" w:rsidTr="00571F1F">
        <w:tc>
          <w:tcPr>
            <w:tcW w:w="1620" w:type="dxa"/>
            <w:shd w:val="clear" w:color="auto" w:fill="A6A6A6" w:themeFill="background1" w:themeFillShade="A6"/>
          </w:tcPr>
          <w:p w14:paraId="17B4554A"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 Peak Height</w:t>
            </w:r>
          </w:p>
        </w:tc>
        <w:tc>
          <w:tcPr>
            <w:tcW w:w="2340" w:type="dxa"/>
            <w:shd w:val="clear" w:color="auto" w:fill="A6A6A6" w:themeFill="background1" w:themeFillShade="A6"/>
          </w:tcPr>
          <w:p w14:paraId="7C38B64B"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340" w:type="dxa"/>
            <w:shd w:val="clear" w:color="auto" w:fill="A6A6A6" w:themeFill="background1" w:themeFillShade="A6"/>
          </w:tcPr>
          <w:p w14:paraId="26B6673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No Arc</w:t>
            </w:r>
          </w:p>
        </w:tc>
        <w:tc>
          <w:tcPr>
            <w:tcW w:w="2791" w:type="dxa"/>
            <w:shd w:val="clear" w:color="auto" w:fill="A6A6A6" w:themeFill="background1" w:themeFillShade="A6"/>
          </w:tcPr>
          <w:p w14:paraId="3EA26825"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c>
          <w:tcPr>
            <w:tcW w:w="2789" w:type="dxa"/>
            <w:shd w:val="clear" w:color="auto" w:fill="A6A6A6" w:themeFill="background1" w:themeFillShade="A6"/>
          </w:tcPr>
          <w:p w14:paraId="778231FF"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Height 2</w:t>
            </w:r>
          </w:p>
        </w:tc>
      </w:tr>
      <w:tr w:rsidR="006F2F23" w14:paraId="40D8ED73" w14:textId="77777777" w:rsidTr="00571F1F">
        <w:tc>
          <w:tcPr>
            <w:tcW w:w="1620" w:type="dxa"/>
            <w:shd w:val="clear" w:color="auto" w:fill="A6A6A6" w:themeFill="background1" w:themeFillShade="A6"/>
          </w:tcPr>
          <w:p w14:paraId="1A845198"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Kinematic Motion Type</w:t>
            </w:r>
          </w:p>
        </w:tc>
        <w:tc>
          <w:tcPr>
            <w:tcW w:w="2340" w:type="dxa"/>
            <w:shd w:val="clear" w:color="auto" w:fill="A6A6A6" w:themeFill="background1" w:themeFillShade="A6"/>
          </w:tcPr>
          <w:p w14:paraId="613AFAA6"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340" w:type="dxa"/>
            <w:shd w:val="clear" w:color="auto" w:fill="A6A6A6" w:themeFill="background1" w:themeFillShade="A6"/>
          </w:tcPr>
          <w:p w14:paraId="2EAEA89E"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Linear</w:t>
            </w:r>
          </w:p>
        </w:tc>
        <w:tc>
          <w:tcPr>
            <w:tcW w:w="2791" w:type="dxa"/>
            <w:shd w:val="clear" w:color="auto" w:fill="A6A6A6" w:themeFill="background1" w:themeFillShade="A6"/>
          </w:tcPr>
          <w:p w14:paraId="7D8787F7"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c>
          <w:tcPr>
            <w:tcW w:w="2789" w:type="dxa"/>
            <w:shd w:val="clear" w:color="auto" w:fill="A6A6A6" w:themeFill="background1" w:themeFillShade="A6"/>
          </w:tcPr>
          <w:p w14:paraId="53781560" w14:textId="77777777" w:rsidR="006F2F23" w:rsidRPr="00A55E1A" w:rsidRDefault="00000000">
            <w:pPr>
              <w:spacing w:line="480" w:lineRule="auto"/>
              <w:jc w:val="center"/>
              <w:rPr>
                <w:rFonts w:ascii="Times New Roman" w:eastAsia="Times New Roman" w:hAnsi="Times New Roman" w:cs="Times New Roman"/>
              </w:rPr>
            </w:pPr>
            <w:r w:rsidRPr="00A55E1A">
              <w:rPr>
                <w:rFonts w:ascii="Times New Roman" w:eastAsia="Times New Roman" w:hAnsi="Times New Roman" w:cs="Times New Roman"/>
              </w:rPr>
              <w:t>Arced</w:t>
            </w:r>
          </w:p>
        </w:tc>
      </w:tr>
      <w:tr w:rsidR="006F2F23" w14:paraId="303DFF8E" w14:textId="77777777" w:rsidTr="00571F1F">
        <w:trPr>
          <w:trHeight w:val="224"/>
        </w:trPr>
        <w:tc>
          <w:tcPr>
            <w:tcW w:w="1620" w:type="dxa"/>
          </w:tcPr>
          <w:p w14:paraId="5D1A2BF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Surface Property Left</w:t>
            </w:r>
          </w:p>
        </w:tc>
        <w:tc>
          <w:tcPr>
            <w:tcW w:w="2340" w:type="dxa"/>
          </w:tcPr>
          <w:p w14:paraId="50169999"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Pr>
          <w:p w14:paraId="0E0F52C2"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Pr>
          <w:p w14:paraId="7CE69D96"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Pr>
          <w:p w14:paraId="36387DC7"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r w:rsidR="006F2F23" w14:paraId="6E608C3B" w14:textId="77777777" w:rsidTr="00571F1F">
        <w:tc>
          <w:tcPr>
            <w:tcW w:w="1620" w:type="dxa"/>
            <w:tcBorders>
              <w:bottom w:val="single" w:sz="4" w:space="0" w:color="000000"/>
            </w:tcBorders>
          </w:tcPr>
          <w:p w14:paraId="5581B045"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lastRenderedPageBreak/>
              <w:t>Surface Property Right</w:t>
            </w:r>
          </w:p>
        </w:tc>
        <w:tc>
          <w:tcPr>
            <w:tcW w:w="2340" w:type="dxa"/>
            <w:tcBorders>
              <w:bottom w:val="single" w:sz="4" w:space="0" w:color="000000"/>
            </w:tcBorders>
          </w:tcPr>
          <w:p w14:paraId="6B541E0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340" w:type="dxa"/>
            <w:tcBorders>
              <w:bottom w:val="single" w:sz="4" w:space="0" w:color="000000"/>
            </w:tcBorders>
          </w:tcPr>
          <w:p w14:paraId="1511FAD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91" w:type="dxa"/>
            <w:tcBorders>
              <w:bottom w:val="single" w:sz="4" w:space="0" w:color="000000"/>
            </w:tcBorders>
          </w:tcPr>
          <w:p w14:paraId="6DD1F32F"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c>
          <w:tcPr>
            <w:tcW w:w="2789" w:type="dxa"/>
            <w:tcBorders>
              <w:bottom w:val="single" w:sz="4" w:space="0" w:color="000000"/>
            </w:tcBorders>
          </w:tcPr>
          <w:p w14:paraId="2A6B386E" w14:textId="77777777" w:rsidR="006F2F23"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Animate-like</w:t>
            </w:r>
          </w:p>
        </w:tc>
      </w:tr>
    </w:tbl>
    <w:p w14:paraId="08F09D16" w14:textId="6E02FED1"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b/>
          <w:bCs/>
        </w:rPr>
        <w:t xml:space="preserve"> </w:t>
      </w:r>
      <w:r>
        <w:rPr>
          <w:rFonts w:ascii="Times New Roman" w:eastAsia="Times New Roman" w:hAnsi="Times New Roman" w:cs="Times New Roman"/>
        </w:rPr>
        <w:t xml:space="preserve">Values are illustrative of each event type at a single time step. Input cell entries identify the units whose states were clamped during that time step. Target cells entries identify the units who state the network was trained to activate. </w:t>
      </w:r>
      <w:r w:rsidR="00A55E1A">
        <w:rPr>
          <w:rFonts w:ascii="Times New Roman" w:eastAsia="Times New Roman" w:hAnsi="Times New Roman" w:cs="Times New Roman"/>
        </w:rPr>
        <w:t>Highlighted rows</w:t>
      </w:r>
      <w:r>
        <w:rPr>
          <w:rFonts w:ascii="Times New Roman" w:eastAsia="Times New Roman" w:hAnsi="Times New Roman" w:cs="Times New Roman"/>
        </w:rPr>
        <w:t xml:space="preserve"> reflect features on which the two event types </w:t>
      </w:r>
      <w:proofErr w:type="gramStart"/>
      <w:r>
        <w:rPr>
          <w:rFonts w:ascii="Times New Roman" w:eastAsia="Times New Roman" w:hAnsi="Times New Roman" w:cs="Times New Roman"/>
        </w:rPr>
        <w:t>differed</w:t>
      </w:r>
      <w:proofErr w:type="gramEnd"/>
      <w:r>
        <w:rPr>
          <w:rFonts w:ascii="Times New Roman" w:eastAsia="Times New Roman" w:hAnsi="Times New Roman" w:cs="Times New Roman"/>
        </w:rPr>
        <w:t>.</w:t>
      </w:r>
    </w:p>
    <w:p w14:paraId="11C70CF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During each time step of both phases, an action event was presented by clamping the states of the units corresponding to that event’s surface features. Activity then propagated from the input layer to the hidden layer and then from the hidden layer to the output layer. The resulting pattern of activity over the output units represented the network’s attempt at reproducing the input activity and predicting an object’s next position. To minimize the discrepancy between the target and output patterns after a full pass through the training patterns, connection weights were modified via a version of recurrent backpropagation through time adapted to the simple recurrent network architecture (Williams &amp; Zipser, 1995). Cross-entropy was the error measure:</w:t>
      </w:r>
    </w:p>
    <w:p w14:paraId="1C492D82" w14:textId="77777777" w:rsidR="006F2F23" w:rsidRDefault="006F2F23">
      <w:pPr>
        <w:spacing w:line="480" w:lineRule="auto"/>
        <w:rPr>
          <w:rFonts w:ascii="Times New Roman" w:eastAsia="Times New Roman" w:hAnsi="Times New Roman" w:cs="Times New Roman"/>
        </w:rPr>
      </w:pPr>
    </w:p>
    <w:tbl>
      <w:tblPr>
        <w:tblStyle w:val="a7"/>
        <w:tblW w:w="91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6232"/>
        <w:gridCol w:w="2952"/>
      </w:tblGrid>
      <w:tr w:rsidR="006F2F23" w14:paraId="50ECFACE" w14:textId="77777777">
        <w:trPr>
          <w:trHeight w:val="521"/>
        </w:trPr>
        <w:tc>
          <w:tcPr>
            <w:tcW w:w="6232" w:type="dxa"/>
          </w:tcPr>
          <w:p w14:paraId="3E639C88" w14:textId="77777777" w:rsidR="006F2F23" w:rsidRDefault="00000000">
            <w:pPr>
              <w:jc w:val="center"/>
              <w:rPr>
                <w:rFonts w:ascii="Cambria Math" w:eastAsia="Cambria Math" w:hAnsi="Cambria Math" w:cs="Cambria Math"/>
              </w:rPr>
            </w:pPr>
            <m:oMathPara>
              <m:oMath>
                <m:r>
                  <w:rPr>
                    <w:rFonts w:ascii="Cambria Math" w:eastAsia="Cambria Math" w:hAnsi="Cambria Math" w:cs="Cambria Math"/>
                  </w:rPr>
                  <m:t>C=-</m:t>
                </m:r>
                <m:nary>
                  <m:naryPr>
                    <m:chr m:val="∑"/>
                    <m:ctrlPr>
                      <w:rPr>
                        <w:rFonts w:ascii="Cambria Math" w:eastAsia="Cambria Math" w:hAnsi="Cambria Math" w:cs="Cambria Math"/>
                      </w:rPr>
                    </m:ctrlPr>
                  </m:naryPr>
                  <m:sub>
                    <m:r>
                      <w:rPr>
                        <w:rFonts w:ascii="Cambria Math" w:eastAsia="Cambria Math" w:hAnsi="Cambria Math" w:cs="Cambria Math"/>
                      </w:rPr>
                      <m:t>p</m:t>
                    </m:r>
                  </m:sub>
                  <m:sup/>
                  <m:e/>
                </m:nary>
                <m:nary>
                  <m:naryPr>
                    <m:chr m:val="∑"/>
                    <m:ctrlPr>
                      <w:rPr>
                        <w:rFonts w:ascii="Cambria Math" w:eastAsia="Cambria Math" w:hAnsi="Cambria Math" w:cs="Cambria Math"/>
                      </w:rPr>
                    </m:ctrlPr>
                  </m:naryPr>
                  <m:sub>
                    <m:r>
                      <w:rPr>
                        <w:rFonts w:ascii="Cambria Math" w:eastAsia="Cambria Math" w:hAnsi="Cambria Math" w:cs="Cambria Math"/>
                      </w:rPr>
                      <m:t>t</m:t>
                    </m:r>
                  </m:sub>
                  <m:sup/>
                  <m:e/>
                </m:nary>
                <m:nary>
                  <m:naryPr>
                    <m:chr m:val="∑"/>
                    <m:ctrlPr>
                      <w:rPr>
                        <w:rFonts w:ascii="Cambria Math" w:eastAsia="Cambria Math" w:hAnsi="Cambria Math" w:cs="Cambria Math"/>
                      </w:rPr>
                    </m:ctrlPr>
                  </m:naryPr>
                  <m:sub>
                    <m:r>
                      <w:rPr>
                        <w:rFonts w:ascii="Cambria Math" w:eastAsia="Cambria Math" w:hAnsi="Cambria Math" w:cs="Cambria Math"/>
                      </w:rPr>
                      <m:t>k</m:t>
                    </m:r>
                  </m:sub>
                  <m:sup/>
                  <m:e/>
                </m:nary>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log</m:t>
                    </m:r>
                  </m:e>
                  <m:sub>
                    <m:r>
                      <w:rPr>
                        <w:rFonts w:ascii="Cambria Math" w:eastAsia="Cambria Math" w:hAnsi="Cambria Math" w:cs="Cambria Math"/>
                      </w:rPr>
                      <m:t>2</m:t>
                    </m:r>
                  </m:sub>
                </m:sSub>
                <m:r>
                  <w:rPr>
                    <w:rFonts w:ascii="Cambria Math" w:eastAsia="Cambria Math" w:hAnsi="Cambria Math" w:cs="Cambria Math"/>
                  </w:rPr>
                  <m:t>(1-</m:t>
                </m:r>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r>
                  <w:rPr>
                    <w:rFonts w:ascii="Cambria Math" w:eastAsia="Cambria Math" w:hAnsi="Cambria Math" w:cs="Cambria Math"/>
                  </w:rPr>
                  <m:t>)</m:t>
                </m:r>
              </m:oMath>
            </m:oMathPara>
          </w:p>
        </w:tc>
        <w:tc>
          <w:tcPr>
            <w:tcW w:w="2952" w:type="dxa"/>
          </w:tcPr>
          <w:p w14:paraId="0E78F21D"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(5)</w:t>
            </w:r>
          </w:p>
        </w:tc>
      </w:tr>
    </w:tbl>
    <w:p w14:paraId="2E5E9A7C" w14:textId="77777777" w:rsidR="006F2F23" w:rsidRDefault="006F2F23">
      <w:pPr>
        <w:spacing w:after="0" w:line="480" w:lineRule="auto"/>
        <w:rPr>
          <w:rFonts w:ascii="Times New Roman" w:eastAsia="Times New Roman" w:hAnsi="Times New Roman" w:cs="Times New Roman"/>
        </w:rPr>
      </w:pPr>
    </w:p>
    <w:p w14:paraId="7E59653A"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m:oMath>
        <m:sSubSup>
          <m:sSubSupPr>
            <m:ctrlPr>
              <w:rPr>
                <w:rFonts w:ascii="Cambria Math" w:eastAsia="Cambria Math" w:hAnsi="Cambria Math" w:cs="Cambria Math"/>
              </w:rPr>
            </m:ctrlPr>
          </m:sSubSupPr>
          <m:e>
            <m:r>
              <w:rPr>
                <w:rFonts w:ascii="Cambria Math" w:eastAsia="Cambria Math" w:hAnsi="Cambria Math" w:cs="Cambria Math"/>
              </w:rPr>
              <m:t>t</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target activation of output unit </w:t>
      </w:r>
      <w:r>
        <w:rPr>
          <w:rFonts w:ascii="Times New Roman" w:eastAsia="Times New Roman" w:hAnsi="Times New Roman" w:cs="Times New Roman"/>
          <w:i/>
          <w:iCs/>
        </w:rPr>
        <w:t xml:space="preserve">k </w:t>
      </w:r>
      <w:r>
        <w:rPr>
          <w:rFonts w:ascii="Times New Roman" w:eastAsia="Times New Roman" w:hAnsi="Times New Roman" w:cs="Times New Roman"/>
        </w:rPr>
        <w:t xml:space="preserve">in training pattern </w:t>
      </w:r>
      <w:proofErr w:type="spellStart"/>
      <w:r>
        <w:rPr>
          <w:rFonts w:ascii="Times New Roman" w:eastAsia="Times New Roman" w:hAnsi="Times New Roman" w:cs="Times New Roman"/>
          <w:i/>
          <w:iCs/>
        </w:rPr>
        <w:t xml:space="preserve">p </w:t>
      </w:r>
      <w:r>
        <w:rPr>
          <w:rFonts w:ascii="Times New Roman" w:eastAsia="Times New Roman" w:hAnsi="Times New Roman" w:cs="Times New Roman"/>
        </w:rPr>
        <w:t>at</w:t>
      </w:r>
      <w:proofErr w:type="spellEnd"/>
      <w:r>
        <w:rPr>
          <w:rFonts w:ascii="Times New Roman" w:eastAsia="Times New Roman" w:hAnsi="Times New Roman" w:cs="Times New Roman"/>
        </w:rPr>
        <w:t xml:space="preserve"> time </w:t>
      </w:r>
      <w:r>
        <w:rPr>
          <w:rFonts w:ascii="Times New Roman" w:eastAsia="Times New Roman" w:hAnsi="Times New Roman" w:cs="Times New Roman"/>
          <w:i/>
          <w:iCs/>
        </w:rPr>
        <w:t>t</w:t>
      </w:r>
      <w:r>
        <w:rPr>
          <w:rFonts w:ascii="Times New Roman" w:eastAsia="Times New Roman" w:hAnsi="Times New Roman" w:cs="Times New Roman"/>
        </w:rPr>
        <w:t xml:space="preserve">, </w:t>
      </w:r>
      <m:oMath>
        <m:sSubSup>
          <m:sSubSupPr>
            <m:ctrlPr>
              <w:rPr>
                <w:rFonts w:ascii="Cambria Math" w:eastAsia="Cambria Math" w:hAnsi="Cambria Math" w:cs="Cambria Math"/>
              </w:rPr>
            </m:ctrlPr>
          </m:sSubSupPr>
          <m:e>
            <m:r>
              <w:rPr>
                <w:rFonts w:ascii="Cambria Math" w:eastAsia="Cambria Math" w:hAnsi="Cambria Math" w:cs="Cambria Math"/>
              </w:rPr>
              <m:t>a</m:t>
            </m:r>
          </m:e>
          <m:sub>
            <m:r>
              <w:rPr>
                <w:rFonts w:ascii="Cambria Math" w:eastAsia="Cambria Math" w:hAnsi="Cambria Math" w:cs="Cambria Math"/>
              </w:rPr>
              <m:t>k,t</m:t>
            </m:r>
          </m:sub>
          <m:sup>
            <m:r>
              <w:rPr>
                <w:rFonts w:ascii="Cambria Math" w:eastAsia="Cambria Math" w:hAnsi="Cambria Math" w:cs="Cambria Math"/>
              </w:rPr>
              <m:t>p</m:t>
            </m:r>
          </m:sup>
        </m:sSubSup>
      </m:oMath>
      <w:r>
        <w:rPr>
          <w:rFonts w:ascii="Times New Roman" w:eastAsia="Times New Roman" w:hAnsi="Times New Roman" w:cs="Times New Roman"/>
        </w:rPr>
        <w:t xml:space="preserve"> is the observed activation of that unit,</w:t>
      </w:r>
      <w:r>
        <w:rPr>
          <w:rFonts w:ascii="Times New Roman" w:eastAsia="Times New Roman" w:hAnsi="Times New Roman" w:cs="Times New Roman"/>
          <w:i/>
          <w:iCs/>
        </w:rPr>
        <w:t xml:space="preserve"> </w:t>
      </w:r>
      <w:r>
        <w:rPr>
          <w:rFonts w:ascii="Times New Roman" w:eastAsia="Times New Roman" w:hAnsi="Times New Roman" w:cs="Times New Roman"/>
        </w:rPr>
        <w:t>and the summation is computed across all output units, time steps, and training patterns. Weight changes were then calculated as follows:</w:t>
      </w:r>
    </w:p>
    <w:p w14:paraId="468D6EA3" w14:textId="56B20EEF" w:rsidR="006F2F23" w:rsidRDefault="000F519A">
      <w:pPr>
        <w:spacing w:line="480" w:lineRule="auto"/>
        <w:rPr>
          <w:rFonts w:ascii="Times New Roman" w:eastAsia="Times New Roman" w:hAnsi="Times New Roman" w:cs="Times New Roman"/>
        </w:rPr>
      </w:pPr>
      <w:r>
        <w:rPr>
          <w:rFonts w:ascii="Times New Roman" w:eastAsia="Times New Roman" w:hAnsi="Times New Roman" w:cs="Times New Roman"/>
        </w:rPr>
        <w:lastRenderedPageBreak/>
        <w:t xml:space="preserve"> </w:t>
      </w:r>
    </w:p>
    <w:tbl>
      <w:tblPr>
        <w:tblStyle w:val="a8"/>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6F2F23" w14:paraId="1398886D" w14:textId="77777777">
        <w:tc>
          <w:tcPr>
            <w:tcW w:w="4675" w:type="dxa"/>
          </w:tcPr>
          <w:p w14:paraId="3ADA33C3" w14:textId="77777777" w:rsidR="006F2F23" w:rsidRDefault="00000000">
            <w:pPr>
              <w:spacing w:line="480" w:lineRule="auto"/>
              <w:jc w:val="center"/>
              <w:rPr>
                <w:rFonts w:ascii="Times New Roman" w:eastAsia="Times New Roman" w:hAnsi="Times New Roman" w:cs="Times New Roman"/>
              </w:rPr>
            </w:pPr>
            <m:oMath>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r>
                <w:rPr>
                  <w:rFonts w:ascii="Cambria Math" w:eastAsia="Cambria Math" w:hAnsi="Cambria Math" w:cs="Cambria Math"/>
                </w:rPr>
                <m:t>=-</m:t>
              </m:r>
            </m:oMath>
            <w:r>
              <w:rPr>
                <w:rFonts w:ascii="Cambria Math" w:eastAsia="Cambria Math" w:hAnsi="Cambria Math" w:cs="Cambria Math"/>
                <w:i/>
                <w:iCs/>
              </w:rPr>
              <w:t>η</w:t>
            </w:r>
            <m:oMath>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r>
                <w:rPr>
                  <w:rFonts w:ascii="Cambria Math" w:eastAsia="Cambria Math" w:hAnsi="Cambria Math" w:cs="Cambria Math"/>
                </w:rPr>
                <m:t>)</m:t>
              </m:r>
            </m:oMath>
          </w:p>
        </w:tc>
        <w:tc>
          <w:tcPr>
            <w:tcW w:w="4675" w:type="dxa"/>
          </w:tcPr>
          <w:p w14:paraId="6000A3CB" w14:textId="77777777" w:rsidR="006F2F23" w:rsidRDefault="00000000">
            <w:pPr>
              <w:spacing w:line="480" w:lineRule="auto"/>
              <w:jc w:val="right"/>
              <w:rPr>
                <w:rFonts w:ascii="Times New Roman" w:eastAsia="Times New Roman" w:hAnsi="Times New Roman" w:cs="Times New Roman"/>
              </w:rPr>
            </w:pPr>
            <w:r>
              <w:rPr>
                <w:rFonts w:ascii="Times New Roman" w:eastAsia="Times New Roman" w:hAnsi="Times New Roman" w:cs="Times New Roman"/>
              </w:rPr>
              <w:t>(6)</w:t>
            </w:r>
          </w:p>
        </w:tc>
      </w:tr>
    </w:tbl>
    <w:p w14:paraId="5DB683BB" w14:textId="77777777" w:rsidR="006F2F23" w:rsidRDefault="006F2F23">
      <w:pPr>
        <w:spacing w:after="0" w:line="480" w:lineRule="auto"/>
        <w:rPr>
          <w:rFonts w:ascii="Times New Roman" w:eastAsia="Times New Roman" w:hAnsi="Times New Roman" w:cs="Times New Roman"/>
        </w:rPr>
      </w:pPr>
    </w:p>
    <w:p w14:paraId="3DE8775F"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 xml:space="preserve">where </w:t>
      </w:r>
      <w:r>
        <w:rPr>
          <w:rFonts w:ascii="Cambria Math" w:eastAsia="Cambria Math" w:hAnsi="Cambria Math" w:cs="Cambria Math"/>
          <w:i/>
          <w:iCs/>
        </w:rPr>
        <w:t>η</w:t>
      </w:r>
      <w:r>
        <w:rPr>
          <w:rFonts w:ascii="Times New Roman" w:eastAsia="Times New Roman" w:hAnsi="Times New Roman" w:cs="Times New Roman"/>
        </w:rPr>
        <w:t xml:space="preserve"> is the learning rate and </w:t>
      </w:r>
      <m:oMath>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den>
        </m:f>
      </m:oMath>
      <w:r>
        <w:rPr>
          <w:rFonts w:ascii="Times New Roman" w:eastAsia="Times New Roman" w:hAnsi="Times New Roman" w:cs="Times New Roman"/>
        </w:rPr>
        <w:t xml:space="preserve"> is the partial derivative of </w:t>
      </w:r>
      <w:r>
        <w:rPr>
          <w:rFonts w:ascii="Times New Roman" w:eastAsia="Times New Roman" w:hAnsi="Times New Roman" w:cs="Times New Roman"/>
          <w:i/>
          <w:iCs/>
        </w:rPr>
        <w:t xml:space="preserve">C </w:t>
      </w:r>
      <w:r>
        <w:rPr>
          <w:rFonts w:ascii="Times New Roman" w:eastAsia="Times New Roman" w:hAnsi="Times New Roman" w:cs="Times New Roman"/>
        </w:rPr>
        <w:t xml:space="preserve">with respect to weight </w:t>
      </w:r>
      <m:oMath>
        <m:sSub>
          <m:sSubPr>
            <m:ctrlPr>
              <w:rPr>
                <w:rFonts w:ascii="Cambria Math" w:eastAsia="Cambria Math" w:hAnsi="Cambria Math" w:cs="Cambria Math"/>
              </w:rPr>
            </m:ctrlPr>
          </m:sSubPr>
          <m:e>
            <m:r>
              <w:rPr>
                <w:rFonts w:ascii="Cambria Math" w:eastAsia="Cambria Math" w:hAnsi="Cambria Math" w:cs="Cambria Math"/>
              </w:rPr>
              <m:t>w</m:t>
            </m:r>
          </m:e>
          <m:sub>
            <m:r>
              <w:rPr>
                <w:rFonts w:ascii="Cambria Math" w:eastAsia="Cambria Math" w:hAnsi="Cambria Math" w:cs="Cambria Math"/>
              </w:rPr>
              <m:t>ij</m:t>
            </m:r>
          </m:sub>
        </m:sSub>
      </m:oMath>
      <w:r>
        <w:rPr>
          <w:rFonts w:ascii="Times New Roman" w:eastAsia="Times New Roman" w:hAnsi="Times New Roman" w:cs="Times New Roman"/>
        </w:rPr>
        <w:t xml:space="preserve">. </w:t>
      </w:r>
    </w:p>
    <w:p w14:paraId="1A385A9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Testing procedure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 weights were frozen at </w:t>
      </w:r>
      <w:proofErr w:type="gramStart"/>
      <w:r>
        <w:rPr>
          <w:rFonts w:ascii="Times New Roman" w:eastAsia="Times New Roman" w:hAnsi="Times New Roman" w:cs="Times New Roman"/>
        </w:rPr>
        <w:t>test</w:t>
      </w:r>
      <w:proofErr w:type="gramEnd"/>
      <w:r>
        <w:rPr>
          <w:rFonts w:ascii="Times New Roman" w:eastAsia="Times New Roman" w:hAnsi="Times New Roman" w:cs="Times New Roman"/>
        </w:rPr>
        <w:t xml:space="preserve"> to simulate no further learning. The specific testing procedure depended on the </w:t>
      </w:r>
      <w:proofErr w:type="gramStart"/>
      <w:r>
        <w:rPr>
          <w:rFonts w:ascii="Times New Roman" w:eastAsia="Times New Roman" w:hAnsi="Times New Roman" w:cs="Times New Roman"/>
        </w:rPr>
        <w:t>simulation, but</w:t>
      </w:r>
      <w:proofErr w:type="gramEnd"/>
      <w:r>
        <w:rPr>
          <w:rFonts w:ascii="Times New Roman" w:eastAsia="Times New Roman" w:hAnsi="Times New Roman" w:cs="Times New Roman"/>
        </w:rPr>
        <w:t xml:space="preserve"> generally involved presenting two action events: one consistent with prior experience and one inconsistent with that experience. </w:t>
      </w:r>
    </w:p>
    <w:p w14:paraId="7EF74B7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 xml:space="preserve">Salience manipulation. </w:t>
      </w:r>
      <w:r>
        <w:rPr>
          <w:rFonts w:ascii="Times New Roman" w:eastAsia="Times New Roman" w:hAnsi="Times New Roman" w:cs="Times New Roman"/>
        </w:rPr>
        <w:t>The assumption that peripherally located obstacles have lower salience relative to centrally located ones was implemented by decreasing the learning rate and increasing the weight decay on the incoming and outgoing weights associated with the Obstacle Height and Obstacle Position groups. The learning rate value—which, importantly, was distinct from that used to simulate developmental age (see below)—was 1×10</w:t>
      </w:r>
      <w:r>
        <w:rPr>
          <w:rFonts w:ascii="Times New Roman" w:eastAsia="Times New Roman" w:hAnsi="Times New Roman" w:cs="Times New Roman"/>
          <w:vertAlign w:val="superscript"/>
        </w:rPr>
        <w:t>-4</w:t>
      </w:r>
      <w:r>
        <w:rPr>
          <w:rFonts w:ascii="Times New Roman" w:eastAsia="Times New Roman" w:hAnsi="Times New Roman" w:cs="Times New Roman"/>
        </w:rPr>
        <w:t xml:space="preserve">; the weight decay value was 0.1. As mentioned above, this manipulation did not apply to ALIAS-2. These values were kept constant across all simulations. This way of implementing salience aligns with past connectionist modeling work (e.g., Benton, 2025). Preliminary simulations showed that the current findings were robust across a range of parameter values. The assumption that arced trajectories clear obstacles by small margins was implemented by clamping the state of the Small Vertical Separation unit for constrained action events during pretraining. </w:t>
      </w:r>
    </w:p>
    <w:p w14:paraId="7016BF16" w14:textId="77777777" w:rsidR="006F2F23" w:rsidRDefault="006F2F23">
      <w:pPr>
        <w:spacing w:after="0" w:line="480" w:lineRule="auto"/>
        <w:rPr>
          <w:rFonts w:ascii="Times New Roman" w:eastAsia="Times New Roman" w:hAnsi="Times New Roman" w:cs="Times New Roman"/>
          <w:b/>
          <w:bCs/>
        </w:rPr>
      </w:pPr>
    </w:p>
    <w:p w14:paraId="33ADAB4D"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b/>
          <w:bCs/>
        </w:rPr>
        <w:t xml:space="preserve">Common Simulation Procedures </w:t>
      </w:r>
    </w:p>
    <w:p w14:paraId="289169A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 xml:space="preserve">Participants. </w:t>
      </w:r>
      <w:r>
        <w:rPr>
          <w:rFonts w:ascii="Times New Roman" w:eastAsia="Times New Roman" w:hAnsi="Times New Roman" w:cs="Times New Roman"/>
        </w:rPr>
        <w:t xml:space="preserve">In all simulations, “participants” corresponded to independent model runs, each with different initial random weights. Each condition consisted of 20 participants.  </w:t>
      </w:r>
    </w:p>
    <w:p w14:paraId="6D8E62AF" w14:textId="5C245D86"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i/>
          <w:iCs/>
        </w:rPr>
        <w:t>Developmental age</w:t>
      </w:r>
      <w:r>
        <w:rPr>
          <w:rFonts w:ascii="Times New Roman" w:eastAsia="Times New Roman" w:hAnsi="Times New Roman" w:cs="Times New Roman"/>
          <w:b/>
          <w:bCs/>
        </w:rPr>
        <w:t xml:space="preserve">. </w:t>
      </w:r>
      <w:r>
        <w:rPr>
          <w:rFonts w:ascii="Times New Roman" w:eastAsia="Times New Roman" w:hAnsi="Times New Roman" w:cs="Times New Roman"/>
        </w:rPr>
        <w:t xml:space="preserve">Networks corresponding to “older” infants received proportionally more pretraining than those corresponding to “younger” infants. This phase was 900 epochs for simulations whose target findings derived from studies testing 12-month-olds and 675, 450, and 225 for simulations testing 9-, 6-, and 3-month-olds, respectively. Additionally, older networks possessed larger learning rates and more hidden units than younger ones. These were 0.1 and 50, respectively, for the 12-month-old networks, 0.0875 and 40 for the 9-month-olds, 0.0875 and 30 for the 6-month-olds, and 0.01 and 10 for the 3-month-olds. Larger learning rates reflect more rapid learning; more hidden units support enhanced information storage. Although these values were somewhat arbitrary, they were held constant across simulations. </w:t>
      </w:r>
      <w:r w:rsidR="005A5F23">
        <w:rPr>
          <w:rFonts w:ascii="Times New Roman" w:eastAsia="Times New Roman" w:hAnsi="Times New Roman" w:cs="Times New Roman"/>
        </w:rPr>
        <w:t>As above, p</w:t>
      </w:r>
      <w:r>
        <w:rPr>
          <w:rFonts w:ascii="Times New Roman" w:eastAsia="Times New Roman" w:hAnsi="Times New Roman" w:cs="Times New Roman"/>
        </w:rPr>
        <w:t>reliminary simulations indicated that the current results were</w:t>
      </w:r>
      <w:r w:rsidR="00AB76C2">
        <w:rPr>
          <w:rFonts w:ascii="Times New Roman" w:eastAsia="Times New Roman" w:hAnsi="Times New Roman" w:cs="Times New Roman"/>
        </w:rPr>
        <w:t xml:space="preserve"> </w:t>
      </w:r>
      <w:r>
        <w:rPr>
          <w:rFonts w:ascii="Times New Roman" w:eastAsia="Times New Roman" w:hAnsi="Times New Roman" w:cs="Times New Roman"/>
        </w:rPr>
        <w:t xml:space="preserve">robust to </w:t>
      </w:r>
      <w:r w:rsidR="00775855">
        <w:rPr>
          <w:rFonts w:ascii="Times New Roman" w:eastAsia="Times New Roman" w:hAnsi="Times New Roman" w:cs="Times New Roman"/>
        </w:rPr>
        <w:t>different parameter values</w:t>
      </w:r>
      <w:r>
        <w:rPr>
          <w:rFonts w:ascii="Times New Roman" w:eastAsia="Times New Roman" w:hAnsi="Times New Roman" w:cs="Times New Roman"/>
        </w:rPr>
        <w:t>.</w:t>
      </w:r>
    </w:p>
    <w:p w14:paraId="0A6CD6ED" w14:textId="69CBDCA4"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Simulation structure. </w:t>
      </w:r>
      <w:r w:rsidR="00E807F1">
        <w:rPr>
          <w:rFonts w:ascii="Times New Roman" w:eastAsia="Times New Roman" w:hAnsi="Times New Roman" w:cs="Times New Roman"/>
        </w:rPr>
        <w:t>Unless otherwise noted, a</w:t>
      </w:r>
      <w:r>
        <w:rPr>
          <w:rFonts w:ascii="Times New Roman" w:eastAsia="Times New Roman" w:hAnsi="Times New Roman" w:cs="Times New Roman"/>
        </w:rPr>
        <w:t>ll simulations followed the same general structure</w:t>
      </w:r>
      <w:r w:rsidR="00E807F1">
        <w:rPr>
          <w:rFonts w:ascii="Times New Roman" w:eastAsia="Times New Roman" w:hAnsi="Times New Roman" w:cs="Times New Roman"/>
        </w:rPr>
        <w:t xml:space="preserve">—that is, </w:t>
      </w:r>
      <w:r>
        <w:rPr>
          <w:rFonts w:ascii="Times New Roman" w:eastAsia="Times New Roman" w:hAnsi="Times New Roman" w:cs="Times New Roman"/>
        </w:rPr>
        <w:t>pretraining, habituation, and test</w:t>
      </w:r>
      <w:r w:rsidR="00E807F1">
        <w:rPr>
          <w:rFonts w:ascii="Times New Roman" w:eastAsia="Times New Roman" w:hAnsi="Times New Roman" w:cs="Times New Roman"/>
        </w:rPr>
        <w:t xml:space="preserve">—and all test trials </w:t>
      </w:r>
      <w:r>
        <w:rPr>
          <w:rFonts w:ascii="Times New Roman" w:eastAsia="Times New Roman" w:hAnsi="Times New Roman" w:cs="Times New Roman"/>
        </w:rPr>
        <w:t>contrasted barrierless straight- and curved-path events. Throughout the simulations, the former were referred to as Efficient test events; the latter, as Inefficient events.</w:t>
      </w:r>
    </w:p>
    <w:p w14:paraId="0C7E059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Dependent measures.</w:t>
      </w:r>
      <w:r>
        <w:rPr>
          <w:rFonts w:ascii="Times New Roman" w:eastAsia="Times New Roman" w:hAnsi="Times New Roman" w:cs="Times New Roman"/>
        </w:rPr>
        <w:t xml:space="preserve"> For ALIAS and ALIAS-2, the dependent measure was network cross-entropy error; greater error corresponded to longer looking. This interpretation is consistent with that made in prior developmental models (e.g., Benton, 2025; Benton &amp; Lapan, 2021; Mareschal et al., 2000; Quinn &amp; Johnson, 2000; </w:t>
      </w:r>
      <w:proofErr w:type="spellStart"/>
      <w:r>
        <w:rPr>
          <w:rFonts w:ascii="Times New Roman" w:eastAsia="Times New Roman" w:hAnsi="Times New Roman" w:cs="Times New Roman"/>
        </w:rPr>
        <w:t>Rakison</w:t>
      </w:r>
      <w:proofErr w:type="spellEnd"/>
      <w:r>
        <w:rPr>
          <w:rFonts w:ascii="Times New Roman" w:eastAsia="Times New Roman" w:hAnsi="Times New Roman" w:cs="Times New Roman"/>
        </w:rPr>
        <w:t xml:space="preserve">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2008).</w:t>
      </w:r>
    </w:p>
    <w:p w14:paraId="59A9FE6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For VOM10 and VOM10-2, the dependent measure was activation of the critical units; lower activation corresponded to longer looking, as in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(2010).</w:t>
      </w:r>
    </w:p>
    <w:p w14:paraId="699168E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Habituation length and stimuli</w:t>
      </w:r>
      <w:r>
        <w:rPr>
          <w:rFonts w:ascii="Times New Roman" w:eastAsia="Times New Roman" w:hAnsi="Times New Roman" w:cs="Times New Roman"/>
        </w:rPr>
        <w:t>. For ALIAS and ALIAS-2, habituation lasted between 8 and 12 epochs, in increments of one.  Different numbers were used to ensure that results were robust to variation in this parameter. Results are shown both collapsed across habituation length and separately for each habituation duration. Error bars in all figures represented standard errors.</w:t>
      </w:r>
    </w:p>
    <w:p w14:paraId="0A71EADE"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b/>
          <w:bCs/>
        </w:rPr>
        <w:t xml:space="preserve">Evaluation of Model Performance. </w:t>
      </w:r>
      <w:r>
        <w:rPr>
          <w:rFonts w:ascii="Times New Roman" w:eastAsia="Times New Roman" w:hAnsi="Times New Roman" w:cs="Times New Roman"/>
        </w:rPr>
        <w:t xml:space="preserve">Inferential statistics were not used because the goal of the present simulations was not quantitatively to fit infant looking responses or reproduce the precise magnitude of empirical effects. Instead, the goal was to determine whether the qualitative pattern of model responses aligned with those observed in infants. This approach has precedence in prior connectionist modeling work (e.g., Benton, 2024; Mareschal et al., 2000; Mareschal &amp; Schultz, 1999; McClelland &amp; Thompson, 2007; Plaut &amp; Vande Velde, 2017). </w:t>
      </w:r>
    </w:p>
    <w:p w14:paraId="4F4BF9AD" w14:textId="77777777" w:rsidR="006F2F23" w:rsidRDefault="006F2F23">
      <w:pPr>
        <w:spacing w:after="0" w:line="480" w:lineRule="auto"/>
        <w:rPr>
          <w:rFonts w:ascii="Times New Roman" w:eastAsia="Times New Roman" w:hAnsi="Times New Roman" w:cs="Times New Roman"/>
        </w:rPr>
      </w:pPr>
    </w:p>
    <w:p w14:paraId="30B63013" w14:textId="77777777" w:rsidR="006F2F23" w:rsidRDefault="00000000">
      <w:pPr>
        <w:spacing w:after="0" w:line="480" w:lineRule="auto"/>
        <w:jc w:val="center"/>
        <w:rPr>
          <w:rFonts w:ascii="Times New Roman" w:eastAsia="Times New Roman" w:hAnsi="Times New Roman" w:cs="Times New Roman"/>
        </w:rPr>
      </w:pPr>
      <w:r>
        <w:rPr>
          <w:rFonts w:ascii="Times New Roman" w:eastAsia="Times New Roman" w:hAnsi="Times New Roman" w:cs="Times New Roman"/>
          <w:b/>
          <w:bCs/>
        </w:rPr>
        <w:t>Simulation 1a: Selective longer looking to inefficient actions.</w:t>
      </w:r>
    </w:p>
    <w:p w14:paraId="585F14A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Simulation 1a modeled the first target finding: Infants look longer at a barrierless curved test event than at a barrierless straight-path event following habituation to a constrained event. Networks were 12 months old and were assigned either to the Experimental or Control condition. The objects used during habituation possessed animate-typical features.</w:t>
      </w:r>
    </w:p>
    <w:p w14:paraId="52A83D02" w14:textId="77777777" w:rsidR="006F2F23" w:rsidRDefault="006F2F23">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p>
    <w:p w14:paraId="1B39569D"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and Discussion </w:t>
      </w:r>
    </w:p>
    <w:tbl>
      <w:tblPr>
        <w:tblStyle w:val="a9"/>
        <w:tblW w:w="11656" w:type="dxa"/>
        <w:tblInd w:w="-856" w:type="dxa"/>
        <w:tblBorders>
          <w:top w:val="nil"/>
          <w:left w:val="nil"/>
          <w:bottom w:val="nil"/>
          <w:right w:val="nil"/>
          <w:insideH w:val="nil"/>
          <w:insideV w:val="nil"/>
        </w:tblBorders>
        <w:tblLayout w:type="fixed"/>
        <w:tblLook w:val="0400" w:firstRow="0" w:lastRow="0" w:firstColumn="0" w:lastColumn="0" w:noHBand="0" w:noVBand="1"/>
      </w:tblPr>
      <w:tblGrid>
        <w:gridCol w:w="5773"/>
        <w:gridCol w:w="5883"/>
      </w:tblGrid>
      <w:tr w:rsidR="006F2F23" w14:paraId="3AFD847F" w14:textId="77777777">
        <w:trPr>
          <w:trHeight w:val="3596"/>
        </w:trPr>
        <w:tc>
          <w:tcPr>
            <w:tcW w:w="5773" w:type="dxa"/>
          </w:tcPr>
          <w:p w14:paraId="01BC7332" w14:textId="77777777" w:rsidR="006F2F23" w:rsidRDefault="00000000">
            <w:pPr>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5E758B5" wp14:editId="1742D845">
                  <wp:extent cx="3551664" cy="2185639"/>
                  <wp:effectExtent l="0" t="0" r="0" b="0"/>
                  <wp:docPr id="83"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6"/>
                          <a:srcRect/>
                          <a:stretch>
                            <a:fillRect/>
                          </a:stretch>
                        </pic:blipFill>
                        <pic:spPr>
                          <a:xfrm>
                            <a:off x="0" y="0"/>
                            <a:ext cx="3551664" cy="2185639"/>
                          </a:xfrm>
                          <a:prstGeom prst="rect">
                            <a:avLst/>
                          </a:prstGeom>
                          <a:ln/>
                        </pic:spPr>
                      </pic:pic>
                    </a:graphicData>
                  </a:graphic>
                </wp:inline>
              </w:drawing>
            </w:r>
          </w:p>
        </w:tc>
        <w:tc>
          <w:tcPr>
            <w:tcW w:w="5883" w:type="dxa"/>
          </w:tcPr>
          <w:p w14:paraId="359BF472" w14:textId="77777777" w:rsidR="006F2F23" w:rsidRDefault="00000000">
            <w:pPr>
              <w:keepNext/>
              <w:tabs>
                <w:tab w:val="left" w:pos="720"/>
                <w:tab w:val="left" w:pos="1440"/>
                <w:tab w:val="left" w:pos="2160"/>
                <w:tab w:val="left" w:pos="2880"/>
                <w:tab w:val="left" w:pos="3600"/>
                <w:tab w:val="center" w:pos="4680"/>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6F9199" wp14:editId="2531A62D">
                  <wp:extent cx="3601381" cy="2203153"/>
                  <wp:effectExtent l="0" t="0" r="0" b="0"/>
                  <wp:docPr id="8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7"/>
                          <a:srcRect/>
                          <a:stretch>
                            <a:fillRect/>
                          </a:stretch>
                        </pic:blipFill>
                        <pic:spPr>
                          <a:xfrm>
                            <a:off x="0" y="0"/>
                            <a:ext cx="3601381" cy="2203153"/>
                          </a:xfrm>
                          <a:prstGeom prst="rect">
                            <a:avLst/>
                          </a:prstGeom>
                          <a:ln/>
                        </pic:spPr>
                      </pic:pic>
                    </a:graphicData>
                  </a:graphic>
                </wp:inline>
              </w:drawing>
            </w:r>
          </w:p>
        </w:tc>
      </w:tr>
    </w:tbl>
    <w:p w14:paraId="2AD0C6C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(Left) Network error collapsed across habituation lengths. (Right) Error as a function of habituation length. Data shown were generated by ALIAS. </w:t>
      </w:r>
    </w:p>
    <w:p w14:paraId="266623BF"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3776285C"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6 shows ALIAS’s responses across the conditions. Networks in the Experimental condition produced greater error to the Inefficient than to the Efficient test event in the Experimental condition. In contrast, networks in the Control condition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ALIAS thus reproduced the first target finding.</w:t>
      </w:r>
    </w:p>
    <w:p w14:paraId="4AF72052" w14:textId="77777777" w:rsidR="006F2F23" w:rsidRDefault="006F2F23">
      <w:pPr>
        <w:spacing w:line="480" w:lineRule="auto"/>
        <w:rPr>
          <w:rFonts w:ascii="Times New Roman" w:eastAsia="Times New Roman" w:hAnsi="Times New Roman" w:cs="Times New Roman"/>
        </w:rPr>
      </w:pPr>
    </w:p>
    <w:tbl>
      <w:tblPr>
        <w:tblStyle w:val="aa"/>
        <w:tblW w:w="772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723"/>
      </w:tblGrid>
      <w:tr w:rsidR="006F2F23" w14:paraId="5EAA9771" w14:textId="77777777">
        <w:trPr>
          <w:trHeight w:val="4485"/>
        </w:trPr>
        <w:tc>
          <w:tcPr>
            <w:tcW w:w="7723" w:type="dxa"/>
          </w:tcPr>
          <w:p w14:paraId="059FCDE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7CC0CF1B" wp14:editId="0BD638F2">
                  <wp:extent cx="4778540" cy="2940640"/>
                  <wp:effectExtent l="0" t="0" r="0" b="0"/>
                  <wp:docPr id="86"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18"/>
                          <a:srcRect/>
                          <a:stretch>
                            <a:fillRect/>
                          </a:stretch>
                        </pic:blipFill>
                        <pic:spPr>
                          <a:xfrm>
                            <a:off x="0" y="0"/>
                            <a:ext cx="4778540" cy="2940640"/>
                          </a:xfrm>
                          <a:prstGeom prst="rect">
                            <a:avLst/>
                          </a:prstGeom>
                          <a:ln/>
                        </pic:spPr>
                      </pic:pic>
                    </a:graphicData>
                  </a:graphic>
                </wp:inline>
              </w:drawing>
            </w:r>
          </w:p>
        </w:tc>
      </w:tr>
    </w:tbl>
    <w:p w14:paraId="5180AE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7.</w:t>
      </w:r>
      <w:r>
        <w:rPr>
          <w:rFonts w:ascii="Times New Roman" w:eastAsia="Times New Roman" w:hAnsi="Times New Roman" w:cs="Times New Roman"/>
          <w:color w:val="000000"/>
        </w:rPr>
        <w:t xml:space="preserve">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 </w:t>
      </w:r>
    </w:p>
    <w:p w14:paraId="50ABC186"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r>
    </w:p>
    <w:p w14:paraId="682C0DB1"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7 shows that—like ALIAS—VOM10’s critical units were more active during the Inefficient than the Efficient test event in the Experimental condition; these units were equivalently active in the Control condition. Although VOM10 also reproduced the first target finding, comparing its responses to those of ALIAS reveals that the effect was considerably smaller for VOM10 than for ALIAS.  </w:t>
      </w:r>
    </w:p>
    <w:p w14:paraId="7D161B3C" w14:textId="77777777" w:rsidR="006F2F23" w:rsidRDefault="006F2F23">
      <w:pPr>
        <w:spacing w:line="480" w:lineRule="auto"/>
        <w:rPr>
          <w:rFonts w:ascii="Times New Roman" w:eastAsia="Times New Roman" w:hAnsi="Times New Roman" w:cs="Times New Roman"/>
        </w:rPr>
      </w:pPr>
    </w:p>
    <w:tbl>
      <w:tblPr>
        <w:tblStyle w:val="ab"/>
        <w:tblW w:w="844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43"/>
      </w:tblGrid>
      <w:tr w:rsidR="006F2F23" w14:paraId="624D733A" w14:textId="77777777">
        <w:trPr>
          <w:trHeight w:val="4686"/>
        </w:trPr>
        <w:tc>
          <w:tcPr>
            <w:tcW w:w="8443" w:type="dxa"/>
          </w:tcPr>
          <w:p w14:paraId="541FC82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4535263" wp14:editId="7B8C7BD3">
                  <wp:extent cx="5232070" cy="3219736"/>
                  <wp:effectExtent l="0" t="0" r="0" b="0"/>
                  <wp:docPr id="9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5232070" cy="3219736"/>
                          </a:xfrm>
                          <a:prstGeom prst="rect">
                            <a:avLst/>
                          </a:prstGeom>
                          <a:ln/>
                        </pic:spPr>
                      </pic:pic>
                    </a:graphicData>
                  </a:graphic>
                </wp:inline>
              </w:drawing>
            </w:r>
          </w:p>
        </w:tc>
      </w:tr>
    </w:tbl>
    <w:p w14:paraId="504A5EB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8</w:t>
      </w:r>
      <w:r>
        <w:rPr>
          <w:rFonts w:ascii="Times New Roman" w:eastAsia="Times New Roman" w:hAnsi="Times New Roman" w:cs="Times New Roman"/>
          <w:color w:val="000000"/>
        </w:rPr>
        <w:t>. M</w:t>
      </w:r>
      <w:r>
        <w:rPr>
          <w:rFonts w:ascii="Times New Roman" w:eastAsia="Times New Roman" w:hAnsi="Times New Roman" w:cs="Times New Roman"/>
          <w:i/>
          <w:iCs/>
          <w:color w:val="000000"/>
        </w:rPr>
        <w:t xml:space="preserve">ean activation of the critical units for Efficient and Inefficient test events in the Experimental and Control conditions for VOM10-2. </w:t>
      </w:r>
    </w:p>
    <w:p w14:paraId="5020B333" w14:textId="77777777" w:rsidR="006F2F23" w:rsidRDefault="006F2F23">
      <w:pPr>
        <w:spacing w:after="0" w:line="480" w:lineRule="auto"/>
        <w:rPr>
          <w:rFonts w:ascii="Times New Roman" w:eastAsia="Times New Roman" w:hAnsi="Times New Roman" w:cs="Times New Roman"/>
        </w:rPr>
      </w:pPr>
    </w:p>
    <w:p w14:paraId="11879D1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 determine whether VOM10’s success depended on its implementation, its performance was compared to VOM10-2. Figure 8 shows that, in contrast to VOM10, VOM10-2’s critical units were more active during </w:t>
      </w:r>
      <w:proofErr w:type="gramStart"/>
      <w:r>
        <w:rPr>
          <w:rFonts w:ascii="Times New Roman" w:eastAsia="Times New Roman" w:hAnsi="Times New Roman" w:cs="Times New Roman"/>
        </w:rPr>
        <w:t>the Efficient</w:t>
      </w:r>
      <w:proofErr w:type="gramEnd"/>
      <w:r>
        <w:rPr>
          <w:rFonts w:ascii="Times New Roman" w:eastAsia="Times New Roman" w:hAnsi="Times New Roman" w:cs="Times New Roman"/>
        </w:rPr>
        <w:t xml:space="preserve"> than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in </w:t>
      </w:r>
      <w:proofErr w:type="gramStart"/>
      <w:r>
        <w:rPr>
          <w:rFonts w:ascii="Times New Roman" w:eastAsia="Times New Roman" w:hAnsi="Times New Roman" w:cs="Times New Roman"/>
        </w:rPr>
        <w:t>the Control</w:t>
      </w:r>
      <w:proofErr w:type="gramEnd"/>
      <w:r>
        <w:rPr>
          <w:rFonts w:ascii="Times New Roman" w:eastAsia="Times New Roman" w:hAnsi="Times New Roman" w:cs="Times New Roman"/>
        </w:rPr>
        <w:t xml:space="preserve"> condition. These units showed equivalent activation in the Experimental condition. Thus, VOM10-2 failed to capture the first finding. </w:t>
      </w:r>
    </w:p>
    <w:p w14:paraId="1AA36FD4" w14:textId="77777777" w:rsidR="006F2F23" w:rsidRDefault="006F2F23">
      <w:pPr>
        <w:spacing w:line="480" w:lineRule="auto"/>
        <w:ind w:firstLine="720"/>
        <w:rPr>
          <w:rFonts w:ascii="Times New Roman" w:eastAsia="Times New Roman" w:hAnsi="Times New Roman" w:cs="Times New Roman"/>
        </w:rPr>
      </w:pPr>
    </w:p>
    <w:tbl>
      <w:tblPr>
        <w:tblStyle w:val="ac"/>
        <w:tblW w:w="750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506"/>
      </w:tblGrid>
      <w:tr w:rsidR="006F2F23" w14:paraId="77FD96B6" w14:textId="77777777">
        <w:trPr>
          <w:trHeight w:val="4520"/>
        </w:trPr>
        <w:tc>
          <w:tcPr>
            <w:tcW w:w="7506" w:type="dxa"/>
          </w:tcPr>
          <w:p w14:paraId="0B05C906"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57774204" wp14:editId="152C70BE">
                  <wp:extent cx="4634428" cy="2835121"/>
                  <wp:effectExtent l="0" t="0" r="0" b="0"/>
                  <wp:docPr id="88"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0"/>
                          <a:srcRect/>
                          <a:stretch>
                            <a:fillRect/>
                          </a:stretch>
                        </pic:blipFill>
                        <pic:spPr>
                          <a:xfrm>
                            <a:off x="0" y="0"/>
                            <a:ext cx="4634428" cy="2835121"/>
                          </a:xfrm>
                          <a:prstGeom prst="rect">
                            <a:avLst/>
                          </a:prstGeom>
                          <a:ln/>
                        </pic:spPr>
                      </pic:pic>
                    </a:graphicData>
                  </a:graphic>
                </wp:inline>
              </w:drawing>
            </w:r>
          </w:p>
        </w:tc>
      </w:tr>
    </w:tbl>
    <w:p w14:paraId="568BB26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9.</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w:t>
      </w:r>
      <w:r>
        <w:rPr>
          <w:rFonts w:ascii="Times New Roman" w:eastAsia="Times New Roman" w:hAnsi="Times New Roman" w:cs="Times New Roman"/>
          <w:color w:val="000000"/>
        </w:rPr>
        <w:t xml:space="preserve"> Data shown </w:t>
      </w:r>
      <w:proofErr w:type="gramStart"/>
      <w:r>
        <w:rPr>
          <w:rFonts w:ascii="Times New Roman" w:eastAsia="Times New Roman" w:hAnsi="Times New Roman" w:cs="Times New Roman"/>
          <w:color w:val="000000"/>
        </w:rPr>
        <w:t>were</w:t>
      </w:r>
      <w:proofErr w:type="gramEnd"/>
      <w:r>
        <w:rPr>
          <w:rFonts w:ascii="Times New Roman" w:eastAsia="Times New Roman" w:hAnsi="Times New Roman" w:cs="Times New Roman"/>
          <w:color w:val="000000"/>
        </w:rPr>
        <w:t xml:space="preserve"> generated by ALIAS-2. </w:t>
      </w:r>
    </w:p>
    <w:p w14:paraId="48484E5F" w14:textId="77777777" w:rsidR="006F2F23" w:rsidRDefault="006F2F23">
      <w:pPr>
        <w:spacing w:after="0" w:line="480" w:lineRule="auto"/>
        <w:rPr>
          <w:rFonts w:ascii="Times New Roman" w:eastAsia="Times New Roman" w:hAnsi="Times New Roman" w:cs="Times New Roman"/>
        </w:rPr>
      </w:pPr>
    </w:p>
    <w:p w14:paraId="18F35F6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ALIAS-2’s responses. Figure 9 shows that networks in both conditions produced greater error to the Inefficient than to the Efficient event, although the effect was clearly weaker in the Control than in the Experimental condition.  Thus, ALIAS-2 partially replicates the first finding. </w:t>
      </w:r>
    </w:p>
    <w:p w14:paraId="4B9F40BD" w14:textId="2A69517D"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ALIAS’s—and to a lesser extent, ALIAS-2’s—ability to capture the first target finding suggests that it is premature to use this finding to conclude that infants’ sensitivity to action efficiency stems from specialized mechanisms supporting rich notions of agents, goals, constraints, cost, and efficiency. Instead, these findings demonstrate that an associative learning mechanism is sufficient to reproduce this pattern of behavior. Nevertheless, it was important to provide independent evidence that associative learning was responsible for ALIAS’s success. This can be achieved by tracing the model’s internal dynamics at various points throughout processing. </w:t>
      </w:r>
      <w:r w:rsidR="007373DF">
        <w:rPr>
          <w:rFonts w:ascii="Times New Roman" w:eastAsia="Times New Roman" w:hAnsi="Times New Roman" w:cs="Times New Roman"/>
        </w:rPr>
        <w:t xml:space="preserve">Although </w:t>
      </w:r>
      <w:r>
        <w:rPr>
          <w:rFonts w:ascii="Times New Roman" w:eastAsia="Times New Roman" w:hAnsi="Times New Roman" w:cs="Times New Roman"/>
        </w:rPr>
        <w:t xml:space="preserve">the discussion </w:t>
      </w:r>
      <w:r w:rsidR="007373DF">
        <w:rPr>
          <w:rFonts w:ascii="Times New Roman" w:eastAsia="Times New Roman" w:hAnsi="Times New Roman" w:cs="Times New Roman"/>
        </w:rPr>
        <w:t>below</w:t>
      </w:r>
      <w:r>
        <w:rPr>
          <w:rFonts w:ascii="Times New Roman" w:eastAsia="Times New Roman" w:hAnsi="Times New Roman" w:cs="Times New Roman"/>
        </w:rPr>
        <w:t xml:space="preserve"> pertains to a single run (or subject)</w:t>
      </w:r>
      <w:r w:rsidR="007373DF">
        <w:rPr>
          <w:rFonts w:ascii="Times New Roman" w:eastAsia="Times New Roman" w:hAnsi="Times New Roman" w:cs="Times New Roman"/>
        </w:rPr>
        <w:t>, the mechanism that is described was typical of most model runs</w:t>
      </w:r>
      <w:r>
        <w:rPr>
          <w:rFonts w:ascii="Times New Roman" w:eastAsia="Times New Roman" w:hAnsi="Times New Roman" w:cs="Times New Roman"/>
        </w:rPr>
        <w:t xml:space="preserve">. </w:t>
      </w:r>
    </w:p>
    <w:p w14:paraId="3783827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 xml:space="preserve">As described above, such processing began during the pretraining phase, in which networks were exposed repeatedly to events in which agents move along either straight or curved trajectories to reach other objects or agents. This pattern of activation is then propagated to the hidden layer via the weights between them. Because the network weights are small, random values at the beginning of training, this pattern of activity does not yet encode meaningful information about the input to the model. This hidden activity nevertheless propagates to, and elicits a corresponding pattern of activity over, the output groups in the output layer via the weights connecting them. This pattern of activation is then compared to the target pattern of activation, and any discrepancy between the two is treated as error. The network then uses this error to adjust the weights throughout the network. </w:t>
      </w:r>
    </w:p>
    <w:p w14:paraId="4B307647" w14:textId="01634A78" w:rsidR="006F2F23"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Crucially, from the outset of the pretraining phase, linear and arced motion events produce distinct error patterns over the output groups because they activate different perceptual features. A corollary of these disparate error signals is that both action events cause the weights throughout the network to move in different directions (e.g., Rogers &amp; McClelland, 2004). The accumulated weight changes—particularly those connecting the input and hidden layers—create </w:t>
      </w:r>
      <w:r w:rsidR="007373DF">
        <w:rPr>
          <w:rFonts w:ascii="Times New Roman" w:eastAsia="Times New Roman" w:hAnsi="Times New Roman" w:cs="Times New Roman"/>
        </w:rPr>
        <w:t xml:space="preserve">meaningfully </w:t>
      </w:r>
      <w:r>
        <w:rPr>
          <w:rFonts w:ascii="Times New Roman" w:eastAsia="Times New Roman" w:hAnsi="Times New Roman" w:cs="Times New Roman"/>
        </w:rPr>
        <w:t xml:space="preserve">distinct hidden representations </w:t>
      </w:r>
      <w:r w:rsidR="007373DF">
        <w:rPr>
          <w:rFonts w:ascii="Times New Roman" w:eastAsia="Times New Roman" w:hAnsi="Times New Roman" w:cs="Times New Roman"/>
        </w:rPr>
        <w:t xml:space="preserve">capturing </w:t>
      </w:r>
      <w:r>
        <w:rPr>
          <w:rFonts w:ascii="Times New Roman" w:eastAsia="Times New Roman" w:hAnsi="Times New Roman" w:cs="Times New Roman"/>
        </w:rPr>
        <w:t xml:space="preserve">both types of motion and their corresponding visible surface features. </w:t>
      </w:r>
    </w:p>
    <w:tbl>
      <w:tblPr>
        <w:tblStyle w:val="ad"/>
        <w:tblW w:w="12090"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90"/>
      </w:tblGrid>
      <w:tr w:rsidR="006F2F23" w14:paraId="4C5A2583" w14:textId="77777777">
        <w:trPr>
          <w:trHeight w:val="4339"/>
        </w:trPr>
        <w:tc>
          <w:tcPr>
            <w:tcW w:w="12090" w:type="dxa"/>
          </w:tcPr>
          <w:p w14:paraId="1D366F57" w14:textId="77777777" w:rsidR="006F2F23" w:rsidRDefault="00000000">
            <w:pPr>
              <w:keepNext/>
              <w:spacing w:line="480" w:lineRule="auto"/>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64EDE1F8" wp14:editId="1502C2BC">
                  <wp:extent cx="5517518" cy="3678345"/>
                  <wp:effectExtent l="0" t="0" r="0" b="0"/>
                  <wp:docPr id="8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517518" cy="3678345"/>
                          </a:xfrm>
                          <a:prstGeom prst="rect">
                            <a:avLst/>
                          </a:prstGeom>
                          <a:ln/>
                        </pic:spPr>
                      </pic:pic>
                    </a:graphicData>
                  </a:graphic>
                </wp:inline>
              </w:drawing>
            </w:r>
          </w:p>
        </w:tc>
      </w:tr>
    </w:tbl>
    <w:p w14:paraId="395DE25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10.</w:t>
      </w:r>
      <w:r>
        <w:rPr>
          <w:i/>
          <w:iCs/>
          <w:color w:val="000000"/>
          <w:sz w:val="20"/>
          <w:szCs w:val="20"/>
        </w:rPr>
        <w:t xml:space="preserve"> </w:t>
      </w:r>
      <w:r>
        <w:rPr>
          <w:rFonts w:ascii="Times New Roman" w:eastAsia="Times New Roman" w:hAnsi="Times New Roman" w:cs="Times New Roman"/>
          <w:i/>
          <w:iCs/>
          <w:color w:val="000000"/>
        </w:rPr>
        <w:t xml:space="preserve">Mechanism underpinning ALIAS’s responses during the Inconsistent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w:t>
      </w:r>
      <w:r>
        <w:rPr>
          <w:rFonts w:ascii="Times New Roman" w:eastAsia="Times New Roman" w:hAnsi="Times New Roman" w:cs="Times New Roman"/>
          <w:color w:val="000000"/>
        </w:rPr>
        <w:t xml:space="preserve"> Active input features presented at test reactivated learned associations acquired during pretraining and habituation. Although the network correctly activated four of those features, it also incorrectly activated the Obstacle Height 4, Arc Peak Height 0, and Linear Motion units. These three erroneously activated units constituted the primary sources of error (and thus looking) during this event. Shown here: Units necessary to explain the basis of ALIAS’s responses during the Inconsistent test event. </w:t>
      </w:r>
    </w:p>
    <w:p w14:paraId="61BFFB17" w14:textId="77777777" w:rsidR="006F2F23" w:rsidRDefault="006F2F23">
      <w:pPr>
        <w:spacing w:after="0" w:line="480" w:lineRule="auto"/>
        <w:rPr>
          <w:rFonts w:ascii="Times New Roman" w:eastAsia="Times New Roman" w:hAnsi="Times New Roman" w:cs="Times New Roman"/>
        </w:rPr>
      </w:pPr>
    </w:p>
    <w:p w14:paraId="1D108E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conclusion of the pretraining phase, networks entered the habituation phase. For those in </w:t>
      </w:r>
      <w:proofErr w:type="gramStart"/>
      <w:r>
        <w:rPr>
          <w:rFonts w:ascii="Times New Roman" w:eastAsia="Times New Roman" w:hAnsi="Times New Roman" w:cs="Times New Roman"/>
        </w:rPr>
        <w:t>the Experimental</w:t>
      </w:r>
      <w:proofErr w:type="gramEnd"/>
      <w:r>
        <w:rPr>
          <w:rFonts w:ascii="Times New Roman" w:eastAsia="Times New Roman" w:hAnsi="Times New Roman" w:cs="Times New Roman"/>
        </w:rPr>
        <w:t xml:space="preserve"> condition, four of the input features were familiar (i.e., Obstacle Horizontal Position Middle, Arc Apex-Obstacle Gap minimal separation, Spatially Contiguous, and Arc Path). These features activated at the output layer—via the hidden layer—the features they co-occurred with during pretraining. By contrast, because the remaining two features were novel (i.e., Obstacle Height 4 and Arc Peak Height 4), new associations had to be formed between them. Although habituation was much shorter than the pretraining phase, networks’ </w:t>
      </w:r>
      <w:r>
        <w:rPr>
          <w:rFonts w:ascii="Times New Roman" w:eastAsia="Times New Roman" w:hAnsi="Times New Roman" w:cs="Times New Roman"/>
        </w:rPr>
        <w:lastRenderedPageBreak/>
        <w:t>enhanced processing as “12-month-olds” enabled them to form these associations while preserving old ones.</w:t>
      </w:r>
    </w:p>
    <w:p w14:paraId="1F247E61" w14:textId="77777777" w:rsidR="006F2F23" w:rsidRDefault="006F2F23">
      <w:pPr>
        <w:spacing w:after="0" w:line="480" w:lineRule="auto"/>
        <w:rPr>
          <w:rFonts w:ascii="Times New Roman" w:eastAsia="Times New Roman" w:hAnsi="Times New Roman" w:cs="Times New Roman"/>
        </w:rPr>
      </w:pPr>
    </w:p>
    <w:p w14:paraId="561103B0" w14:textId="77777777" w:rsidR="006F2F23" w:rsidRDefault="00000000">
      <w:pPr>
        <w:keepNext/>
        <w:spacing w:line="480" w:lineRule="auto"/>
        <w:jc w:val="center"/>
      </w:pPr>
      <w:r>
        <w:rPr>
          <w:noProof/>
        </w:rPr>
        <w:drawing>
          <wp:inline distT="0" distB="0" distL="0" distR="0" wp14:anchorId="25F55F65" wp14:editId="515968E7">
            <wp:extent cx="6001383" cy="4000922"/>
            <wp:effectExtent l="0" t="0" r="0" b="0"/>
            <wp:docPr id="91"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2"/>
                    <a:srcRect/>
                    <a:stretch>
                      <a:fillRect/>
                    </a:stretch>
                  </pic:blipFill>
                  <pic:spPr>
                    <a:xfrm>
                      <a:off x="0" y="0"/>
                      <a:ext cx="6001383" cy="4000922"/>
                    </a:xfrm>
                    <a:prstGeom prst="rect">
                      <a:avLst/>
                    </a:prstGeom>
                    <a:ln/>
                  </pic:spPr>
                </pic:pic>
              </a:graphicData>
            </a:graphic>
          </wp:inline>
        </w:drawing>
      </w:r>
    </w:p>
    <w:p w14:paraId="65C7567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E2841"/>
        </w:rPr>
        <w:t>Figure 11.</w:t>
      </w:r>
      <w:r>
        <w:rPr>
          <w:i/>
          <w:iCs/>
          <w:color w:val="0E2841"/>
          <w:sz w:val="18"/>
          <w:szCs w:val="18"/>
        </w:rPr>
        <w:t xml:space="preserve"> </w:t>
      </w:r>
      <w:r>
        <w:rPr>
          <w:rFonts w:ascii="Times New Roman" w:eastAsia="Times New Roman" w:hAnsi="Times New Roman" w:cs="Times New Roman"/>
          <w:i/>
          <w:iCs/>
          <w:color w:val="000000"/>
        </w:rPr>
        <w:t xml:space="preserve">Mechanism underpinning ALIAS’s responses during the Consistent test event in </w:t>
      </w:r>
      <w:proofErr w:type="gramStart"/>
      <w:r>
        <w:rPr>
          <w:rFonts w:ascii="Times New Roman" w:eastAsia="Times New Roman" w:hAnsi="Times New Roman" w:cs="Times New Roman"/>
          <w:i/>
          <w:iCs/>
          <w:color w:val="000000"/>
        </w:rPr>
        <w:t>the Experimental</w:t>
      </w:r>
      <w:proofErr w:type="gramEnd"/>
      <w:r>
        <w:rPr>
          <w:rFonts w:ascii="Times New Roman" w:eastAsia="Times New Roman" w:hAnsi="Times New Roman" w:cs="Times New Roman"/>
          <w:i/>
          <w:iCs/>
          <w:color w:val="000000"/>
        </w:rPr>
        <w:t xml:space="preserve"> condition. </w:t>
      </w:r>
      <w:r>
        <w:rPr>
          <w:rFonts w:ascii="Times New Roman" w:eastAsia="Times New Roman" w:hAnsi="Times New Roman" w:cs="Times New Roman"/>
          <w:color w:val="000000"/>
        </w:rPr>
        <w:t xml:space="preserve">Active input features reactivated many of the same learned associations observed in the Inconsistent event. However, here only the Arc Peak Height 4 output unit was incorrectly activated. This one erroneously activated unit constituted the primary source of error (and thus looking) during this event. </w:t>
      </w:r>
    </w:p>
    <w:p w14:paraId="2B4D2A23" w14:textId="77777777" w:rsidR="006F2F23" w:rsidRDefault="006F2F23">
      <w:pPr>
        <w:spacing w:after="0" w:line="480" w:lineRule="auto"/>
        <w:ind w:firstLine="720"/>
        <w:rPr>
          <w:rFonts w:ascii="Times New Roman" w:eastAsia="Times New Roman" w:hAnsi="Times New Roman" w:cs="Times New Roman"/>
        </w:rPr>
      </w:pPr>
    </w:p>
    <w:p w14:paraId="4A5653CF" w14:textId="3CB72F91" w:rsidR="006F2F23" w:rsidRDefault="007373DF">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test responses can be understood as the consequence of learning and processing during these two phases. As shown in Figure 10, presentation of the input features associated with the Inefficient test event caused four output features to be correctly activated and three to be incorrectly activated. The first three were correctly activated due to associations </w:t>
      </w:r>
      <w:r>
        <w:rPr>
          <w:rFonts w:ascii="Times New Roman" w:eastAsia="Times New Roman" w:hAnsi="Times New Roman" w:cs="Times New Roman"/>
        </w:rPr>
        <w:lastRenderedPageBreak/>
        <w:t xml:space="preserve">formed among them during pretraining; the last (i.e., Arc Peak Height 4) was activated due to associations formed with itself during habituation. Two of the incorrect features (i.e., Arc Peak Height 0 and Kinematic Motion Type Linear) were activated because they co-occurred during pretraining. The last was on because Obstacle Height 4 and Arc Peak Height 4 co-occurred during habituation. </w:t>
      </w:r>
    </w:p>
    <w:p w14:paraId="6CDA16E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For the Consistent test event, presentation of its input features caused four output features to be correctly activated and one feature to be incorrectly activated. The four features were activated due to their association during pretraining. The last feature was activated because it was associated with some of this event’s input features (not pictured in Figure 11) during habituation. The fact that two fewer units contributed to prediction error in the Consistent test event meant that networks spent less time looking at it than at the Inconsistent one.</w:t>
      </w:r>
    </w:p>
    <w:p w14:paraId="05AD423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same associative principles extend to the Control condition. The reduced salience of peripherally located obstacles in this condition meant that the weights connecting the Obstacle Height 4 and Periphery units to the other co-occurring features during habituation could not be adjusted sufficiently during this brief phase. In contrast, because features such as Arc Peak Height 4 were not subjected to the same salience manipulation, robust associations could form among these features. Thus, presentation of any of these features at test caused the Arc Peak Height 4 output unit to activate. This was the correct response in the Inconsistent test event but the incorrect response in the Consistent test event. Thus, there was one large contributor to error in the Consistent test event. By comparison, across model runs the Inconsistent event tended to have two smaller contributors to error: the Linear Path and Arc Peak Height 0 units. These units were activated because they were linked to some of this event’s input features (e.g., Obstacle Height 0, Obstacle Horizontal Position Missing, etc.) during pretraining. Importantly, the </w:t>
      </w:r>
      <w:r>
        <w:rPr>
          <w:rFonts w:ascii="Times New Roman" w:eastAsia="Times New Roman" w:hAnsi="Times New Roman" w:cs="Times New Roman"/>
        </w:rPr>
        <w:lastRenderedPageBreak/>
        <w:t>combined contribution of these two units to the network’s total error in the Inconsistent event matched the sole contributor to error in the Consistent test event. As a result, the network, like infants, looked about equally long at both test events.</w:t>
      </w:r>
    </w:p>
    <w:p w14:paraId="62D1BE33"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Although ALIAS replicated the first target finding, one may urge that this result be interpreted cautiously because the network never experienced unconstrained motion during pretraining. By comparison, it seems likely that infants experience some amount of unconstrained motion in the real world, even if in absolute terms this amount is less than that of constrained motion. To address this potential limitation, Simulation 1b was carried out to evaluate the extent to which ALIAS’s initial success depended on no prior experience with unconstrained motion. </w:t>
      </w:r>
    </w:p>
    <w:p w14:paraId="237A874A" w14:textId="77777777" w:rsidR="006F2F23" w:rsidRDefault="006F2F23">
      <w:pPr>
        <w:spacing w:after="0" w:line="480" w:lineRule="auto"/>
        <w:rPr>
          <w:rFonts w:ascii="Times New Roman" w:eastAsia="Times New Roman" w:hAnsi="Times New Roman" w:cs="Times New Roman"/>
        </w:rPr>
      </w:pPr>
    </w:p>
    <w:p w14:paraId="2EA4F6C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1b</w:t>
      </w:r>
    </w:p>
    <w:p w14:paraId="099C026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one major exception: the ratio of constrained-to-unconstrained motion was varied during pretraining. The ratios ranged from 100% vs. 0% to 50% constrained vs. 50% unconstrained, in 10% increments. A 90% constrained vs. 10% unconstrained corresponded to observing constrained motion 90% of the time and unconstrained motion just 10% of the time during pretraining. ALIAS’s performance was not compared to the competitor models in this simulation. </w:t>
      </w:r>
    </w:p>
    <w:p w14:paraId="41157958" w14:textId="77777777" w:rsidR="006F2F23" w:rsidRDefault="006F2F23">
      <w:pPr>
        <w:spacing w:after="0" w:line="480" w:lineRule="auto"/>
        <w:rPr>
          <w:rFonts w:ascii="Times New Roman" w:eastAsia="Times New Roman" w:hAnsi="Times New Roman" w:cs="Times New Roman"/>
        </w:rPr>
      </w:pPr>
    </w:p>
    <w:p w14:paraId="6FDD00D4" w14:textId="77777777" w:rsidR="006F2F23" w:rsidRDefault="00000000">
      <w:pPr>
        <w:tabs>
          <w:tab w:val="left" w:pos="720"/>
          <w:tab w:val="left" w:pos="1440"/>
          <w:tab w:val="left" w:pos="2160"/>
          <w:tab w:val="left" w:pos="2880"/>
          <w:tab w:val="left" w:pos="3600"/>
          <w:tab w:val="center" w:pos="468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p w14:paraId="0C75B962" w14:textId="77777777" w:rsidR="006F2F23" w:rsidRDefault="00000000">
      <w:pPr>
        <w:keepNext/>
        <w:tabs>
          <w:tab w:val="left" w:pos="720"/>
          <w:tab w:val="left" w:pos="1440"/>
          <w:tab w:val="left" w:pos="2160"/>
          <w:tab w:val="left" w:pos="2880"/>
          <w:tab w:val="left" w:pos="3600"/>
          <w:tab w:val="center" w:pos="4680"/>
        </w:tabs>
        <w:spacing w:after="0" w:line="240" w:lineRule="auto"/>
      </w:pPr>
      <w:r>
        <w:rPr>
          <w:rFonts w:ascii="Times New Roman" w:eastAsia="Times New Roman" w:hAnsi="Times New Roman" w:cs="Times New Roman"/>
          <w:b/>
          <w:bCs/>
          <w:noProof/>
          <w:color w:val="000000"/>
        </w:rPr>
        <w:lastRenderedPageBreak/>
        <w:drawing>
          <wp:inline distT="0" distB="0" distL="0" distR="0" wp14:anchorId="6E1A3D22" wp14:editId="7FA82BAC">
            <wp:extent cx="5674473" cy="3471371"/>
            <wp:effectExtent l="0" t="0" r="0" b="0"/>
            <wp:docPr id="9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674473" cy="3471371"/>
                    </a:xfrm>
                    <a:prstGeom prst="rect">
                      <a:avLst/>
                    </a:prstGeom>
                    <a:ln/>
                  </pic:spPr>
                </pic:pic>
              </a:graphicData>
            </a:graphic>
          </wp:inline>
        </w:drawing>
      </w:r>
      <w:r>
        <w:rPr>
          <w:rFonts w:ascii="Times New Roman" w:eastAsia="Times New Roman" w:hAnsi="Times New Roman" w:cs="Times New Roman"/>
          <w:b/>
          <w:bCs/>
          <w:color w:val="000000"/>
        </w:rPr>
        <w:t>Figure 12.</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the Experimental and Control conditions across different ratios.</w:t>
      </w:r>
      <w:r>
        <w:rPr>
          <w:rFonts w:ascii="Times New Roman" w:eastAsia="Times New Roman" w:hAnsi="Times New Roman" w:cs="Times New Roman"/>
          <w:color w:val="000000"/>
        </w:rPr>
        <w:t xml:space="preserve"> </w:t>
      </w:r>
    </w:p>
    <w:p w14:paraId="1B559B87" w14:textId="77777777" w:rsidR="006F2F23" w:rsidRDefault="00000000">
      <w:pPr>
        <w:tabs>
          <w:tab w:val="left" w:pos="6360"/>
        </w:tabs>
        <w:spacing w:after="0" w:line="480" w:lineRule="auto"/>
        <w:rPr>
          <w:rFonts w:ascii="Times New Roman" w:eastAsia="Times New Roman" w:hAnsi="Times New Roman" w:cs="Times New Roman"/>
          <w:b/>
          <w:bCs/>
        </w:rPr>
      </w:pPr>
      <w:r>
        <w:rPr>
          <w:rFonts w:ascii="Times New Roman" w:eastAsia="Times New Roman" w:hAnsi="Times New Roman" w:cs="Times New Roman"/>
          <w:b/>
          <w:bCs/>
        </w:rPr>
        <w:tab/>
      </w:r>
    </w:p>
    <w:p w14:paraId="3E3C42F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results for this simulation—shown in Figure 12—demonstrate that regardless of the ratio of constrained to unconstrained motion, those in the Experimental condition produced more error to the Inefficient test event than to the Efficient one; those in the Control condition produced comparable error to both test events. These results indicate that ALIAS’s success in Simulation 1a did not hinge on it having never experienced unconstrained motion during pretraining. </w:t>
      </w:r>
    </w:p>
    <w:p w14:paraId="28E2BF8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It might be surprising that—at least in the 50% constrained versus 50% unconstrained condition, in which networks experienced equal proportion of arced- and linear-path events during pretraining—networks did not produce equivalent error to both test events across conditions.  This prediction did not bear out because all networks experienced an additional arced-path event during habituation.</w:t>
      </w:r>
      <w:r>
        <w:t xml:space="preserve"> </w:t>
      </w:r>
      <w:r>
        <w:rPr>
          <w:rFonts w:ascii="Times New Roman" w:eastAsia="Times New Roman" w:hAnsi="Times New Roman" w:cs="Times New Roman"/>
        </w:rPr>
        <w:t xml:space="preserve">These additional weight changes meant that associations among the features comprising the arced-path event were further strengthened, thereby </w:t>
      </w:r>
      <w:r>
        <w:rPr>
          <w:rFonts w:ascii="Times New Roman" w:eastAsia="Times New Roman" w:hAnsi="Times New Roman" w:cs="Times New Roman"/>
        </w:rPr>
        <w:lastRenderedPageBreak/>
        <w:t>increasing the likelihood that presenting some of its features at test would incorrectly activate others, produce greater error, and ultimately lead to differential treatment of the test events.</w:t>
      </w:r>
    </w:p>
    <w:p w14:paraId="1DDB3D52"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Having established that ALIAS could capture the first target finding and that its performance did not depend on absent prior experience with unconstrained motion, Simulation 2 examined whether the same associative mechanism could reproduce the second target finding.  </w:t>
      </w:r>
    </w:p>
    <w:p w14:paraId="7ECC35FF" w14:textId="77777777" w:rsidR="006F2F23" w:rsidRDefault="006F2F23">
      <w:pPr>
        <w:spacing w:after="0" w:line="480" w:lineRule="auto"/>
        <w:rPr>
          <w:rFonts w:ascii="Times New Roman" w:eastAsia="Times New Roman" w:hAnsi="Times New Roman" w:cs="Times New Roman"/>
        </w:rPr>
      </w:pPr>
    </w:p>
    <w:p w14:paraId="7B407537" w14:textId="77777777" w:rsidR="006F2F23" w:rsidRDefault="00000000">
      <w:pPr>
        <w:spacing w:after="0" w:line="480" w:lineRule="auto"/>
        <w:ind w:firstLine="720"/>
        <w:jc w:val="center"/>
        <w:rPr>
          <w:rFonts w:ascii="Times New Roman" w:eastAsia="Times New Roman" w:hAnsi="Times New Roman" w:cs="Times New Roman"/>
          <w:b/>
          <w:bCs/>
        </w:rPr>
      </w:pPr>
      <w:r>
        <w:rPr>
          <w:rFonts w:ascii="Times New Roman" w:eastAsia="Times New Roman" w:hAnsi="Times New Roman" w:cs="Times New Roman"/>
          <w:b/>
          <w:bCs/>
        </w:rPr>
        <w:t>Simulation 2: Independence from animacy.</w:t>
      </w:r>
    </w:p>
    <w:p w14:paraId="72DDA94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finding that infants’ looking responses do not depend on the objects involved possessing animate-typical features. As such, the objects used here possessed inanimate-typical features. Networks were 9 months old. Only ALIAS and ALIAS-2 were examined because neither VOM10 nor VOM10-2 could represent whether an object possessed animate- or object-typical surface features.</w:t>
      </w:r>
    </w:p>
    <w:p w14:paraId="3CB4E596" w14:textId="77777777" w:rsidR="006F2F23" w:rsidRDefault="006F2F23">
      <w:pPr>
        <w:spacing w:after="0" w:line="480" w:lineRule="auto"/>
        <w:ind w:firstLine="720"/>
        <w:rPr>
          <w:rFonts w:ascii="Times New Roman" w:eastAsia="Times New Roman" w:hAnsi="Times New Roman" w:cs="Times New Roman"/>
        </w:rPr>
      </w:pPr>
    </w:p>
    <w:p w14:paraId="02D873A7"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e"/>
        <w:tblW w:w="11951"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63"/>
        <w:gridCol w:w="6088"/>
      </w:tblGrid>
      <w:tr w:rsidR="006F2F23" w14:paraId="63476569" w14:textId="77777777">
        <w:trPr>
          <w:trHeight w:val="3633"/>
        </w:trPr>
        <w:tc>
          <w:tcPr>
            <w:tcW w:w="5863" w:type="dxa"/>
          </w:tcPr>
          <w:p w14:paraId="44D97E12" w14:textId="77777777" w:rsidR="006F2F23" w:rsidRDefault="00000000">
            <w:pPr>
              <w:keepNext/>
              <w:spacing w:line="480" w:lineRule="auto"/>
            </w:pPr>
            <w:r>
              <w:rPr>
                <w:noProof/>
              </w:rPr>
              <w:drawing>
                <wp:inline distT="0" distB="0" distL="0" distR="0" wp14:anchorId="71A05C18" wp14:editId="2FF9F33D">
                  <wp:extent cx="3600581" cy="2215742"/>
                  <wp:effectExtent l="0" t="0" r="0" b="0"/>
                  <wp:docPr id="93"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24"/>
                          <a:srcRect/>
                          <a:stretch>
                            <a:fillRect/>
                          </a:stretch>
                        </pic:blipFill>
                        <pic:spPr>
                          <a:xfrm>
                            <a:off x="0" y="0"/>
                            <a:ext cx="3600581" cy="2215742"/>
                          </a:xfrm>
                          <a:prstGeom prst="rect">
                            <a:avLst/>
                          </a:prstGeom>
                          <a:ln/>
                        </pic:spPr>
                      </pic:pic>
                    </a:graphicData>
                  </a:graphic>
                </wp:inline>
              </w:drawing>
            </w:r>
          </w:p>
        </w:tc>
        <w:tc>
          <w:tcPr>
            <w:tcW w:w="6089" w:type="dxa"/>
          </w:tcPr>
          <w:p w14:paraId="66C65F6A" w14:textId="77777777" w:rsidR="006F2F23" w:rsidRDefault="00000000">
            <w:pPr>
              <w:keepNext/>
              <w:spacing w:line="480" w:lineRule="auto"/>
            </w:pPr>
            <w:r>
              <w:rPr>
                <w:noProof/>
              </w:rPr>
              <w:drawing>
                <wp:inline distT="0" distB="0" distL="0" distR="0" wp14:anchorId="22F54201" wp14:editId="35F1E7D9">
                  <wp:extent cx="3686519" cy="2255237"/>
                  <wp:effectExtent l="0" t="0" r="0" b="0"/>
                  <wp:docPr id="94"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25"/>
                          <a:srcRect/>
                          <a:stretch>
                            <a:fillRect/>
                          </a:stretch>
                        </pic:blipFill>
                        <pic:spPr>
                          <a:xfrm>
                            <a:off x="0" y="0"/>
                            <a:ext cx="3686519" cy="2255237"/>
                          </a:xfrm>
                          <a:prstGeom prst="rect">
                            <a:avLst/>
                          </a:prstGeom>
                          <a:ln/>
                        </pic:spPr>
                      </pic:pic>
                    </a:graphicData>
                  </a:graphic>
                </wp:inline>
              </w:drawing>
            </w:r>
          </w:p>
        </w:tc>
      </w:tr>
    </w:tbl>
    <w:p w14:paraId="450A494E"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Figure 13.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the Efficient and Inefficient test events in Simulation 2 across conditions overall (left panel) and different habituation epochs (right panel).</w:t>
      </w:r>
      <w:r>
        <w:rPr>
          <w:rFonts w:ascii="Times New Roman" w:eastAsia="Times New Roman" w:hAnsi="Times New Roman" w:cs="Times New Roman"/>
          <w:color w:val="000000"/>
        </w:rPr>
        <w:t xml:space="preserve"> </w:t>
      </w:r>
    </w:p>
    <w:p w14:paraId="36AB1F36" w14:textId="77777777" w:rsidR="006F2F23" w:rsidRDefault="006F2F23"/>
    <w:p w14:paraId="5DD927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Figure 13 shows that networks in the Experimental condition produced more error to the Inefficient than to the Efficient test event, whereas those in the Control condition produced equivalent error to both events. These results indicate that ALIAS’s responses—like infants’—did not hinge on objects possessing animate-typical features.</w:t>
      </w:r>
    </w:p>
    <w:p w14:paraId="6EC734CE" w14:textId="77777777" w:rsidR="006F2F23" w:rsidRDefault="006F2F23">
      <w:pPr>
        <w:spacing w:line="480" w:lineRule="auto"/>
        <w:rPr>
          <w:rFonts w:ascii="Times New Roman" w:eastAsia="Times New Roman" w:hAnsi="Times New Roman" w:cs="Times New Roman"/>
        </w:rPr>
      </w:pPr>
    </w:p>
    <w:tbl>
      <w:tblPr>
        <w:tblStyle w:val="af"/>
        <w:tblW w:w="76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7632"/>
      </w:tblGrid>
      <w:tr w:rsidR="006F2F23" w14:paraId="53AAD68D" w14:textId="77777777">
        <w:trPr>
          <w:trHeight w:val="4125"/>
        </w:trPr>
        <w:tc>
          <w:tcPr>
            <w:tcW w:w="7632" w:type="dxa"/>
          </w:tcPr>
          <w:p w14:paraId="6B41BADE"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1C582E40" wp14:editId="7DF30C7C">
                  <wp:extent cx="4703786" cy="2894637"/>
                  <wp:effectExtent l="0" t="0" r="0" b="0"/>
                  <wp:docPr id="95"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6"/>
                          <a:srcRect/>
                          <a:stretch>
                            <a:fillRect/>
                          </a:stretch>
                        </pic:blipFill>
                        <pic:spPr>
                          <a:xfrm>
                            <a:off x="0" y="0"/>
                            <a:ext cx="4703786" cy="2894637"/>
                          </a:xfrm>
                          <a:prstGeom prst="rect">
                            <a:avLst/>
                          </a:prstGeom>
                          <a:ln/>
                        </pic:spPr>
                      </pic:pic>
                    </a:graphicData>
                  </a:graphic>
                </wp:inline>
              </w:drawing>
            </w:r>
          </w:p>
        </w:tc>
      </w:tr>
    </w:tbl>
    <w:p w14:paraId="5BF5BB75"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14.</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Mean network error produced to Efficient and Inefficient test events in the Experimental and Control conditions for ALIAS-2</w:t>
      </w:r>
      <w:r>
        <w:rPr>
          <w:rFonts w:ascii="Times New Roman" w:eastAsia="Times New Roman" w:hAnsi="Times New Roman" w:cs="Times New Roman"/>
          <w:color w:val="000000"/>
        </w:rPr>
        <w:t>.</w:t>
      </w:r>
      <w:r>
        <w:rPr>
          <w:rFonts w:ascii="Times New Roman" w:eastAsia="Times New Roman" w:hAnsi="Times New Roman" w:cs="Times New Roman"/>
          <w:i/>
          <w:iCs/>
          <w:color w:val="000000"/>
        </w:rPr>
        <w:t xml:space="preserve"> </w:t>
      </w:r>
    </w:p>
    <w:p w14:paraId="7D256858" w14:textId="77777777" w:rsidR="006F2F23" w:rsidRDefault="006F2F23">
      <w:pPr>
        <w:spacing w:after="0" w:line="480" w:lineRule="auto"/>
        <w:rPr>
          <w:rFonts w:ascii="Times New Roman" w:eastAsia="Times New Roman" w:hAnsi="Times New Roman" w:cs="Times New Roman"/>
        </w:rPr>
      </w:pPr>
    </w:p>
    <w:p w14:paraId="1F20E6F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14 shows ALIAS-2’s performance. Networks in both conditions produced greater error to the Inefficient than to the Efficient event. However, as was true in Simulation 1a, this effect was weaker in the Control than in the Experimental condition. The fact that ALIAS-2 only partially replicated the second target finding indicates that associative learning over differentially salient surface features is necessary to capture it. </w:t>
      </w:r>
    </w:p>
    <w:p w14:paraId="4C485F7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Together, Simulations 1 and 2 demonstrate that the same associative learning mechanism can account for infants’ looking behavior regardless of prior experience with unconstrained </w:t>
      </w:r>
      <w:r>
        <w:rPr>
          <w:rFonts w:ascii="Times New Roman" w:eastAsia="Times New Roman" w:hAnsi="Times New Roman" w:cs="Times New Roman"/>
        </w:rPr>
        <w:lastRenderedPageBreak/>
        <w:t xml:space="preserve">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 assessing whether ALIAS could capture a more substantively different target finding. </w:t>
      </w:r>
    </w:p>
    <w:p w14:paraId="0F83A071" w14:textId="77777777" w:rsidR="006F2F23" w:rsidRDefault="006F2F23">
      <w:pPr>
        <w:spacing w:after="0" w:line="480" w:lineRule="auto"/>
        <w:ind w:firstLine="720"/>
        <w:rPr>
          <w:rFonts w:ascii="Times New Roman" w:eastAsia="Times New Roman" w:hAnsi="Times New Roman" w:cs="Times New Roman"/>
        </w:rPr>
      </w:pPr>
    </w:p>
    <w:p w14:paraId="47AECFB7"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3: Bidirectional inferences about actions, goals, and constraints.</w:t>
      </w:r>
    </w:p>
    <w:p w14:paraId="18636FF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examined whether ALIAS could account for findings that have been taken to show that 12-month-olds make bidirectional inferences among goals, actions, and constraints. Crucially, this simulation represents a substantially more demanding test of ALIAS’s theoretical scope because the target findings have been argued to require richer inferential abilities than mere sensitivity to the statistical regularities among low-level features of action events. The target findings come from a classic study by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In the first experiment, infants were habituated to an event in which a large circle appeared to be chasing a small circle. However, before the large circle reached the small one, the small circle moved through a narrow gap between two bars before disappearing from the screen; the width of the gap forced the large circle to move around one of the bars. The fact that the large circle never reached the small one before it disappeared from the screen meant that the large circle’s goal of reaching the small one had to be inferred. The authors found that when the gap was widened, infants looked longer when the large circle continued moving around one of the bars than when it moved through it. Although this experiment differed from the “over-the-barrier” paradigm, it is possible to instantiate it within that framework. The approach taken here involved terminating the habituation event after the first object cleared the barrier but before it reached the second </w:t>
      </w:r>
      <w:r>
        <w:rPr>
          <w:rFonts w:ascii="Times New Roman" w:eastAsia="Times New Roman" w:hAnsi="Times New Roman" w:cs="Times New Roman"/>
        </w:rPr>
        <w:lastRenderedPageBreak/>
        <w:t xml:space="preserve">object. This ensured that the first object’s goal remained ambiguous, thereby preserving the critical inferential demands of the original experiment. </w:t>
      </w:r>
    </w:p>
    <w:p w14:paraId="39CAC0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 second experiment, infants were habituated to a constrained action event except that the barrier was hidden behind an opaque screen. Infants could nonetheless see the second object and parts of the first object’s arced motion path.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found that infants looked longer when the first object followed the same curved path in the absence of an obstacle than in its presence. These findings were taken to support the teleological stance. This simulation tested whether instead they could be captured by an associative learning mechanism. To model these experiments, networks were assigned either to the Inferring Goals or to the Inferring Constraints condition. The habituation event in the Inferring Goals condition was identical to that in Simulation 1a except that networks could not know whether the first object’s goal was met (i.e., whether it stopped next to the second one). The Inferring Constraints condition was implemented by removing all barrier information during habituation. This simulation was identical to Simulation 1a in all other respects. As in Simulation 1a, ALIAS’s performance was compared to that of the competitor models.</w:t>
      </w:r>
    </w:p>
    <w:p w14:paraId="324CA3ED" w14:textId="77777777" w:rsidR="006F2F23" w:rsidRDefault="006F2F23">
      <w:pPr>
        <w:spacing w:after="0" w:line="480" w:lineRule="auto"/>
        <w:rPr>
          <w:rFonts w:ascii="Times New Roman" w:eastAsia="Times New Roman" w:hAnsi="Times New Roman" w:cs="Times New Roman"/>
        </w:rPr>
      </w:pPr>
    </w:p>
    <w:p w14:paraId="413980DB"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Results and Discussion</w:t>
      </w:r>
    </w:p>
    <w:tbl>
      <w:tblPr>
        <w:tblStyle w:val="af0"/>
        <w:tblW w:w="12149" w:type="dxa"/>
        <w:tblInd w:w="-851" w:type="dxa"/>
        <w:tblBorders>
          <w:top w:val="nil"/>
          <w:left w:val="nil"/>
          <w:bottom w:val="nil"/>
          <w:right w:val="nil"/>
          <w:insideH w:val="nil"/>
          <w:insideV w:val="nil"/>
        </w:tblBorders>
        <w:tblLayout w:type="fixed"/>
        <w:tblLook w:val="0400" w:firstRow="0" w:lastRow="0" w:firstColumn="0" w:lastColumn="0" w:noHBand="0" w:noVBand="1"/>
      </w:tblPr>
      <w:tblGrid>
        <w:gridCol w:w="12149"/>
      </w:tblGrid>
      <w:tr w:rsidR="006F2F23" w14:paraId="37E07E74" w14:textId="77777777">
        <w:trPr>
          <w:trHeight w:val="5834"/>
        </w:trPr>
        <w:tc>
          <w:tcPr>
            <w:tcW w:w="12149" w:type="dxa"/>
          </w:tcPr>
          <w:p w14:paraId="56112F8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bl>
            <w:tblPr>
              <w:tblStyle w:val="af1"/>
              <w:tblW w:w="11232"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5616"/>
              <w:gridCol w:w="5616"/>
            </w:tblGrid>
            <w:tr w:rsidR="006F2F23" w14:paraId="30E1FFBF" w14:textId="77777777">
              <w:trPr>
                <w:trHeight w:val="3423"/>
              </w:trPr>
              <w:tc>
                <w:tcPr>
                  <w:tcW w:w="5616" w:type="dxa"/>
                </w:tcPr>
                <w:p w14:paraId="6C58D29C" w14:textId="77777777" w:rsidR="006F2F23" w:rsidRDefault="00000000">
                  <w:pPr>
                    <w:keepNext/>
                    <w:spacing w:line="480" w:lineRule="auto"/>
                  </w:pPr>
                  <w:r>
                    <w:rPr>
                      <w:noProof/>
                    </w:rPr>
                    <w:drawing>
                      <wp:inline distT="0" distB="0" distL="0" distR="0" wp14:anchorId="7032FCEF" wp14:editId="6F1E61D2">
                        <wp:extent cx="3466754" cy="2120793"/>
                        <wp:effectExtent l="0" t="0" r="0" b="0"/>
                        <wp:docPr id="96"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466754" cy="2120793"/>
                                </a:xfrm>
                                <a:prstGeom prst="rect">
                                  <a:avLst/>
                                </a:prstGeom>
                                <a:ln/>
                              </pic:spPr>
                            </pic:pic>
                          </a:graphicData>
                        </a:graphic>
                      </wp:inline>
                    </w:drawing>
                  </w:r>
                </w:p>
              </w:tc>
              <w:tc>
                <w:tcPr>
                  <w:tcW w:w="5616" w:type="dxa"/>
                </w:tcPr>
                <w:p w14:paraId="2694ADF3" w14:textId="77777777" w:rsidR="006F2F23" w:rsidRDefault="00000000">
                  <w:pPr>
                    <w:keepNext/>
                    <w:spacing w:line="480" w:lineRule="auto"/>
                  </w:pPr>
                  <w:r>
                    <w:rPr>
                      <w:noProof/>
                    </w:rPr>
                    <w:drawing>
                      <wp:inline distT="0" distB="0" distL="0" distR="0" wp14:anchorId="7B9B9F02" wp14:editId="1C301B52">
                        <wp:extent cx="3439715" cy="2104253"/>
                        <wp:effectExtent l="0" t="0" r="0" b="0"/>
                        <wp:docPr id="97"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439715" cy="2104253"/>
                                </a:xfrm>
                                <a:prstGeom prst="rect">
                                  <a:avLst/>
                                </a:prstGeom>
                                <a:ln/>
                              </pic:spPr>
                            </pic:pic>
                          </a:graphicData>
                        </a:graphic>
                      </wp:inline>
                    </w:drawing>
                  </w:r>
                </w:p>
              </w:tc>
            </w:tr>
            <w:tr w:rsidR="006F2F23" w14:paraId="4C366DB4" w14:textId="77777777">
              <w:trPr>
                <w:trHeight w:val="3298"/>
              </w:trPr>
              <w:tc>
                <w:tcPr>
                  <w:tcW w:w="5616" w:type="dxa"/>
                </w:tcPr>
                <w:p w14:paraId="691D0C44" w14:textId="77777777" w:rsidR="006F2F23" w:rsidRDefault="00000000">
                  <w:pPr>
                    <w:keepNext/>
                    <w:spacing w:line="480" w:lineRule="auto"/>
                  </w:pPr>
                  <w:r>
                    <w:rPr>
                      <w:noProof/>
                    </w:rPr>
                    <w:drawing>
                      <wp:inline distT="0" distB="0" distL="0" distR="0" wp14:anchorId="7C94DB8C" wp14:editId="75B783FD">
                        <wp:extent cx="3443843" cy="2106778"/>
                        <wp:effectExtent l="0" t="0" r="0" b="0"/>
                        <wp:docPr id="9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3443843" cy="2106778"/>
                                </a:xfrm>
                                <a:prstGeom prst="rect">
                                  <a:avLst/>
                                </a:prstGeom>
                                <a:ln/>
                              </pic:spPr>
                            </pic:pic>
                          </a:graphicData>
                        </a:graphic>
                      </wp:inline>
                    </w:drawing>
                  </w:r>
                </w:p>
              </w:tc>
              <w:tc>
                <w:tcPr>
                  <w:tcW w:w="5616" w:type="dxa"/>
                </w:tcPr>
                <w:p w14:paraId="1A6C6A4B" w14:textId="77777777" w:rsidR="006F2F23" w:rsidRDefault="00000000">
                  <w:pPr>
                    <w:keepNext/>
                    <w:spacing w:line="480" w:lineRule="auto"/>
                  </w:pPr>
                  <w:r>
                    <w:rPr>
                      <w:noProof/>
                    </w:rPr>
                    <w:drawing>
                      <wp:inline distT="0" distB="0" distL="0" distR="0" wp14:anchorId="1C4F841D" wp14:editId="318C021C">
                        <wp:extent cx="3438932" cy="2103773"/>
                        <wp:effectExtent l="0" t="0" r="0" b="0"/>
                        <wp:docPr id="6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0"/>
                                <a:srcRect/>
                                <a:stretch>
                                  <a:fillRect/>
                                </a:stretch>
                              </pic:blipFill>
                              <pic:spPr>
                                <a:xfrm>
                                  <a:off x="0" y="0"/>
                                  <a:ext cx="3438932" cy="2103773"/>
                                </a:xfrm>
                                <a:prstGeom prst="rect">
                                  <a:avLst/>
                                </a:prstGeom>
                                <a:ln/>
                              </pic:spPr>
                            </pic:pic>
                          </a:graphicData>
                        </a:graphic>
                      </wp:inline>
                    </w:drawing>
                  </w:r>
                </w:p>
              </w:tc>
            </w:tr>
          </w:tbl>
          <w:p w14:paraId="5F1B5D8B" w14:textId="77777777" w:rsidR="006F2F23" w:rsidRDefault="006F2F23">
            <w:pPr>
              <w:keepNext/>
              <w:pBdr>
                <w:top w:val="nil"/>
                <w:left w:val="nil"/>
                <w:bottom w:val="nil"/>
                <w:right w:val="nil"/>
                <w:between w:val="nil"/>
              </w:pBdr>
              <w:spacing w:after="200"/>
              <w:rPr>
                <w:rFonts w:ascii="Times New Roman" w:eastAsia="Times New Roman" w:hAnsi="Times New Roman" w:cs="Times New Roman"/>
                <w:color w:val="0E2841"/>
              </w:rPr>
            </w:pPr>
          </w:p>
        </w:tc>
      </w:tr>
    </w:tbl>
    <w:p w14:paraId="3A6003A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 xml:space="preserve">Figure 15.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the mean network error produced to the Congruent and Incongruent test events for networks in the Inferring Goals condition (left column) and to the Obstacle and No-Obstacle test events for networks in the Inferring Constraints condition across habituation epochs (top row) and overall (bottom row).</w:t>
      </w:r>
    </w:p>
    <w:p w14:paraId="10780903" w14:textId="77777777" w:rsidR="006F2F23" w:rsidRDefault="006F2F23">
      <w:pPr>
        <w:spacing w:after="0" w:line="480" w:lineRule="auto"/>
        <w:ind w:firstLine="720"/>
        <w:rPr>
          <w:rFonts w:ascii="Times New Roman" w:eastAsia="Times New Roman" w:hAnsi="Times New Roman" w:cs="Times New Roman"/>
        </w:rPr>
      </w:pPr>
    </w:p>
    <w:p w14:paraId="67FE838A"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15 shows ALIAS’s performance across the conditions. Networks in the Inferring Goals condition produced greater error to the Incongruent than to the Congruent test event. This pattern arose because the former test event violated a learned association between arced motion over a small barrier and spatial contiguity between the two objects. Networks in the Inferring Constraints condition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No-Obstacle than to the Obstacle test event. </w:t>
      </w:r>
      <w:r>
        <w:rPr>
          <w:rFonts w:ascii="Times New Roman" w:eastAsia="Times New Roman" w:hAnsi="Times New Roman" w:cs="Times New Roman"/>
        </w:rPr>
        <w:lastRenderedPageBreak/>
        <w:t xml:space="preserve">This pattern arose because the former test event violated a learned association between arced motion and obstacles.  </w:t>
      </w:r>
    </w:p>
    <w:p w14:paraId="2A0941F7" w14:textId="77777777" w:rsidR="006F2F23" w:rsidRDefault="006F2F23">
      <w:pPr>
        <w:spacing w:line="480" w:lineRule="auto"/>
        <w:rPr>
          <w:rFonts w:ascii="Times New Roman" w:eastAsia="Times New Roman" w:hAnsi="Times New Roman" w:cs="Times New Roman"/>
        </w:rPr>
      </w:pPr>
    </w:p>
    <w:tbl>
      <w:tblPr>
        <w:tblStyle w:val="af2"/>
        <w:tblW w:w="11269" w:type="dxa"/>
        <w:tblInd w:w="-567" w:type="dxa"/>
        <w:tblBorders>
          <w:top w:val="nil"/>
          <w:left w:val="nil"/>
          <w:bottom w:val="nil"/>
          <w:right w:val="nil"/>
          <w:insideH w:val="nil"/>
          <w:insideV w:val="nil"/>
        </w:tblBorders>
        <w:tblLayout w:type="fixed"/>
        <w:tblLook w:val="0400" w:firstRow="0" w:lastRow="0" w:firstColumn="0" w:lastColumn="0" w:noHBand="0" w:noVBand="1"/>
      </w:tblPr>
      <w:tblGrid>
        <w:gridCol w:w="5387"/>
        <w:gridCol w:w="5882"/>
      </w:tblGrid>
      <w:tr w:rsidR="006F2F23" w14:paraId="7FFEAD27" w14:textId="77777777">
        <w:tc>
          <w:tcPr>
            <w:tcW w:w="5387" w:type="dxa"/>
          </w:tcPr>
          <w:p w14:paraId="40346BB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339C124" wp14:editId="39B35B2B">
                  <wp:extent cx="3425898" cy="2740851"/>
                  <wp:effectExtent l="0" t="0" r="0" b="0"/>
                  <wp:docPr id="69"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1"/>
                          <a:srcRect/>
                          <a:stretch>
                            <a:fillRect/>
                          </a:stretch>
                        </pic:blipFill>
                        <pic:spPr>
                          <a:xfrm>
                            <a:off x="0" y="0"/>
                            <a:ext cx="3425898" cy="2740851"/>
                          </a:xfrm>
                          <a:prstGeom prst="rect">
                            <a:avLst/>
                          </a:prstGeom>
                          <a:ln/>
                        </pic:spPr>
                      </pic:pic>
                    </a:graphicData>
                  </a:graphic>
                </wp:inline>
              </w:drawing>
            </w:r>
          </w:p>
        </w:tc>
        <w:tc>
          <w:tcPr>
            <w:tcW w:w="5882" w:type="dxa"/>
          </w:tcPr>
          <w:p w14:paraId="3615DE5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BD5956" wp14:editId="6B19147A">
                  <wp:extent cx="3420381" cy="2736426"/>
                  <wp:effectExtent l="0" t="0" r="0" b="0"/>
                  <wp:docPr id="70"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2"/>
                          <a:srcRect/>
                          <a:stretch>
                            <a:fillRect/>
                          </a:stretch>
                        </pic:blipFill>
                        <pic:spPr>
                          <a:xfrm>
                            <a:off x="0" y="0"/>
                            <a:ext cx="3420381" cy="2736426"/>
                          </a:xfrm>
                          <a:prstGeom prst="rect">
                            <a:avLst/>
                          </a:prstGeom>
                          <a:ln/>
                        </pic:spPr>
                      </pic:pic>
                    </a:graphicData>
                  </a:graphic>
                </wp:inline>
              </w:drawing>
            </w:r>
          </w:p>
        </w:tc>
      </w:tr>
    </w:tbl>
    <w:p w14:paraId="6845A8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16.</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VOM10.</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(left) and to the Obstacle and No-Obstacle test events for networks assigned to the Inferring Constraints condition (right).</w:t>
      </w:r>
    </w:p>
    <w:p w14:paraId="53568AFB" w14:textId="77777777" w:rsidR="006F2F23" w:rsidRDefault="006F2F23"/>
    <w:p w14:paraId="3A1EA66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16 shows that VOM10 failed to reproduce the target findings.  Networks in the Inferring Goals condition produced more activation to the Congruent than to the Incongruent test event. Likewise, networks in the Inferring Constraints condition produced more activation to the Obstacle than to the No Obstacle test events. </w:t>
      </w:r>
    </w:p>
    <w:p w14:paraId="44E3D5B4" w14:textId="77777777" w:rsidR="006F2F23" w:rsidRDefault="006F2F23">
      <w:pPr>
        <w:spacing w:line="480" w:lineRule="auto"/>
        <w:rPr>
          <w:rFonts w:ascii="Times New Roman" w:eastAsia="Times New Roman" w:hAnsi="Times New Roman" w:cs="Times New Roman"/>
        </w:rPr>
      </w:pPr>
    </w:p>
    <w:tbl>
      <w:tblPr>
        <w:tblStyle w:val="af3"/>
        <w:tblW w:w="1173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26"/>
        <w:gridCol w:w="5908"/>
      </w:tblGrid>
      <w:tr w:rsidR="006F2F23" w14:paraId="39173DB9" w14:textId="77777777">
        <w:trPr>
          <w:trHeight w:val="4455"/>
        </w:trPr>
        <w:tc>
          <w:tcPr>
            <w:tcW w:w="5826" w:type="dxa"/>
          </w:tcPr>
          <w:p w14:paraId="738A2B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3C337D2A" wp14:editId="1E557D04">
                  <wp:extent cx="3561745" cy="2849396"/>
                  <wp:effectExtent l="0" t="0" r="0" b="0"/>
                  <wp:docPr id="71"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561745" cy="2849396"/>
                          </a:xfrm>
                          <a:prstGeom prst="rect">
                            <a:avLst/>
                          </a:prstGeom>
                          <a:ln/>
                        </pic:spPr>
                      </pic:pic>
                    </a:graphicData>
                  </a:graphic>
                </wp:inline>
              </w:drawing>
            </w:r>
          </w:p>
        </w:tc>
        <w:tc>
          <w:tcPr>
            <w:tcW w:w="5908" w:type="dxa"/>
          </w:tcPr>
          <w:p w14:paraId="16A0FD04"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0A9C43D" wp14:editId="1BDA446F">
                  <wp:extent cx="3524858" cy="2819886"/>
                  <wp:effectExtent l="0" t="0" r="0" b="0"/>
                  <wp:docPr id="7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4"/>
                          <a:srcRect/>
                          <a:stretch>
                            <a:fillRect/>
                          </a:stretch>
                        </pic:blipFill>
                        <pic:spPr>
                          <a:xfrm>
                            <a:off x="0" y="0"/>
                            <a:ext cx="3524858" cy="2819886"/>
                          </a:xfrm>
                          <a:prstGeom prst="rect">
                            <a:avLst/>
                          </a:prstGeom>
                          <a:ln/>
                        </pic:spPr>
                      </pic:pic>
                    </a:graphicData>
                  </a:graphic>
                </wp:inline>
              </w:drawing>
            </w:r>
          </w:p>
        </w:tc>
      </w:tr>
    </w:tbl>
    <w:p w14:paraId="4BA7AFA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Figure 17.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Congruent and Incongruent test events for networks in the Inferring Goals condition and to the Obstacle and No-Obstacle test events for networks assigned to the Inferring Constraints condition (right). </w:t>
      </w:r>
    </w:p>
    <w:p w14:paraId="7B0B9F5E" w14:textId="77777777" w:rsidR="006F2F23" w:rsidRDefault="006F2F23">
      <w:pPr>
        <w:spacing w:after="0" w:line="480" w:lineRule="auto"/>
        <w:ind w:firstLine="720"/>
        <w:rPr>
          <w:rFonts w:ascii="Times New Roman" w:eastAsia="Times New Roman" w:hAnsi="Times New Roman" w:cs="Times New Roman"/>
        </w:rPr>
      </w:pPr>
    </w:p>
    <w:p w14:paraId="07EDCE5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17 shows that VOM10-2 responses mirrored those of VOM10. The fact that both versions failed to reproduce the third target finding suggests that this limitation reflects a more fundamental limitation of VOM10 than limited implementational fidelity. </w:t>
      </w:r>
    </w:p>
    <w:p w14:paraId="49119661" w14:textId="77777777" w:rsidR="006F2F23" w:rsidRDefault="006F2F23">
      <w:pPr>
        <w:spacing w:line="480" w:lineRule="auto"/>
        <w:rPr>
          <w:rFonts w:ascii="Times New Roman" w:eastAsia="Times New Roman" w:hAnsi="Times New Roman" w:cs="Times New Roman"/>
        </w:rPr>
      </w:pPr>
    </w:p>
    <w:tbl>
      <w:tblPr>
        <w:tblStyle w:val="af4"/>
        <w:tblW w:w="11502" w:type="dxa"/>
        <w:tblInd w:w="-998" w:type="dxa"/>
        <w:tblBorders>
          <w:top w:val="nil"/>
          <w:left w:val="nil"/>
          <w:bottom w:val="nil"/>
          <w:right w:val="nil"/>
          <w:insideH w:val="nil"/>
          <w:insideV w:val="nil"/>
        </w:tblBorders>
        <w:tblLayout w:type="fixed"/>
        <w:tblLook w:val="0400" w:firstRow="0" w:lastRow="0" w:firstColumn="0" w:lastColumn="0" w:noHBand="0" w:noVBand="1"/>
      </w:tblPr>
      <w:tblGrid>
        <w:gridCol w:w="5736"/>
        <w:gridCol w:w="5766"/>
      </w:tblGrid>
      <w:tr w:rsidR="006F2F23" w14:paraId="45DA4BEF" w14:textId="77777777">
        <w:trPr>
          <w:trHeight w:val="4560"/>
        </w:trPr>
        <w:tc>
          <w:tcPr>
            <w:tcW w:w="5736" w:type="dxa"/>
          </w:tcPr>
          <w:p w14:paraId="42C2D89C"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801BDC" wp14:editId="10B98FFB">
                  <wp:extent cx="3505211" cy="2804169"/>
                  <wp:effectExtent l="0" t="0" r="0" b="0"/>
                  <wp:docPr id="7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5"/>
                          <a:srcRect/>
                          <a:stretch>
                            <a:fillRect/>
                          </a:stretch>
                        </pic:blipFill>
                        <pic:spPr>
                          <a:xfrm>
                            <a:off x="0" y="0"/>
                            <a:ext cx="3505211" cy="2804169"/>
                          </a:xfrm>
                          <a:prstGeom prst="rect">
                            <a:avLst/>
                          </a:prstGeom>
                          <a:ln/>
                        </pic:spPr>
                      </pic:pic>
                    </a:graphicData>
                  </a:graphic>
                </wp:inline>
              </w:drawing>
            </w:r>
          </w:p>
        </w:tc>
        <w:tc>
          <w:tcPr>
            <w:tcW w:w="5766" w:type="dxa"/>
          </w:tcPr>
          <w:p w14:paraId="47FCBC8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D5477B" wp14:editId="46241578">
                  <wp:extent cx="3524570" cy="2819656"/>
                  <wp:effectExtent l="0" t="0" r="0" b="0"/>
                  <wp:docPr id="7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6"/>
                          <a:srcRect/>
                          <a:stretch>
                            <a:fillRect/>
                          </a:stretch>
                        </pic:blipFill>
                        <pic:spPr>
                          <a:xfrm>
                            <a:off x="0" y="0"/>
                            <a:ext cx="3524570" cy="2819656"/>
                          </a:xfrm>
                          <a:prstGeom prst="rect">
                            <a:avLst/>
                          </a:prstGeom>
                          <a:ln/>
                        </pic:spPr>
                      </pic:pic>
                    </a:graphicData>
                  </a:graphic>
                </wp:inline>
              </w:drawing>
            </w:r>
          </w:p>
        </w:tc>
      </w:tr>
    </w:tbl>
    <w:p w14:paraId="629FDA14"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18.</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the mean network error produced to the Congruent and Incongruent test events for networks assigned to the Inferring Goals condition (left) and to the Obstacle and No-Obstacle test events for networks in the Inferring Constraints condition (right).</w:t>
      </w:r>
    </w:p>
    <w:p w14:paraId="297E0B55" w14:textId="77777777" w:rsidR="006F2F23" w:rsidRDefault="006F2F23">
      <w:pPr>
        <w:spacing w:after="0" w:line="480" w:lineRule="auto"/>
        <w:ind w:firstLine="720"/>
        <w:rPr>
          <w:rFonts w:ascii="Times New Roman" w:eastAsia="Times New Roman" w:hAnsi="Times New Roman" w:cs="Times New Roman"/>
        </w:rPr>
      </w:pPr>
    </w:p>
    <w:p w14:paraId="63857C1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18 shows that, like ALIAS, ALIAS-2 networks looked longer at their condition’s respective inconsistent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 The fact that both versions of ALIAS were successful in capturing the third target finding suggests that associative learning alone is sufficient to capture this pattern of behavior. A clear pattern that is emerging across the simulations is that it is not necessary to posit specialized mechanisms or a rich understanding of goals, action, efficiency, or cost to explain infants’ looking behaviors in action efficiency understanding studies. Such behavior can instead be readily captured by and emerge from associative learning.  </w:t>
      </w:r>
    </w:p>
    <w:p w14:paraId="12F671C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Nevertheless, one might continue to insist that </w:t>
      </w:r>
      <w:proofErr w:type="gramStart"/>
      <w:r>
        <w:rPr>
          <w:rFonts w:ascii="Times New Roman" w:eastAsia="Times New Roman" w:hAnsi="Times New Roman" w:cs="Times New Roman"/>
        </w:rPr>
        <w:t>argue</w:t>
      </w:r>
      <w:proofErr w:type="gramEnd"/>
      <w:r>
        <w:rPr>
          <w:rFonts w:ascii="Times New Roman" w:eastAsia="Times New Roman" w:hAnsi="Times New Roman" w:cs="Times New Roman"/>
        </w:rPr>
        <w:t xml:space="preserve"> that even this simulation does not pose a sufficiently strong challenge to ALIAS and that a more compelling test of its explanatory scope would be to show that it can capture data from Liu and </w:t>
      </w:r>
      <w:proofErr w:type="spellStart"/>
      <w:r>
        <w:rPr>
          <w:rFonts w:ascii="Times New Roman" w:eastAsia="Times New Roman" w:hAnsi="Times New Roman" w:cs="Times New Roman"/>
        </w:rPr>
        <w:t>Spelke’s</w:t>
      </w:r>
      <w:proofErr w:type="spellEnd"/>
      <w:r>
        <w:rPr>
          <w:rFonts w:ascii="Times New Roman" w:eastAsia="Times New Roman" w:hAnsi="Times New Roman" w:cs="Times New Roman"/>
        </w:rPr>
        <w:t xml:space="preserve"> (2017) study. They habituated 6-month-olds either to a constrained action event (Experiment 1) or to an unconstrained one (Experiment 2). Infants were then tested either on constrained Low, efficient </w:t>
      </w:r>
      <w:r>
        <w:rPr>
          <w:rFonts w:ascii="Times New Roman" w:eastAsia="Times New Roman" w:hAnsi="Times New Roman" w:cs="Times New Roman"/>
        </w:rPr>
        <w:lastRenderedPageBreak/>
        <w:t xml:space="preserve">and constrained High, inefficient test events (Experiment 1) or on unconstrained versions of these events (Experiment 2).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found that infants in Experiment 1 looked longer at the High, inefficient test event when the agent jumped higher than needed to clear the barrier than at the Low, efficient one; infants in Experiment 2 looked numerically, but not significantly, longer at the Low, efficient test event. These findings were interpreted to mean that infants can represent efficiency continuously.</w:t>
      </w:r>
    </w:p>
    <w:p w14:paraId="13767BB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A final experiment habituated infants to the event used in Experiment 2 and then tested on the constrained events used in Experiment 1. Now infants looked longer at the High, inefficient test event than at the Low, efficient one. These findings suggest that infants responded as if they expected previously inefficient agents to behave efficiently in a new situation. More broadly, these findings were subsequently argued to support naïve psychology and naïve physics systems (Liu et al., 2026). Simulation 4 tested whether such conclusions were warranted.</w:t>
      </w:r>
    </w:p>
    <w:p w14:paraId="4375C2D9" w14:textId="77777777" w:rsidR="006F2F23" w:rsidRDefault="006F2F23">
      <w:pPr>
        <w:spacing w:after="0" w:line="480" w:lineRule="auto"/>
        <w:rPr>
          <w:rFonts w:ascii="Times New Roman" w:eastAsia="Times New Roman" w:hAnsi="Times New Roman" w:cs="Times New Roman"/>
        </w:rPr>
      </w:pPr>
    </w:p>
    <w:p w14:paraId="17C0D9B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4: Graded representations of efficiency.</w:t>
      </w:r>
    </w:p>
    <w:p w14:paraId="5C6D4E5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simulation tested whether ALIAS could capture the finding that infants ostensibly represent efficiency continuously and expect agents to behave efficiently in future situations despite their past actions. Six-month-old networks were habituated to and tested on events analogous to those in Experiments 1-3 in Liu and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ALIAS’s performance was compared only to VOM10-2 and ALIAS-2. VOM10 was not included because its original implementation omitted barrier information during the prediction (i.e., test) phase. Modifying this model to include such information during test would have represented a substantial departure from its implementation in the previous simulations and Van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w:t>
      </w:r>
    </w:p>
    <w:p w14:paraId="68637263" w14:textId="77777777" w:rsidR="006F2F23" w:rsidRDefault="006F2F23">
      <w:pPr>
        <w:spacing w:after="0" w:line="480" w:lineRule="auto"/>
        <w:rPr>
          <w:rFonts w:ascii="Times New Roman" w:eastAsia="Times New Roman" w:hAnsi="Times New Roman" w:cs="Times New Roman"/>
        </w:rPr>
      </w:pPr>
    </w:p>
    <w:p w14:paraId="4A2839C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Results and Discussion</w:t>
      </w:r>
    </w:p>
    <w:tbl>
      <w:tblPr>
        <w:tblStyle w:val="af5"/>
        <w:tblW w:w="1183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916"/>
        <w:gridCol w:w="5916"/>
      </w:tblGrid>
      <w:tr w:rsidR="006F2F23" w14:paraId="0A327335" w14:textId="77777777">
        <w:trPr>
          <w:trHeight w:val="4301"/>
        </w:trPr>
        <w:tc>
          <w:tcPr>
            <w:tcW w:w="5916" w:type="dxa"/>
          </w:tcPr>
          <w:p w14:paraId="043E2E4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5889FD" wp14:editId="6CB2903D">
                  <wp:extent cx="3619513" cy="2895610"/>
                  <wp:effectExtent l="0" t="0" r="0" b="0"/>
                  <wp:docPr id="7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7"/>
                          <a:srcRect/>
                          <a:stretch>
                            <a:fillRect/>
                          </a:stretch>
                        </pic:blipFill>
                        <pic:spPr>
                          <a:xfrm>
                            <a:off x="0" y="0"/>
                            <a:ext cx="3619513" cy="2895610"/>
                          </a:xfrm>
                          <a:prstGeom prst="rect">
                            <a:avLst/>
                          </a:prstGeom>
                          <a:ln/>
                        </pic:spPr>
                      </pic:pic>
                    </a:graphicData>
                  </a:graphic>
                </wp:inline>
              </w:drawing>
            </w:r>
          </w:p>
        </w:tc>
        <w:tc>
          <w:tcPr>
            <w:tcW w:w="5916" w:type="dxa"/>
          </w:tcPr>
          <w:p w14:paraId="608284E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9547291" wp14:editId="57BBE8A2">
                  <wp:extent cx="3619509" cy="2895607"/>
                  <wp:effectExtent l="0" t="0" r="0" b="0"/>
                  <wp:docPr id="76"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8"/>
                          <a:srcRect/>
                          <a:stretch>
                            <a:fillRect/>
                          </a:stretch>
                        </pic:blipFill>
                        <pic:spPr>
                          <a:xfrm>
                            <a:off x="0" y="0"/>
                            <a:ext cx="3619509" cy="2895607"/>
                          </a:xfrm>
                          <a:prstGeom prst="rect">
                            <a:avLst/>
                          </a:prstGeom>
                          <a:ln/>
                        </pic:spPr>
                      </pic:pic>
                    </a:graphicData>
                  </a:graphic>
                </wp:inline>
              </w:drawing>
            </w:r>
          </w:p>
        </w:tc>
      </w:tr>
    </w:tbl>
    <w:p w14:paraId="4C7A7C70"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19.</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overall (left) and across different habituation epochs (right). These experiments correspond to those in Liu and </w:t>
      </w:r>
      <w:proofErr w:type="spellStart"/>
      <w:r>
        <w:rPr>
          <w:rFonts w:ascii="Times New Roman" w:eastAsia="Times New Roman" w:hAnsi="Times New Roman" w:cs="Times New Roman"/>
          <w:color w:val="000000"/>
        </w:rPr>
        <w:t>Spelke</w:t>
      </w:r>
      <w:proofErr w:type="spellEnd"/>
      <w:r>
        <w:rPr>
          <w:rFonts w:ascii="Times New Roman" w:eastAsia="Times New Roman" w:hAnsi="Times New Roman" w:cs="Times New Roman"/>
          <w:color w:val="000000"/>
        </w:rPr>
        <w:t xml:space="preserve"> (2017).</w:t>
      </w:r>
    </w:p>
    <w:p w14:paraId="1204B9C5" w14:textId="77777777" w:rsidR="006F2F23" w:rsidRDefault="006F2F23">
      <w:pPr>
        <w:spacing w:after="0" w:line="480" w:lineRule="auto"/>
        <w:rPr>
          <w:rFonts w:ascii="Times New Roman" w:eastAsia="Times New Roman" w:hAnsi="Times New Roman" w:cs="Times New Roman"/>
        </w:rPr>
      </w:pPr>
    </w:p>
    <w:p w14:paraId="5A576F5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19 shows ALIAS’s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than to the Low, efficient one. This pattern of error stemmed from the fact that the High, inefficient test event violated learned associations among a small obstacle, a low jump, and minimal vertical clearance. Such associations were largely preserved in the Low, efficient test event. Networks in Experiment 2 produced numerically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Low, efficient than to the High, inefficient test event.</w:t>
      </w:r>
    </w:p>
    <w:p w14:paraId="67564B78" w14:textId="77777777" w:rsidR="006F2F23" w:rsidRDefault="006F2F23">
      <w:pPr>
        <w:spacing w:after="0" w:line="480" w:lineRule="auto"/>
        <w:ind w:firstLine="720"/>
        <w:rPr>
          <w:rFonts w:ascii="Times New Roman" w:eastAsia="Times New Roman" w:hAnsi="Times New Roman" w:cs="Times New Roman"/>
        </w:rPr>
      </w:pPr>
    </w:p>
    <w:p w14:paraId="749A1AA6" w14:textId="77777777" w:rsidR="006F2F23" w:rsidRDefault="006F2F23">
      <w:pPr>
        <w:spacing w:line="480" w:lineRule="auto"/>
        <w:ind w:firstLine="720"/>
        <w:rPr>
          <w:rFonts w:ascii="Times New Roman" w:eastAsia="Times New Roman" w:hAnsi="Times New Roman" w:cs="Times New Roman"/>
        </w:rPr>
      </w:pPr>
    </w:p>
    <w:tbl>
      <w:tblPr>
        <w:tblStyle w:val="af6"/>
        <w:tblW w:w="858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584"/>
      </w:tblGrid>
      <w:tr w:rsidR="006F2F23" w14:paraId="4E89E007" w14:textId="77777777">
        <w:trPr>
          <w:trHeight w:val="4025"/>
        </w:trPr>
        <w:tc>
          <w:tcPr>
            <w:tcW w:w="8584" w:type="dxa"/>
          </w:tcPr>
          <w:p w14:paraId="56FD4D43"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ED88563" wp14:editId="33820E71">
                  <wp:extent cx="4785070" cy="2927277"/>
                  <wp:effectExtent l="0" t="0" r="0" b="0"/>
                  <wp:docPr id="7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9"/>
                          <a:srcRect/>
                          <a:stretch>
                            <a:fillRect/>
                          </a:stretch>
                        </pic:blipFill>
                        <pic:spPr>
                          <a:xfrm>
                            <a:off x="0" y="0"/>
                            <a:ext cx="4785070" cy="2927277"/>
                          </a:xfrm>
                          <a:prstGeom prst="rect">
                            <a:avLst/>
                          </a:prstGeom>
                          <a:ln/>
                        </pic:spPr>
                      </pic:pic>
                    </a:graphicData>
                  </a:graphic>
                </wp:inline>
              </w:drawing>
            </w:r>
          </w:p>
        </w:tc>
      </w:tr>
    </w:tbl>
    <w:p w14:paraId="1A643A79"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20.</w:t>
      </w:r>
      <w:r>
        <w:rPr>
          <w:i/>
          <w:iCs/>
          <w:color w:val="000000"/>
          <w:sz w:val="18"/>
          <w:szCs w:val="18"/>
        </w:rPr>
        <w:t xml:space="preserve"> </w:t>
      </w:r>
      <w:r>
        <w:rPr>
          <w:rFonts w:ascii="Times New Roman" w:eastAsia="Times New Roman" w:hAnsi="Times New Roman" w:cs="Times New Roman"/>
          <w:i/>
          <w:iCs/>
          <w:color w:val="000000"/>
        </w:rPr>
        <w:t>Performance of VOM10-2.</w:t>
      </w:r>
      <w:r>
        <w:rPr>
          <w:rFonts w:ascii="Times New Roman" w:eastAsia="Times New Roman" w:hAnsi="Times New Roman" w:cs="Times New Roman"/>
          <w:color w:val="000000"/>
        </w:rPr>
        <w:t xml:space="preserve"> Plotted is the mean activation of the critical units produced to the High, inefficient and Low, efficient test events for networks in Experiment 1-3. </w:t>
      </w:r>
    </w:p>
    <w:p w14:paraId="1223E3D7"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5E8653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As shown in Figure 20, although VOM10-2 captured infants’ looking responses in Experiment 3—showing slightly more critical unit activation following the High, inefficient test event than the Low, efficient test </w:t>
      </w:r>
      <w:proofErr w:type="gramStart"/>
      <w:r>
        <w:rPr>
          <w:rFonts w:ascii="Times New Roman" w:eastAsia="Times New Roman" w:hAnsi="Times New Roman" w:cs="Times New Roman"/>
        </w:rPr>
        <w:t>event—</w:t>
      </w:r>
      <w:proofErr w:type="gramEnd"/>
      <w:r>
        <w:rPr>
          <w:rFonts w:ascii="Times New Roman" w:eastAsia="Times New Roman" w:hAnsi="Times New Roman" w:cs="Times New Roman"/>
        </w:rPr>
        <w:t xml:space="preserve">its responses in Experiments 1 and 2 did not match those of infants. In Experiment 1, networks produced more activation to the Low, efficient than to the High, inefficient test event. This pattern was reversed in Experiment 2.  </w:t>
      </w:r>
    </w:p>
    <w:p w14:paraId="3F7F5B46" w14:textId="77777777" w:rsidR="006F2F23" w:rsidRDefault="006F2F23">
      <w:pPr>
        <w:spacing w:line="480" w:lineRule="auto"/>
        <w:ind w:firstLine="720"/>
        <w:rPr>
          <w:rFonts w:ascii="Times New Roman" w:eastAsia="Times New Roman" w:hAnsi="Times New Roman" w:cs="Times New Roman"/>
        </w:rPr>
      </w:pPr>
    </w:p>
    <w:tbl>
      <w:tblPr>
        <w:tblStyle w:val="af7"/>
        <w:tblW w:w="8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928"/>
      </w:tblGrid>
      <w:tr w:rsidR="006F2F23" w14:paraId="30F9879C" w14:textId="77777777">
        <w:trPr>
          <w:trHeight w:val="3997"/>
        </w:trPr>
        <w:tc>
          <w:tcPr>
            <w:tcW w:w="8928" w:type="dxa"/>
          </w:tcPr>
          <w:p w14:paraId="13DD6F0A"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F70D8F9" wp14:editId="47408CB7">
                  <wp:extent cx="5406136" cy="3307215"/>
                  <wp:effectExtent l="0" t="0" r="0" b="0"/>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0"/>
                          <a:srcRect/>
                          <a:stretch>
                            <a:fillRect/>
                          </a:stretch>
                        </pic:blipFill>
                        <pic:spPr>
                          <a:xfrm>
                            <a:off x="0" y="0"/>
                            <a:ext cx="5406136" cy="3307215"/>
                          </a:xfrm>
                          <a:prstGeom prst="rect">
                            <a:avLst/>
                          </a:prstGeom>
                          <a:ln/>
                        </pic:spPr>
                      </pic:pic>
                    </a:graphicData>
                  </a:graphic>
                </wp:inline>
              </w:drawing>
            </w:r>
          </w:p>
        </w:tc>
      </w:tr>
    </w:tbl>
    <w:p w14:paraId="6FD42F41"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21.</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is networks’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High, inefficient and Low, efficient test events across experiments. </w:t>
      </w:r>
    </w:p>
    <w:p w14:paraId="3A25CAAC" w14:textId="77777777" w:rsidR="006F2F23" w:rsidRDefault="006F2F23"/>
    <w:p w14:paraId="56DCFE4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21 shows ALIAS-2’s responses. Networks in Experiments 1 and 3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High, inefficient test event than to the Low, efficient one. Networks in Experiment 2 produced equivalent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both test events. This result contrasts with ALIAS’s behavior and infants’ tendency numerically to look longer, albeit not reliably so, at the Low, efficient than the High, inefficient test event. These findings suggest that associative learning must be coupled with differential obstacle salience to capture the full pattern of data. More broadly, ALIAS’s success in capturing the first four target findings suggests that it possesses substantial explanatory scope. At the same time, all four findings involve infants with months of real-world action experience. Thus, for ALIAS to constitute a truly viable account of infants’ looking behavior, it must also explain why much younger infants exhibit similar looking patterns to older infants when given direct-action experience (e.g., Skerry et al., 2013). </w:t>
      </w:r>
    </w:p>
    <w:p w14:paraId="7713C2CE"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lastRenderedPageBreak/>
        <w:tab/>
        <w:t>Simulation 5 tested whether temporarily increasing ALIAS’s attention to, and encoding of, its own straight reaching trajectories during a simulated action phase could reproduce this finding despite its limited prior action experience. This simulation focused on the ALIAS models because they were the only ones capable of simulating development.</w:t>
      </w:r>
    </w:p>
    <w:p w14:paraId="4C2550F2" w14:textId="77777777" w:rsidR="006F2F23" w:rsidRDefault="006F2F23">
      <w:pPr>
        <w:spacing w:after="0" w:line="480" w:lineRule="auto"/>
        <w:rPr>
          <w:rFonts w:ascii="Times New Roman" w:eastAsia="Times New Roman" w:hAnsi="Times New Roman" w:cs="Times New Roman"/>
        </w:rPr>
      </w:pPr>
    </w:p>
    <w:p w14:paraId="4E9F3459"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5: Action efficiency understanding in pre-reaching infants.</w:t>
      </w:r>
    </w:p>
    <w:p w14:paraId="4CA80B6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This simulation examined whether ALIAS could reproduce the looking behavior of pre-reaching infants in Skerry et al. (2013) when its attention was temporarily heightened during a simulated action phase. Because Skerry et al. (2013) did not report the length of the action phase, their lengths were equated here. The assumption that infants’ reaches approximate straight trajectories during the action phase was implemented by exposing networks only to straight-motion events during this phase.</w:t>
      </w:r>
    </w:p>
    <w:p w14:paraId="65CA5CC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Networks were assigned to one of three conditions: Effective Action, Ineffective Action, or No Training. Those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were assigned either to the Experimental or to the Control condition. The hypothesis that sticky-mitten experience temporarily heightens attention was implemented by increasing the learning rate on all connections to 0.175 during the action phase for networks in the Effective Action condition only. The learning rate returned to its developmental value at the start of habituation. Networks in the Ineffective Action and No Training conditions retained their developmental learning rate throughout training. All other aspects of the simulation were identical across conditions. </w:t>
      </w:r>
    </w:p>
    <w:p w14:paraId="1F567A37" w14:textId="77777777" w:rsidR="006F2F23" w:rsidRDefault="006F2F23">
      <w:pPr>
        <w:spacing w:after="0" w:line="480" w:lineRule="auto"/>
        <w:ind w:firstLine="720"/>
        <w:rPr>
          <w:rFonts w:ascii="Times New Roman" w:eastAsia="Times New Roman" w:hAnsi="Times New Roman" w:cs="Times New Roman"/>
        </w:rPr>
      </w:pPr>
    </w:p>
    <w:p w14:paraId="539B58BC" w14:textId="77777777" w:rsidR="006F2F23"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8"/>
        <w:tblW w:w="11753"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117"/>
        <w:gridCol w:w="6636"/>
      </w:tblGrid>
      <w:tr w:rsidR="006F2F23" w14:paraId="0300EE7A" w14:textId="77777777">
        <w:trPr>
          <w:trHeight w:val="3109"/>
        </w:trPr>
        <w:tc>
          <w:tcPr>
            <w:tcW w:w="5117" w:type="dxa"/>
          </w:tcPr>
          <w:p w14:paraId="09A80C7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2633488" wp14:editId="02E2F60A">
                  <wp:extent cx="3138723" cy="2510977"/>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3138723" cy="2510977"/>
                          </a:xfrm>
                          <a:prstGeom prst="rect">
                            <a:avLst/>
                          </a:prstGeom>
                          <a:ln/>
                        </pic:spPr>
                      </pic:pic>
                    </a:graphicData>
                  </a:graphic>
                </wp:inline>
              </w:drawing>
            </w:r>
          </w:p>
        </w:tc>
        <w:tc>
          <w:tcPr>
            <w:tcW w:w="6636" w:type="dxa"/>
          </w:tcPr>
          <w:p w14:paraId="0EF25DB0"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8058CB0" wp14:editId="67F31879">
                  <wp:extent cx="4115564" cy="2517706"/>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4115564" cy="2517706"/>
                          </a:xfrm>
                          <a:prstGeom prst="rect">
                            <a:avLst/>
                          </a:prstGeom>
                          <a:ln/>
                        </pic:spPr>
                      </pic:pic>
                    </a:graphicData>
                  </a:graphic>
                </wp:inline>
              </w:drawing>
            </w:r>
          </w:p>
        </w:tc>
      </w:tr>
      <w:tr w:rsidR="006F2F23" w14:paraId="4F99F18A" w14:textId="77777777">
        <w:trPr>
          <w:trHeight w:val="3109"/>
        </w:trPr>
        <w:tc>
          <w:tcPr>
            <w:tcW w:w="5117" w:type="dxa"/>
          </w:tcPr>
          <w:p w14:paraId="55C96103"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3FED74F" wp14:editId="1296ED7C">
                  <wp:extent cx="3128305" cy="2502645"/>
                  <wp:effectExtent l="0" t="0" r="0" b="0"/>
                  <wp:docPr id="2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3"/>
                          <a:srcRect/>
                          <a:stretch>
                            <a:fillRect/>
                          </a:stretch>
                        </pic:blipFill>
                        <pic:spPr>
                          <a:xfrm>
                            <a:off x="0" y="0"/>
                            <a:ext cx="3128305" cy="2502645"/>
                          </a:xfrm>
                          <a:prstGeom prst="rect">
                            <a:avLst/>
                          </a:prstGeom>
                          <a:ln/>
                        </pic:spPr>
                      </pic:pic>
                    </a:graphicData>
                  </a:graphic>
                </wp:inline>
              </w:drawing>
            </w:r>
          </w:p>
        </w:tc>
        <w:tc>
          <w:tcPr>
            <w:tcW w:w="6636" w:type="dxa"/>
          </w:tcPr>
          <w:p w14:paraId="299B8DC1"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216438" wp14:editId="730E9EB1">
                  <wp:extent cx="4103137" cy="2510103"/>
                  <wp:effectExtent l="0" t="0" r="0" b="0"/>
                  <wp:docPr id="25"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4"/>
                          <a:srcRect/>
                          <a:stretch>
                            <a:fillRect/>
                          </a:stretch>
                        </pic:blipFill>
                        <pic:spPr>
                          <a:xfrm>
                            <a:off x="0" y="0"/>
                            <a:ext cx="4103137" cy="2510103"/>
                          </a:xfrm>
                          <a:prstGeom prst="rect">
                            <a:avLst/>
                          </a:prstGeom>
                          <a:ln/>
                        </pic:spPr>
                      </pic:pic>
                    </a:graphicData>
                  </a:graphic>
                </wp:inline>
              </w:drawing>
            </w:r>
          </w:p>
        </w:tc>
      </w:tr>
    </w:tbl>
    <w:p w14:paraId="5FD41F7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22.</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Plotted is networks’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Efficient and Inefficient test events in the Experimental (top row) and Control conditions (bottom row), both overall (left column) and across different habituation epochs (right column). The Experimental and Control conditions correspond to Experiments 1, 4, and 5 in Skerry et al. (2013).</w:t>
      </w:r>
    </w:p>
    <w:p w14:paraId="67C7D405" w14:textId="77777777" w:rsidR="006F2F23" w:rsidRDefault="006F2F23">
      <w:pPr>
        <w:spacing w:after="0" w:line="480" w:lineRule="auto"/>
        <w:rPr>
          <w:rFonts w:ascii="Times New Roman" w:eastAsia="Times New Roman" w:hAnsi="Times New Roman" w:cs="Times New Roman"/>
        </w:rPr>
      </w:pPr>
    </w:p>
    <w:p w14:paraId="781DC211" w14:textId="77777777" w:rsidR="006F2F23" w:rsidRDefault="00000000">
      <w:pPr>
        <w:spacing w:after="0" w:line="480" w:lineRule="auto"/>
        <w:rPr>
          <w:rFonts w:ascii="Times New Roman" w:eastAsia="Times New Roman" w:hAnsi="Times New Roman" w:cs="Times New Roman"/>
        </w:rPr>
      </w:pPr>
      <w:r>
        <w:rPr>
          <w:rFonts w:ascii="Times New Roman" w:eastAsia="Times New Roman" w:hAnsi="Times New Roman" w:cs="Times New Roman"/>
        </w:rPr>
        <w:tab/>
        <w:t xml:space="preserve">Figure 22 shows the test performance of ALIAS in </w:t>
      </w:r>
      <w:proofErr w:type="gramStart"/>
      <w:r>
        <w:rPr>
          <w:rFonts w:ascii="Times New Roman" w:eastAsia="Times New Roman" w:hAnsi="Times New Roman" w:cs="Times New Roman"/>
        </w:rPr>
        <w:t>the Effective</w:t>
      </w:r>
      <w:proofErr w:type="gramEnd"/>
      <w:r>
        <w:rPr>
          <w:rFonts w:ascii="Times New Roman" w:eastAsia="Times New Roman" w:hAnsi="Times New Roman" w:cs="Times New Roman"/>
        </w:rPr>
        <w:t xml:space="preserve"> Action </w:t>
      </w:r>
      <w:proofErr w:type="gramStart"/>
      <w:r>
        <w:rPr>
          <w:rFonts w:ascii="Times New Roman" w:eastAsia="Times New Roman" w:hAnsi="Times New Roman" w:cs="Times New Roman"/>
        </w:rPr>
        <w:t>condition</w:t>
      </w:r>
      <w:proofErr w:type="gramEnd"/>
      <w:r>
        <w:rPr>
          <w:rFonts w:ascii="Times New Roman" w:eastAsia="Times New Roman" w:hAnsi="Times New Roman" w:cs="Times New Roman"/>
        </w:rPr>
        <w:t xml:space="preserve">. Results show that networks in the Experimental condition—like the 3-month-olds in the corresponding condition in Skerry et al. (2013)—produced more error to the Inefficient than to the Efficient event. Although networks in the Control condition showed a slight tendency to </w:t>
      </w:r>
      <w:r>
        <w:rPr>
          <w:rFonts w:ascii="Times New Roman" w:eastAsia="Times New Roman" w:hAnsi="Times New Roman" w:cs="Times New Roman"/>
        </w:rPr>
        <w:lastRenderedPageBreak/>
        <w:t xml:space="preserve">produce more error to the Inefficient test event than to the Efficient one—a result stemming from the fact that networks’ behavior is less variable than that of infants’—it is clear from the figure that the effect was substantially attenuated in this condition. </w:t>
      </w:r>
    </w:p>
    <w:p w14:paraId="28AB08DA" w14:textId="77777777" w:rsidR="006F2F23" w:rsidRDefault="006F2F23">
      <w:pPr>
        <w:spacing w:line="480" w:lineRule="auto"/>
        <w:rPr>
          <w:rFonts w:ascii="Times New Roman" w:eastAsia="Times New Roman" w:hAnsi="Times New Roman" w:cs="Times New Roman"/>
        </w:rPr>
      </w:pPr>
    </w:p>
    <w:tbl>
      <w:tblPr>
        <w:tblStyle w:val="af9"/>
        <w:tblW w:w="12042"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226"/>
        <w:gridCol w:w="6816"/>
      </w:tblGrid>
      <w:tr w:rsidR="006F2F23" w14:paraId="79497A2F" w14:textId="77777777">
        <w:trPr>
          <w:trHeight w:val="3968"/>
        </w:trPr>
        <w:tc>
          <w:tcPr>
            <w:tcW w:w="5226" w:type="dxa"/>
          </w:tcPr>
          <w:p w14:paraId="447F64A4"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EAF127" wp14:editId="5A321A97">
                  <wp:extent cx="3231489" cy="2585191"/>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5"/>
                          <a:srcRect/>
                          <a:stretch>
                            <a:fillRect/>
                          </a:stretch>
                        </pic:blipFill>
                        <pic:spPr>
                          <a:xfrm>
                            <a:off x="0" y="0"/>
                            <a:ext cx="3231489" cy="2585191"/>
                          </a:xfrm>
                          <a:prstGeom prst="rect">
                            <a:avLst/>
                          </a:prstGeom>
                          <a:ln/>
                        </pic:spPr>
                      </pic:pic>
                    </a:graphicData>
                  </a:graphic>
                </wp:inline>
              </w:drawing>
            </w:r>
          </w:p>
        </w:tc>
        <w:tc>
          <w:tcPr>
            <w:tcW w:w="6816" w:type="dxa"/>
          </w:tcPr>
          <w:p w14:paraId="6644D26D"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F330040" wp14:editId="729D7894">
                  <wp:extent cx="4241925" cy="2595007"/>
                  <wp:effectExtent l="0" t="0" r="0" b="0"/>
                  <wp:docPr id="2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6"/>
                          <a:srcRect/>
                          <a:stretch>
                            <a:fillRect/>
                          </a:stretch>
                        </pic:blipFill>
                        <pic:spPr>
                          <a:xfrm>
                            <a:off x="0" y="0"/>
                            <a:ext cx="4241925" cy="2595007"/>
                          </a:xfrm>
                          <a:prstGeom prst="rect">
                            <a:avLst/>
                          </a:prstGeom>
                          <a:ln/>
                        </pic:spPr>
                      </pic:pic>
                    </a:graphicData>
                  </a:graphic>
                </wp:inline>
              </w:drawing>
            </w:r>
          </w:p>
        </w:tc>
      </w:tr>
    </w:tbl>
    <w:p w14:paraId="12E14E12"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Figure 23.</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No</w:t>
      </w:r>
      <w:proofErr w:type="gramEnd"/>
      <w:r>
        <w:rPr>
          <w:rFonts w:ascii="Times New Roman" w:eastAsia="Times New Roman" w:hAnsi="Times New Roman" w:cs="Times New Roman"/>
          <w:i/>
          <w:iCs/>
          <w:color w:val="000000"/>
        </w:rPr>
        <w:t xml:space="preserve"> Training condition. </w:t>
      </w:r>
      <w:r>
        <w:rPr>
          <w:rFonts w:ascii="Times New Roman" w:eastAsia="Times New Roman" w:hAnsi="Times New Roman" w:cs="Times New Roman"/>
          <w:color w:val="000000"/>
        </w:rPr>
        <w:t>The overall error produced to the Efficient and Inefficient test events is shown on the left, and the error produced across different habituation epochs is shown on the right. This condition corresponds to Experiment 3 in Skerry et al. (2013).</w:t>
      </w:r>
    </w:p>
    <w:p w14:paraId="687CB8B7" w14:textId="77777777" w:rsidR="006F2F23" w:rsidRDefault="006F2F23"/>
    <w:p w14:paraId="13C73CD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23 shows the performance of networks in the No Training condition. As in the Control condition above, networks produced slightly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the Inefficient than to the Efficient test event, but again there was considerable attenuation of this effect relative to that seen in the Experimental condition. If prior or pretraining experience with constrained motion was sufficient for networks to associate arced motion with barriers and then to detect violations of such associations at test, then the performance profiles of networks should have overlapped to a greater degree across conditions. </w:t>
      </w:r>
    </w:p>
    <w:p w14:paraId="5D74ECD3" w14:textId="77777777" w:rsidR="006F2F23" w:rsidRDefault="006F2F23">
      <w:pPr>
        <w:spacing w:line="480" w:lineRule="auto"/>
        <w:rPr>
          <w:rFonts w:ascii="Times New Roman" w:eastAsia="Times New Roman" w:hAnsi="Times New Roman" w:cs="Times New Roman"/>
        </w:rPr>
      </w:pPr>
    </w:p>
    <w:tbl>
      <w:tblPr>
        <w:tblStyle w:val="afa"/>
        <w:tblW w:w="11454" w:type="dxa"/>
        <w:tblInd w:w="-1085" w:type="dxa"/>
        <w:tblBorders>
          <w:top w:val="nil"/>
          <w:left w:val="nil"/>
          <w:bottom w:val="nil"/>
          <w:right w:val="nil"/>
          <w:insideH w:val="nil"/>
          <w:insideV w:val="nil"/>
        </w:tblBorders>
        <w:tblLayout w:type="fixed"/>
        <w:tblLook w:val="0400" w:firstRow="0" w:lastRow="0" w:firstColumn="0" w:lastColumn="0" w:noHBand="0" w:noVBand="1"/>
      </w:tblPr>
      <w:tblGrid>
        <w:gridCol w:w="5028"/>
        <w:gridCol w:w="6426"/>
      </w:tblGrid>
      <w:tr w:rsidR="006F2F23" w14:paraId="100D74D4" w14:textId="77777777">
        <w:trPr>
          <w:trHeight w:val="3833"/>
        </w:trPr>
        <w:tc>
          <w:tcPr>
            <w:tcW w:w="5028" w:type="dxa"/>
          </w:tcPr>
          <w:p w14:paraId="69AE3EC1"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1E27C419" wp14:editId="769AB025">
                  <wp:extent cx="3043764" cy="2435010"/>
                  <wp:effectExtent l="0" t="0" r="0" b="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7"/>
                          <a:srcRect/>
                          <a:stretch>
                            <a:fillRect/>
                          </a:stretch>
                        </pic:blipFill>
                        <pic:spPr>
                          <a:xfrm>
                            <a:off x="0" y="0"/>
                            <a:ext cx="3043764" cy="2435010"/>
                          </a:xfrm>
                          <a:prstGeom prst="rect">
                            <a:avLst/>
                          </a:prstGeom>
                          <a:ln/>
                        </pic:spPr>
                      </pic:pic>
                    </a:graphicData>
                  </a:graphic>
                </wp:inline>
              </w:drawing>
            </w:r>
          </w:p>
        </w:tc>
        <w:tc>
          <w:tcPr>
            <w:tcW w:w="6426" w:type="dxa"/>
          </w:tcPr>
          <w:p w14:paraId="5CAA65BA" w14:textId="77777777" w:rsidR="006F2F23" w:rsidRDefault="00000000">
            <w:pPr>
              <w:pBdr>
                <w:top w:val="nil"/>
                <w:left w:val="nil"/>
                <w:bottom w:val="nil"/>
                <w:right w:val="nil"/>
                <w:between w:val="nil"/>
              </w:pBdr>
              <w:spacing w:after="200"/>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drawing>
                <wp:inline distT="0" distB="0" distL="0" distR="0" wp14:anchorId="27647D12" wp14:editId="551ED84E">
                  <wp:extent cx="3960380" cy="2422771"/>
                  <wp:effectExtent l="0" t="0" r="0" b="0"/>
                  <wp:docPr id="2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8"/>
                          <a:srcRect/>
                          <a:stretch>
                            <a:fillRect/>
                          </a:stretch>
                        </pic:blipFill>
                        <pic:spPr>
                          <a:xfrm>
                            <a:off x="0" y="0"/>
                            <a:ext cx="3960380" cy="2422771"/>
                          </a:xfrm>
                          <a:prstGeom prst="rect">
                            <a:avLst/>
                          </a:prstGeom>
                          <a:ln/>
                        </pic:spPr>
                      </pic:pic>
                    </a:graphicData>
                  </a:graphic>
                </wp:inline>
              </w:drawing>
            </w:r>
          </w:p>
        </w:tc>
      </w:tr>
    </w:tbl>
    <w:p w14:paraId="6F479DD6"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24.</w:t>
      </w:r>
      <w:r>
        <w:rPr>
          <w:i/>
          <w:iCs/>
          <w:color w:val="000000"/>
          <w:sz w:val="18"/>
          <w:szCs w:val="18"/>
        </w:rPr>
        <w:t xml:space="preserve"> </w:t>
      </w:r>
      <w:r>
        <w:rPr>
          <w:rFonts w:ascii="Times New Roman" w:eastAsia="Times New Roman" w:hAnsi="Times New Roman" w:cs="Times New Roman"/>
          <w:i/>
          <w:iCs/>
          <w:color w:val="000000"/>
        </w:rPr>
        <w:t xml:space="preserve">Performance of ALIAS in </w:t>
      </w:r>
      <w:proofErr w:type="gramStart"/>
      <w:r>
        <w:rPr>
          <w:rFonts w:ascii="Times New Roman" w:eastAsia="Times New Roman" w:hAnsi="Times New Roman" w:cs="Times New Roman"/>
          <w:i/>
          <w:iCs/>
          <w:color w:val="000000"/>
        </w:rPr>
        <w:t>the Ineffective</w:t>
      </w:r>
      <w:proofErr w:type="gramEnd"/>
      <w:r>
        <w:rPr>
          <w:rFonts w:ascii="Times New Roman" w:eastAsia="Times New Roman" w:hAnsi="Times New Roman" w:cs="Times New Roman"/>
          <w:i/>
          <w:iCs/>
          <w:color w:val="000000"/>
        </w:rPr>
        <w:t xml:space="preserve"> Action condition.</w:t>
      </w:r>
      <w:r>
        <w:rPr>
          <w:rFonts w:ascii="Times New Roman" w:eastAsia="Times New Roman" w:hAnsi="Times New Roman" w:cs="Times New Roman"/>
          <w:color w:val="000000"/>
        </w:rPr>
        <w:t xml:space="preserve"> The overall error produced to the Efficient and Inefficient test events is shown on the left, and the error produced across different habituation epochs is shown on the right. This condition corresponds to Experiment 2 in Skerry et al. (2013).</w:t>
      </w:r>
    </w:p>
    <w:p w14:paraId="297F1D1E" w14:textId="77777777" w:rsidR="006F2F23" w:rsidRDefault="006F2F23">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p>
    <w:p w14:paraId="0C8CE3D7"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24 shows the performance of networks in the Ineffective Action condition. As with networks in the Control and No Training conditions above, there was a slight, but again substantially attenuated, tendency to produce more error to the Inefficient than to the Efficient test event. These results indicate that enhanced encoding of straight reach trajectories is necessary to demonstrate a pattern of performance that mirrors that of older networks (and by analogy, that of older infants); participation in an action phase is clearly insufficient.  </w:t>
      </w:r>
    </w:p>
    <w:p w14:paraId="140D5DB7" w14:textId="77777777" w:rsidR="006F2F23" w:rsidRDefault="006F2F23">
      <w:pPr>
        <w:spacing w:line="480" w:lineRule="auto"/>
        <w:rPr>
          <w:rFonts w:ascii="Times New Roman" w:eastAsia="Times New Roman" w:hAnsi="Times New Roman" w:cs="Times New Roman"/>
        </w:rPr>
      </w:pPr>
    </w:p>
    <w:tbl>
      <w:tblPr>
        <w:tblStyle w:val="afb"/>
        <w:tblW w:w="11774"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887"/>
        <w:gridCol w:w="5887"/>
      </w:tblGrid>
      <w:tr w:rsidR="006F2F23" w14:paraId="15E33355" w14:textId="77777777">
        <w:trPr>
          <w:trHeight w:val="4032"/>
        </w:trPr>
        <w:tc>
          <w:tcPr>
            <w:tcW w:w="5887" w:type="dxa"/>
          </w:tcPr>
          <w:p w14:paraId="5FD0E835"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B5D0E17" wp14:editId="5BF25575">
                  <wp:extent cx="3619622" cy="2895697"/>
                  <wp:effectExtent l="0" t="0" r="0" b="0"/>
                  <wp:docPr id="30"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9"/>
                          <a:srcRect/>
                          <a:stretch>
                            <a:fillRect/>
                          </a:stretch>
                        </pic:blipFill>
                        <pic:spPr>
                          <a:xfrm>
                            <a:off x="0" y="0"/>
                            <a:ext cx="3619622" cy="2895697"/>
                          </a:xfrm>
                          <a:prstGeom prst="rect">
                            <a:avLst/>
                          </a:prstGeom>
                          <a:ln/>
                        </pic:spPr>
                      </pic:pic>
                    </a:graphicData>
                  </a:graphic>
                </wp:inline>
              </w:drawing>
            </w:r>
          </w:p>
        </w:tc>
        <w:tc>
          <w:tcPr>
            <w:tcW w:w="5887" w:type="dxa"/>
          </w:tcPr>
          <w:p w14:paraId="6C6911F7" w14:textId="77777777" w:rsidR="006F2F23" w:rsidRDefault="00000000">
            <w:pPr>
              <w:keepNext/>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AC53FD1" wp14:editId="7C2E3EB7">
                  <wp:extent cx="3623528" cy="2898821"/>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0"/>
                          <a:srcRect/>
                          <a:stretch>
                            <a:fillRect/>
                          </a:stretch>
                        </pic:blipFill>
                        <pic:spPr>
                          <a:xfrm>
                            <a:off x="0" y="0"/>
                            <a:ext cx="3623528" cy="2898821"/>
                          </a:xfrm>
                          <a:prstGeom prst="rect">
                            <a:avLst/>
                          </a:prstGeom>
                          <a:ln/>
                        </pic:spPr>
                      </pic:pic>
                    </a:graphicData>
                  </a:graphic>
                </wp:inline>
              </w:drawing>
            </w:r>
          </w:p>
        </w:tc>
      </w:tr>
    </w:tbl>
    <w:p w14:paraId="48350E6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25.</w:t>
      </w:r>
      <w:r>
        <w:rPr>
          <w:i/>
          <w:iCs/>
          <w:color w:val="000000"/>
          <w:sz w:val="18"/>
          <w:szCs w:val="18"/>
        </w:rPr>
        <w:t xml:space="preserve"> </w:t>
      </w:r>
      <w:r>
        <w:rPr>
          <w:rFonts w:ascii="Times New Roman" w:eastAsia="Times New Roman" w:hAnsi="Times New Roman" w:cs="Times New Roman"/>
          <w:i/>
          <w:iCs/>
          <w:color w:val="000000"/>
        </w:rPr>
        <w:t>Performance of ALIAS in the Experimental (left) and Control (right) conditions of the Effective Action condition.</w:t>
      </w:r>
      <w:r>
        <w:rPr>
          <w:rFonts w:ascii="Times New Roman" w:eastAsia="Times New Roman" w:hAnsi="Times New Roman" w:cs="Times New Roman"/>
          <w:color w:val="000000"/>
        </w:rPr>
        <w:t xml:space="preserve"> These data correspond to a version of ALIAS in which the attentional boost extends into the habituation phase.</w:t>
      </w:r>
    </w:p>
    <w:p w14:paraId="367787E6" w14:textId="77777777" w:rsidR="006F2F23" w:rsidRDefault="006F2F23">
      <w:pPr>
        <w:spacing w:after="0" w:line="480" w:lineRule="auto"/>
        <w:ind w:firstLine="720"/>
        <w:rPr>
          <w:rFonts w:ascii="Times New Roman" w:eastAsia="Times New Roman" w:hAnsi="Times New Roman" w:cs="Times New Roman"/>
        </w:rPr>
      </w:pPr>
    </w:p>
    <w:p w14:paraId="22A558A6"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One of the critical assumptions of ALIAS is that the attentional boost afforded by sticky mittens experience must be short-lived for networks to produce a mature error pattern. To evaluate the necessity of this assumption, the attentional boost extended into habituation for a different set of networks. Figure 25 shows that now networks </w:t>
      </w:r>
      <w:proofErr w:type="gramStart"/>
      <w:r>
        <w:rPr>
          <w:rFonts w:ascii="Times New Roman" w:eastAsia="Times New Roman" w:hAnsi="Times New Roman" w:cs="Times New Roman"/>
        </w:rPr>
        <w:t>produced</w:t>
      </w:r>
      <w:proofErr w:type="gramEnd"/>
      <w:r>
        <w:rPr>
          <w:rFonts w:ascii="Times New Roman" w:eastAsia="Times New Roman" w:hAnsi="Times New Roman" w:cs="Times New Roman"/>
        </w:rPr>
        <w:t xml:space="preserve">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to </w:t>
      </w:r>
      <w:proofErr w:type="gramStart"/>
      <w:r>
        <w:rPr>
          <w:rFonts w:ascii="Times New Roman" w:eastAsia="Times New Roman" w:hAnsi="Times New Roman" w:cs="Times New Roman"/>
        </w:rPr>
        <w:t>the</w:t>
      </w:r>
      <w:r>
        <w:rPr>
          <w:rFonts w:ascii="Times New Roman" w:eastAsia="Times New Roman" w:hAnsi="Times New Roman" w:cs="Times New Roman"/>
          <w:i/>
          <w:iCs/>
        </w:rPr>
        <w:t xml:space="preserve"> </w:t>
      </w:r>
      <w:r>
        <w:rPr>
          <w:rFonts w:ascii="Times New Roman" w:eastAsia="Times New Roman" w:hAnsi="Times New Roman" w:cs="Times New Roman"/>
        </w:rPr>
        <w:t>Efficient</w:t>
      </w:r>
      <w:proofErr w:type="gramEnd"/>
      <w:r>
        <w:rPr>
          <w:rFonts w:ascii="Times New Roman" w:eastAsia="Times New Roman" w:hAnsi="Times New Roman" w:cs="Times New Roman"/>
        </w:rPr>
        <w:t xml:space="preserve"> than to </w:t>
      </w:r>
      <w:proofErr w:type="gramStart"/>
      <w:r>
        <w:rPr>
          <w:rFonts w:ascii="Times New Roman" w:eastAsia="Times New Roman" w:hAnsi="Times New Roman" w:cs="Times New Roman"/>
        </w:rPr>
        <w:t>the Inefficient</w:t>
      </w:r>
      <w:proofErr w:type="gramEnd"/>
      <w:r>
        <w:rPr>
          <w:rFonts w:ascii="Times New Roman" w:eastAsia="Times New Roman" w:hAnsi="Times New Roman" w:cs="Times New Roman"/>
        </w:rPr>
        <w:t xml:space="preserve"> test event. Although networks formed a robust representation of straight motion during the action phase, the fact that their attention remained heightened during habituation meant that this representation was overridden by a robust arced motion-obstacle association. Consequently, the Inefficient test event was more consistent with this representation than the Efficient test event. Production of error patterns like those of older networks thus depends on an ephemeral attentional boost.</w:t>
      </w:r>
    </w:p>
    <w:p w14:paraId="3C46A6D5"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finding makes an interesting and even counterintuitive prediction: Infants should look longer at the Efficient than at the Inefficient test event following experimental </w:t>
      </w:r>
      <w:r>
        <w:rPr>
          <w:rFonts w:ascii="Times New Roman" w:eastAsia="Times New Roman" w:hAnsi="Times New Roman" w:cs="Times New Roman"/>
        </w:rPr>
        <w:lastRenderedPageBreak/>
        <w:t xml:space="preserve">manipulations that induce a prolonged attentional boost. Additionally, the model predicts that if the action phase </w:t>
      </w:r>
      <w:r>
        <w:rPr>
          <w:rFonts w:ascii="Times New Roman" w:eastAsia="Times New Roman" w:hAnsi="Times New Roman" w:cs="Times New Roman"/>
          <w:i/>
          <w:iCs/>
        </w:rPr>
        <w:t xml:space="preserve">follows </w:t>
      </w:r>
      <w:r>
        <w:rPr>
          <w:rFonts w:ascii="Times New Roman" w:eastAsia="Times New Roman" w:hAnsi="Times New Roman" w:cs="Times New Roman"/>
        </w:rPr>
        <w:t>rather than precedes habituation, infants should show the canonical pattern of longer looking to the Inefficient than to the Efficient test event. In both cases</w:t>
      </w:r>
      <w:proofErr w:type="gramStart"/>
      <w:r>
        <w:rPr>
          <w:rFonts w:ascii="Times New Roman" w:eastAsia="Times New Roman" w:hAnsi="Times New Roman" w:cs="Times New Roman"/>
        </w:rPr>
        <w:t>, longer</w:t>
      </w:r>
      <w:proofErr w:type="gramEnd"/>
      <w:r>
        <w:rPr>
          <w:rFonts w:ascii="Times New Roman" w:eastAsia="Times New Roman" w:hAnsi="Times New Roman" w:cs="Times New Roman"/>
        </w:rPr>
        <w:t xml:space="preserve"> looking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one event or the other would be due to competing low-level motion representations rather than consideration of each event’s relative efficiency. </w:t>
      </w:r>
    </w:p>
    <w:p w14:paraId="7D7AFAA3" w14:textId="77777777" w:rsidR="006F2F23" w:rsidRDefault="006F2F23">
      <w:pPr>
        <w:spacing w:line="480" w:lineRule="auto"/>
        <w:ind w:firstLine="720"/>
        <w:rPr>
          <w:rFonts w:ascii="Times New Roman" w:eastAsia="Times New Roman" w:hAnsi="Times New Roman" w:cs="Times New Roman"/>
        </w:rPr>
      </w:pPr>
    </w:p>
    <w:tbl>
      <w:tblPr>
        <w:tblStyle w:val="afc"/>
        <w:tblW w:w="1170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5810"/>
        <w:gridCol w:w="5894"/>
      </w:tblGrid>
      <w:tr w:rsidR="006F2F23" w14:paraId="2DFF5901" w14:textId="77777777">
        <w:trPr>
          <w:trHeight w:val="3777"/>
        </w:trPr>
        <w:tc>
          <w:tcPr>
            <w:tcW w:w="5810" w:type="dxa"/>
          </w:tcPr>
          <w:p w14:paraId="71EE476F"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528F42F" wp14:editId="5F2C72BC">
                  <wp:extent cx="3239372" cy="2591498"/>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3239372" cy="2591498"/>
                          </a:xfrm>
                          <a:prstGeom prst="rect">
                            <a:avLst/>
                          </a:prstGeom>
                          <a:ln/>
                        </pic:spPr>
                      </pic:pic>
                    </a:graphicData>
                  </a:graphic>
                </wp:inline>
              </w:drawing>
            </w:r>
          </w:p>
        </w:tc>
        <w:tc>
          <w:tcPr>
            <w:tcW w:w="5894" w:type="dxa"/>
          </w:tcPr>
          <w:p w14:paraId="5D374FD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3A70F6" wp14:editId="280C5EF7">
                  <wp:extent cx="3196576" cy="255726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2"/>
                          <a:srcRect/>
                          <a:stretch>
                            <a:fillRect/>
                          </a:stretch>
                        </pic:blipFill>
                        <pic:spPr>
                          <a:xfrm>
                            <a:off x="0" y="0"/>
                            <a:ext cx="3196576" cy="2557260"/>
                          </a:xfrm>
                          <a:prstGeom prst="rect">
                            <a:avLst/>
                          </a:prstGeom>
                          <a:ln/>
                        </pic:spPr>
                      </pic:pic>
                    </a:graphicData>
                  </a:graphic>
                </wp:inline>
              </w:drawing>
            </w:r>
          </w:p>
        </w:tc>
      </w:tr>
      <w:tr w:rsidR="006F2F23" w14:paraId="668534FE" w14:textId="77777777">
        <w:trPr>
          <w:trHeight w:val="259"/>
        </w:trPr>
        <w:tc>
          <w:tcPr>
            <w:tcW w:w="5810" w:type="dxa"/>
          </w:tcPr>
          <w:p w14:paraId="38064A0A"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DA3FC26" wp14:editId="170D3684">
                  <wp:extent cx="3277900" cy="2622320"/>
                  <wp:effectExtent l="0" t="0" r="0" b="0"/>
                  <wp:docPr id="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3277900" cy="2622320"/>
                          </a:xfrm>
                          <a:prstGeom prst="rect">
                            <a:avLst/>
                          </a:prstGeom>
                          <a:ln/>
                        </pic:spPr>
                      </pic:pic>
                    </a:graphicData>
                  </a:graphic>
                </wp:inline>
              </w:drawing>
            </w:r>
          </w:p>
        </w:tc>
        <w:tc>
          <w:tcPr>
            <w:tcW w:w="5894" w:type="dxa"/>
          </w:tcPr>
          <w:p w14:paraId="645330D5" w14:textId="77777777" w:rsidR="006F2F23" w:rsidRDefault="006F2F23">
            <w:pPr>
              <w:spacing w:line="480" w:lineRule="auto"/>
              <w:rPr>
                <w:rFonts w:ascii="Times New Roman" w:eastAsia="Times New Roman" w:hAnsi="Times New Roman" w:cs="Times New Roman"/>
              </w:rPr>
            </w:pPr>
          </w:p>
        </w:tc>
      </w:tr>
      <w:tr w:rsidR="006F2F23" w14:paraId="5B9E1516" w14:textId="77777777">
        <w:trPr>
          <w:trHeight w:val="259"/>
        </w:trPr>
        <w:tc>
          <w:tcPr>
            <w:tcW w:w="5810" w:type="dxa"/>
          </w:tcPr>
          <w:p w14:paraId="1F4ED768" w14:textId="77777777" w:rsidR="006F2F23" w:rsidRDefault="00000000">
            <w:pPr>
              <w:spacing w:line="480" w:lineRule="auto"/>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0F13167" wp14:editId="7001393F">
                  <wp:extent cx="3285468" cy="2628374"/>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4"/>
                          <a:srcRect/>
                          <a:stretch>
                            <a:fillRect/>
                          </a:stretch>
                        </pic:blipFill>
                        <pic:spPr>
                          <a:xfrm>
                            <a:off x="0" y="0"/>
                            <a:ext cx="3285468" cy="2628374"/>
                          </a:xfrm>
                          <a:prstGeom prst="rect">
                            <a:avLst/>
                          </a:prstGeom>
                          <a:ln/>
                        </pic:spPr>
                      </pic:pic>
                    </a:graphicData>
                  </a:graphic>
                </wp:inline>
              </w:drawing>
            </w:r>
          </w:p>
        </w:tc>
        <w:tc>
          <w:tcPr>
            <w:tcW w:w="5894" w:type="dxa"/>
          </w:tcPr>
          <w:p w14:paraId="2EAA702C" w14:textId="77777777" w:rsidR="006F2F23" w:rsidRDefault="006F2F23">
            <w:pPr>
              <w:keepNext/>
              <w:spacing w:line="480" w:lineRule="auto"/>
              <w:rPr>
                <w:rFonts w:ascii="Times New Roman" w:eastAsia="Times New Roman" w:hAnsi="Times New Roman" w:cs="Times New Roman"/>
              </w:rPr>
            </w:pPr>
          </w:p>
        </w:tc>
      </w:tr>
    </w:tbl>
    <w:p w14:paraId="5A9BC34F"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26.</w:t>
      </w:r>
      <w:r>
        <w:rPr>
          <w:i/>
          <w:iCs/>
          <w:color w:val="000000"/>
          <w:sz w:val="18"/>
          <w:szCs w:val="18"/>
        </w:rPr>
        <w:t xml:space="preserve"> </w:t>
      </w:r>
      <w:r>
        <w:rPr>
          <w:rFonts w:ascii="Times New Roman" w:eastAsia="Times New Roman" w:hAnsi="Times New Roman" w:cs="Times New Roman"/>
          <w:i/>
          <w:iCs/>
          <w:color w:val="000000"/>
        </w:rPr>
        <w:t>Performance of ALIAS-2</w:t>
      </w:r>
      <w:r>
        <w:rPr>
          <w:rFonts w:ascii="Times New Roman" w:eastAsia="Times New Roman" w:hAnsi="Times New Roman" w:cs="Times New Roman"/>
          <w:color w:val="000000"/>
        </w:rPr>
        <w:t xml:space="preserve">. Plotted in the top row is the overall mean error to the Efficient and Inefficient test events for networks assigned either to the Experimental (top left) or to the Control condition (top right) in the Effective Action condition. Plotted in the middle row is the overall </w:t>
      </w:r>
      <w:proofErr w:type="gramStart"/>
      <w:r>
        <w:rPr>
          <w:rFonts w:ascii="Times New Roman" w:eastAsia="Times New Roman" w:hAnsi="Times New Roman" w:cs="Times New Roman"/>
          <w:color w:val="000000"/>
        </w:rPr>
        <w:t>mean</w:t>
      </w:r>
      <w:proofErr w:type="gramEnd"/>
      <w:r>
        <w:rPr>
          <w:rFonts w:ascii="Times New Roman" w:eastAsia="Times New Roman" w:hAnsi="Times New Roman" w:cs="Times New Roman"/>
          <w:color w:val="000000"/>
        </w:rPr>
        <w:t xml:space="preserve"> error to the two test events for networks assigned to the Ineffective Action condition. Plotted in the bottom row is the overall mean error to the two test events for networks assigned to the No Training condition. The No Training condition corresponds to Experiment 2 in Skerry et al. (2013).</w:t>
      </w:r>
    </w:p>
    <w:p w14:paraId="24A09122" w14:textId="77777777" w:rsidR="006F2F23" w:rsidRDefault="006F2F23">
      <w:pPr>
        <w:spacing w:after="0" w:line="480" w:lineRule="auto"/>
        <w:ind w:firstLine="720"/>
        <w:rPr>
          <w:rFonts w:ascii="Times New Roman" w:eastAsia="Times New Roman" w:hAnsi="Times New Roman" w:cs="Times New Roman"/>
        </w:rPr>
      </w:pPr>
    </w:p>
    <w:p w14:paraId="3EEC7A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final analysis focused on ALIAS-2 to assess to what extent ALIAS’s ability to reproduce the fifth target finding was due to associative learning alone. The attentional boost remained short-lived for this simulation. Figure 26 shows that networks in the Effective Action Experimental condition showed greater error to the Inefficient than to the Efficient test event. As with ALIAS above, this effect was substantially attenuated in the Ineffective and No Training conditions. Thus, associative learning alone is sufficient to replicate the full pattern of behavior associated with the fifth target finding. </w:t>
      </w:r>
    </w:p>
    <w:p w14:paraId="111ACC3C"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Taken together, the present simulations demonstrate that a domain-general associative learning mechanism operating over differentially salient surface features is sufficient to capture key findings in the literature on infant action efficiency understanding. ALIAS's—and to a lesser extent, ALIAS-2’s—ability to capture such a diverse set of findings also undermines the claim </w:t>
      </w:r>
      <w:r>
        <w:rPr>
          <w:rFonts w:ascii="Times New Roman" w:eastAsia="Times New Roman" w:hAnsi="Times New Roman" w:cs="Times New Roman"/>
        </w:rPr>
        <w:lastRenderedPageBreak/>
        <w:t xml:space="preserve">that infants process actions in terms of special-purpose mechanisms and abstract, conceptually rich representations of goals, constraints, efficiency, cost, and subjective utility. These simulations are theoretically significant because they demonstrate how behavior that looks </w:t>
      </w:r>
      <w:proofErr w:type="gramStart"/>
      <w:r>
        <w:rPr>
          <w:rFonts w:ascii="Times New Roman" w:eastAsia="Times New Roman" w:hAnsi="Times New Roman" w:cs="Times New Roman"/>
        </w:rPr>
        <w:t>like it</w:t>
      </w:r>
      <w:proofErr w:type="gramEnd"/>
      <w:r>
        <w:rPr>
          <w:rFonts w:ascii="Times New Roman" w:eastAsia="Times New Roman" w:hAnsi="Times New Roman" w:cs="Times New Roman"/>
        </w:rPr>
        <w:t xml:space="preserve"> derives from sophisticated capacities can emerge from simple, albeit extremely powerful, learning mechanisms. At a broader level, these simulations indicate that complex behavior does not imply equally complex mechanisms. </w:t>
      </w:r>
    </w:p>
    <w:p w14:paraId="4C19CB4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same time, a complete account of infants’ looking behavior should do more than capture existing data. It should also be generative. Although two predictions have already been discussed, the final section reports two additional simulations in which ALIAS’s behavior is evaluated following its placement in novel situations. The model’s behavior in these situations serves as predictions for how infants should perform in behavioral analogues of these situations and constitute a set of predictions capable of helping researchers decide among the current account and the domain-specific alternatives.  </w:t>
      </w:r>
    </w:p>
    <w:p w14:paraId="14972B99" w14:textId="77777777" w:rsidR="006F2F23" w:rsidRDefault="006F2F23">
      <w:pPr>
        <w:spacing w:after="0" w:line="480" w:lineRule="auto"/>
        <w:ind w:firstLine="720"/>
        <w:rPr>
          <w:rFonts w:ascii="Times New Roman" w:eastAsia="Times New Roman" w:hAnsi="Times New Roman" w:cs="Times New Roman"/>
        </w:rPr>
      </w:pPr>
    </w:p>
    <w:p w14:paraId="06703BCA"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Model predictions</w:t>
      </w:r>
    </w:p>
    <w:p w14:paraId="1AB2787F"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6: Networks’ behavior following experience with suspended obstacles</w:t>
      </w:r>
    </w:p>
    <w:p w14:paraId="4BC557E2" w14:textId="77777777" w:rsidR="006F2F23" w:rsidRDefault="006F2F23">
      <w:pPr>
        <w:spacing w:line="480" w:lineRule="auto"/>
        <w:rPr>
          <w:rFonts w:ascii="Times New Roman" w:eastAsia="Times New Roman" w:hAnsi="Times New Roman" w:cs="Times New Roman"/>
          <w:b/>
          <w:bCs/>
        </w:rPr>
      </w:pPr>
    </w:p>
    <w:tbl>
      <w:tblPr>
        <w:tblStyle w:val="afd"/>
        <w:tblW w:w="12084" w:type="dxa"/>
        <w:tblInd w:w="-1281" w:type="dxa"/>
        <w:tblBorders>
          <w:top w:val="nil"/>
          <w:left w:val="nil"/>
          <w:bottom w:val="nil"/>
          <w:right w:val="nil"/>
          <w:insideH w:val="nil"/>
          <w:insideV w:val="nil"/>
        </w:tblBorders>
        <w:tblLayout w:type="fixed"/>
        <w:tblLook w:val="0400" w:firstRow="0" w:lastRow="0" w:firstColumn="0" w:lastColumn="0" w:noHBand="0" w:noVBand="1"/>
      </w:tblPr>
      <w:tblGrid>
        <w:gridCol w:w="12084"/>
      </w:tblGrid>
      <w:tr w:rsidR="006F2F23" w14:paraId="7CBF615F" w14:textId="77777777">
        <w:trPr>
          <w:trHeight w:val="3395"/>
        </w:trPr>
        <w:tc>
          <w:tcPr>
            <w:tcW w:w="12084" w:type="dxa"/>
          </w:tcPr>
          <w:p w14:paraId="6CC95855" w14:textId="77777777" w:rsidR="006F2F23" w:rsidRDefault="00000000">
            <w:pPr>
              <w:keepNext/>
              <w:spacing w:line="480" w:lineRule="auto"/>
            </w:pPr>
            <w:r>
              <w:rPr>
                <w:noProof/>
              </w:rPr>
              <w:lastRenderedPageBreak/>
              <w:drawing>
                <wp:inline distT="0" distB="0" distL="0" distR="0" wp14:anchorId="79FE1766" wp14:editId="23D4AB74">
                  <wp:extent cx="7472318" cy="2135519"/>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5"/>
                          <a:srcRect/>
                          <a:stretch>
                            <a:fillRect/>
                          </a:stretch>
                        </pic:blipFill>
                        <pic:spPr>
                          <a:xfrm>
                            <a:off x="0" y="0"/>
                            <a:ext cx="7472318" cy="2135519"/>
                          </a:xfrm>
                          <a:prstGeom prst="rect">
                            <a:avLst/>
                          </a:prstGeom>
                          <a:ln/>
                        </pic:spPr>
                      </pic:pic>
                    </a:graphicData>
                  </a:graphic>
                </wp:inline>
              </w:drawing>
            </w:r>
          </w:p>
          <w:p w14:paraId="034EAFEA" w14:textId="77777777" w:rsidR="006F2F23" w:rsidRDefault="00000000">
            <w:pPr>
              <w:pBdr>
                <w:top w:val="nil"/>
                <w:left w:val="nil"/>
                <w:bottom w:val="nil"/>
                <w:right w:val="nil"/>
                <w:between w:val="nil"/>
              </w:pBdr>
              <w:spacing w:after="200"/>
              <w:rPr>
                <w:rFonts w:ascii="Times New Roman" w:eastAsia="Times New Roman" w:hAnsi="Times New Roman" w:cs="Times New Roman"/>
                <w:b/>
                <w:bCs/>
                <w:i/>
                <w:iCs/>
                <w:color w:val="0E2841"/>
                <w:sz w:val="18"/>
                <w:szCs w:val="18"/>
              </w:rPr>
            </w:pPr>
            <w:r>
              <w:rPr>
                <w:rFonts w:ascii="Times New Roman" w:eastAsia="Times New Roman" w:hAnsi="Times New Roman" w:cs="Times New Roman"/>
                <w:b/>
                <w:bCs/>
                <w:color w:val="000000"/>
              </w:rPr>
              <w:t>Figure 27.</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first prediction.</w:t>
            </w:r>
            <w:r>
              <w:rPr>
                <w:rFonts w:ascii="Times New Roman" w:eastAsia="Times New Roman" w:hAnsi="Times New Roman" w:cs="Times New Roman"/>
                <w:color w:val="000000"/>
              </w:rPr>
              <w:t xml:space="preserve"> (A) In the suspended central obstacle event, the first object jumps under a suspended, centrally located barrier before it comes to rest next to the second object; (B) in the suspended peripheral obstacle event, the first object jumps beside the suspended barrier before coming to rest next to the second one. The barrier is removed at test for both events, and infants observe either an efficient straight-path action or an inefficient arced-path action. </w:t>
            </w:r>
          </w:p>
        </w:tc>
      </w:tr>
    </w:tbl>
    <w:p w14:paraId="550770A6" w14:textId="77777777" w:rsidR="006F2F23" w:rsidRDefault="006F2F23">
      <w:pPr>
        <w:tabs>
          <w:tab w:val="left" w:pos="7378"/>
        </w:tabs>
        <w:spacing w:after="0" w:line="480" w:lineRule="auto"/>
        <w:ind w:firstLine="720"/>
        <w:rPr>
          <w:rFonts w:ascii="Times New Roman" w:eastAsia="Times New Roman" w:hAnsi="Times New Roman" w:cs="Times New Roman"/>
          <w:b/>
          <w:bCs/>
          <w:color w:val="0E2841"/>
        </w:rPr>
      </w:pPr>
    </w:p>
    <w:p w14:paraId="197979E2"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 potentially interesting question that the current simulations raise concerns how ALIAS would respond if it were habituated to an event in which a barrier was located directly above rather than beneath an arced motion trajectory. Figure 27 depicts what this would look like. If the current account is correct that an obstacle’s spatial proximity to arced motion is key to explaining infants’ looking behaviors, then networks (and by hypothesis, infants) should respond identically to networks habituated to canonical constrained action. This simulation was identical to Simulation 1a with two exceptions. First, a fourth unit—that represented a position directly above arced motion—was added to the Obstacle Horizontal Position input and output groups. Second, because the previous results were robust to the number of habituation epochs, the length of the habituation phase was reduced to eight epochs. Obstacles were only in the above-the-curved-motion spatial configuration during the habituation phase. Twelve-month-old networks were assigned either to the Suspended Central Obstacle Event (Experimental) condition or to the Suspended Peripheral Obstacle Event (Control) condition. </w:t>
      </w:r>
    </w:p>
    <w:p w14:paraId="644583F4" w14:textId="77777777" w:rsidR="006F2F23" w:rsidRDefault="006F2F23">
      <w:pPr>
        <w:tabs>
          <w:tab w:val="left" w:pos="7378"/>
        </w:tabs>
        <w:spacing w:after="0" w:line="480" w:lineRule="auto"/>
        <w:rPr>
          <w:rFonts w:ascii="Times New Roman" w:eastAsia="Times New Roman" w:hAnsi="Times New Roman" w:cs="Times New Roman"/>
        </w:rPr>
      </w:pPr>
    </w:p>
    <w:p w14:paraId="59E411F6"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 xml:space="preserve">Results </w:t>
      </w:r>
    </w:p>
    <w:tbl>
      <w:tblPr>
        <w:tblStyle w:val="afe"/>
        <w:tblW w:w="11945"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5946"/>
        <w:gridCol w:w="5999"/>
      </w:tblGrid>
      <w:tr w:rsidR="006F2F23" w14:paraId="0ABF479D" w14:textId="77777777">
        <w:trPr>
          <w:trHeight w:val="4673"/>
        </w:trPr>
        <w:tc>
          <w:tcPr>
            <w:tcW w:w="5946" w:type="dxa"/>
          </w:tcPr>
          <w:p w14:paraId="1D9200E8" w14:textId="77777777" w:rsidR="006F2F23" w:rsidRDefault="00000000">
            <w:pPr>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0C23D4F" wp14:editId="26B6D412">
                  <wp:extent cx="3639780" cy="2911825"/>
                  <wp:effectExtent l="0" t="0" r="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6"/>
                          <a:srcRect/>
                          <a:stretch>
                            <a:fillRect/>
                          </a:stretch>
                        </pic:blipFill>
                        <pic:spPr>
                          <a:xfrm>
                            <a:off x="0" y="0"/>
                            <a:ext cx="3639780" cy="2911825"/>
                          </a:xfrm>
                          <a:prstGeom prst="rect">
                            <a:avLst/>
                          </a:prstGeom>
                          <a:ln/>
                        </pic:spPr>
                      </pic:pic>
                    </a:graphicData>
                  </a:graphic>
                </wp:inline>
              </w:drawing>
            </w:r>
          </w:p>
        </w:tc>
        <w:tc>
          <w:tcPr>
            <w:tcW w:w="5999" w:type="dxa"/>
          </w:tcPr>
          <w:p w14:paraId="05398566" w14:textId="77777777" w:rsidR="006F2F23" w:rsidRDefault="00000000">
            <w:pPr>
              <w:keepNext/>
              <w:tabs>
                <w:tab w:val="left" w:pos="7378"/>
              </w:tabs>
              <w:spacing w:line="480" w:lineRule="auto"/>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EF27E3F" wp14:editId="47E20A35">
                  <wp:extent cx="3638446" cy="2910757"/>
                  <wp:effectExtent l="0" t="0" r="0" b="0"/>
                  <wp:docPr id="1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7"/>
                          <a:srcRect/>
                          <a:stretch>
                            <a:fillRect/>
                          </a:stretch>
                        </pic:blipFill>
                        <pic:spPr>
                          <a:xfrm>
                            <a:off x="0" y="0"/>
                            <a:ext cx="3638446" cy="2910757"/>
                          </a:xfrm>
                          <a:prstGeom prst="rect">
                            <a:avLst/>
                          </a:prstGeom>
                          <a:ln/>
                        </pic:spPr>
                      </pic:pic>
                    </a:graphicData>
                  </a:graphic>
                </wp:inline>
              </w:drawing>
            </w:r>
          </w:p>
        </w:tc>
      </w:tr>
    </w:tbl>
    <w:p w14:paraId="672B164B"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28.</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(Left) Overall error produced to the Efficient and Inefficient test events for networks in </w:t>
      </w:r>
      <w:proofErr w:type="gramStart"/>
      <w:r>
        <w:rPr>
          <w:rFonts w:ascii="Times New Roman" w:eastAsia="Times New Roman" w:hAnsi="Times New Roman" w:cs="Times New Roman"/>
          <w:color w:val="000000"/>
        </w:rPr>
        <w:t>the Experimental</w:t>
      </w:r>
      <w:proofErr w:type="gramEnd"/>
      <w:r>
        <w:rPr>
          <w:rFonts w:ascii="Times New Roman" w:eastAsia="Times New Roman" w:hAnsi="Times New Roman" w:cs="Times New Roman"/>
          <w:color w:val="000000"/>
        </w:rPr>
        <w:t xml:space="preserve"> condition. (Right) Overall error produced to the Efficient and Inefficient test events for networks in the Control condition. </w:t>
      </w:r>
    </w:p>
    <w:p w14:paraId="7B03274A"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3073F3D"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28 shows that networks in the Experimental condition produced more error to the Inefficient than to the Efficient test event. In contrast, networks in the Control condition produce comparable errors to both test events. Thus, the network predicts longer looking to an inefficient than to an efficient action even if the centrally located, but suspended, obstacle. </w:t>
      </w:r>
    </w:p>
    <w:p w14:paraId="0811DCA8" w14:textId="77777777" w:rsidR="006F2F23" w:rsidRDefault="006F2F23">
      <w:pPr>
        <w:tabs>
          <w:tab w:val="left" w:pos="7378"/>
        </w:tabs>
        <w:spacing w:after="0" w:line="480" w:lineRule="auto"/>
        <w:rPr>
          <w:rFonts w:ascii="Times New Roman" w:eastAsia="Times New Roman" w:hAnsi="Times New Roman" w:cs="Times New Roman"/>
        </w:rPr>
      </w:pPr>
    </w:p>
    <w:p w14:paraId="304AD62D" w14:textId="77777777" w:rsidR="006F2F23" w:rsidRDefault="00000000">
      <w:pPr>
        <w:spacing w:after="0" w:line="480" w:lineRule="auto"/>
        <w:jc w:val="center"/>
        <w:rPr>
          <w:rFonts w:ascii="Times New Roman" w:eastAsia="Times New Roman" w:hAnsi="Times New Roman" w:cs="Times New Roman"/>
          <w:b/>
          <w:bCs/>
        </w:rPr>
      </w:pPr>
      <w:r>
        <w:rPr>
          <w:rFonts w:ascii="Times New Roman" w:eastAsia="Times New Roman" w:hAnsi="Times New Roman" w:cs="Times New Roman"/>
          <w:b/>
          <w:bCs/>
        </w:rPr>
        <w:t>Simulation 7: Networks’ treatment of two inefficient test events</w:t>
      </w:r>
    </w:p>
    <w:p w14:paraId="42073837" w14:textId="77777777" w:rsidR="006F2F23" w:rsidRDefault="006F2F23">
      <w:pPr>
        <w:tabs>
          <w:tab w:val="left" w:pos="7378"/>
        </w:tabs>
        <w:spacing w:after="0" w:line="480" w:lineRule="auto"/>
        <w:rPr>
          <w:rFonts w:ascii="Times New Roman" w:eastAsia="Times New Roman" w:hAnsi="Times New Roman" w:cs="Times New Roman"/>
        </w:rPr>
      </w:pPr>
    </w:p>
    <w:p w14:paraId="2A0474D7" w14:textId="77777777" w:rsidR="006F2F23" w:rsidRDefault="00000000">
      <w:pPr>
        <w:keepNext/>
        <w:tabs>
          <w:tab w:val="left" w:pos="7378"/>
        </w:tabs>
        <w:spacing w:line="480" w:lineRule="auto"/>
      </w:pPr>
      <w:r>
        <w:rPr>
          <w:noProof/>
        </w:rPr>
        <w:lastRenderedPageBreak/>
        <w:drawing>
          <wp:inline distT="0" distB="0" distL="0" distR="0" wp14:anchorId="45AE6C7E" wp14:editId="4F85046D">
            <wp:extent cx="4849366" cy="2521566"/>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8"/>
                    <a:srcRect/>
                    <a:stretch>
                      <a:fillRect/>
                    </a:stretch>
                  </pic:blipFill>
                  <pic:spPr>
                    <a:xfrm>
                      <a:off x="0" y="0"/>
                      <a:ext cx="4849366" cy="2521566"/>
                    </a:xfrm>
                    <a:prstGeom prst="rect">
                      <a:avLst/>
                    </a:prstGeom>
                    <a:ln/>
                  </pic:spPr>
                </pic:pic>
              </a:graphicData>
            </a:graphic>
          </wp:inline>
        </w:drawing>
      </w:r>
    </w:p>
    <w:p w14:paraId="0803344D"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29.</w:t>
      </w:r>
      <w:r>
        <w:rPr>
          <w:i/>
          <w:iCs/>
          <w:color w:val="000000"/>
          <w:sz w:val="18"/>
          <w:szCs w:val="18"/>
        </w:rPr>
        <w:t xml:space="preserve"> </w:t>
      </w:r>
      <w:r>
        <w:rPr>
          <w:rFonts w:ascii="Times New Roman" w:eastAsia="Times New Roman" w:hAnsi="Times New Roman" w:cs="Times New Roman"/>
          <w:i/>
          <w:iCs/>
          <w:color w:val="000000"/>
        </w:rPr>
        <w:t>Schematic depiction of the behavioral task associated with the second prediction.</w:t>
      </w:r>
      <w:r>
        <w:rPr>
          <w:rFonts w:ascii="Times New Roman" w:eastAsia="Times New Roman" w:hAnsi="Times New Roman" w:cs="Times New Roman"/>
          <w:color w:val="000000"/>
        </w:rPr>
        <w:t xml:space="preserve"> During habituation, the first object jumps over a centrally located barrier before it comes to rest next to the second object. Barrierless, inefficient and High, inefficient test events are then shown. </w:t>
      </w:r>
    </w:p>
    <w:p w14:paraId="7DFA196D"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7EAE7849"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Because different inefficient action events have been used in action efficiency studies, it is natural to ask how ALIAS would treat them when pit together. To answer this question, 6-month-old networks were habituated to constrained action and tested on Simulation 4’s High, inefficient and Simulation 1a’s Barrierless, inefficient test event (Figure 29). </w:t>
      </w:r>
    </w:p>
    <w:p w14:paraId="064974F2" w14:textId="77777777" w:rsidR="006F2F23" w:rsidRDefault="006F2F23">
      <w:pPr>
        <w:tabs>
          <w:tab w:val="left" w:pos="7378"/>
        </w:tabs>
        <w:spacing w:after="0" w:line="480" w:lineRule="auto"/>
        <w:rPr>
          <w:rFonts w:ascii="Times New Roman" w:eastAsia="Times New Roman" w:hAnsi="Times New Roman" w:cs="Times New Roman"/>
        </w:rPr>
      </w:pPr>
    </w:p>
    <w:p w14:paraId="4B181518" w14:textId="77777777" w:rsidR="006F2F23" w:rsidRDefault="00000000">
      <w:pPr>
        <w:tabs>
          <w:tab w:val="left" w:pos="7378"/>
        </w:tabs>
        <w:spacing w:line="480" w:lineRule="auto"/>
        <w:rPr>
          <w:rFonts w:ascii="Times New Roman" w:eastAsia="Times New Roman" w:hAnsi="Times New Roman" w:cs="Times New Roman"/>
          <w:b/>
          <w:bCs/>
        </w:rPr>
      </w:pPr>
      <w:r>
        <w:rPr>
          <w:rFonts w:ascii="Times New Roman" w:eastAsia="Times New Roman" w:hAnsi="Times New Roman" w:cs="Times New Roman"/>
          <w:b/>
          <w:bCs/>
        </w:rPr>
        <w:t>Results and Discussion</w:t>
      </w:r>
    </w:p>
    <w:tbl>
      <w:tblPr>
        <w:tblStyle w:val="aff"/>
        <w:tblW w:w="9051" w:type="dxa"/>
        <w:tblInd w:w="-635" w:type="dxa"/>
        <w:tblBorders>
          <w:top w:val="nil"/>
          <w:left w:val="nil"/>
          <w:bottom w:val="nil"/>
          <w:right w:val="nil"/>
          <w:insideH w:val="nil"/>
          <w:insideV w:val="nil"/>
        </w:tblBorders>
        <w:tblLayout w:type="fixed"/>
        <w:tblLook w:val="0400" w:firstRow="0" w:lastRow="0" w:firstColumn="0" w:lastColumn="0" w:noHBand="0" w:noVBand="1"/>
      </w:tblPr>
      <w:tblGrid>
        <w:gridCol w:w="9051"/>
      </w:tblGrid>
      <w:tr w:rsidR="006F2F23" w14:paraId="4C7C2393" w14:textId="77777777">
        <w:trPr>
          <w:trHeight w:val="4934"/>
        </w:trPr>
        <w:tc>
          <w:tcPr>
            <w:tcW w:w="9051" w:type="dxa"/>
          </w:tcPr>
          <w:p w14:paraId="75EE27DC" w14:textId="77777777" w:rsidR="006F2F23" w:rsidRDefault="00000000">
            <w:pPr>
              <w:pBdr>
                <w:top w:val="nil"/>
                <w:left w:val="nil"/>
                <w:bottom w:val="nil"/>
                <w:right w:val="nil"/>
                <w:between w:val="nil"/>
              </w:pBdr>
              <w:spacing w:after="200"/>
              <w:jc w:val="center"/>
              <w:rPr>
                <w:rFonts w:ascii="Times New Roman" w:eastAsia="Times New Roman" w:hAnsi="Times New Roman" w:cs="Times New Roman"/>
                <w:b/>
                <w:bCs/>
                <w:color w:val="000000"/>
              </w:rPr>
            </w:pPr>
            <w:r>
              <w:rPr>
                <w:rFonts w:ascii="Times New Roman" w:eastAsia="Times New Roman" w:hAnsi="Times New Roman" w:cs="Times New Roman"/>
                <w:b/>
                <w:bCs/>
                <w:noProof/>
                <w:color w:val="000000"/>
              </w:rPr>
              <w:lastRenderedPageBreak/>
              <w:drawing>
                <wp:inline distT="0" distB="0" distL="0" distR="0" wp14:anchorId="3D079D98" wp14:editId="68359B72">
                  <wp:extent cx="4644573" cy="3715658"/>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9"/>
                          <a:srcRect/>
                          <a:stretch>
                            <a:fillRect/>
                          </a:stretch>
                        </pic:blipFill>
                        <pic:spPr>
                          <a:xfrm>
                            <a:off x="0" y="0"/>
                            <a:ext cx="4644573" cy="3715658"/>
                          </a:xfrm>
                          <a:prstGeom prst="rect">
                            <a:avLst/>
                          </a:prstGeom>
                          <a:ln/>
                        </pic:spPr>
                      </pic:pic>
                    </a:graphicData>
                  </a:graphic>
                </wp:inline>
              </w:drawing>
            </w:r>
          </w:p>
        </w:tc>
      </w:tr>
    </w:tbl>
    <w:p w14:paraId="516D9398" w14:textId="77777777" w:rsidR="006F2F23" w:rsidRDefault="00000000">
      <w:pPr>
        <w:pBdr>
          <w:top w:val="nil"/>
          <w:left w:val="nil"/>
          <w:bottom w:val="nil"/>
          <w:right w:val="nil"/>
          <w:between w:val="nil"/>
        </w:pBdr>
        <w:spacing w:after="200" w:line="240" w:lineRule="auto"/>
        <w:rPr>
          <w:rFonts w:ascii="Times New Roman" w:eastAsia="Times New Roman" w:hAnsi="Times New Roman" w:cs="Times New Roman"/>
          <w:i/>
          <w:iCs/>
          <w:color w:val="0E2841"/>
          <w:sz w:val="18"/>
          <w:szCs w:val="18"/>
        </w:rPr>
      </w:pPr>
      <w:r>
        <w:rPr>
          <w:rFonts w:ascii="Times New Roman" w:eastAsia="Times New Roman" w:hAnsi="Times New Roman" w:cs="Times New Roman"/>
          <w:b/>
          <w:bCs/>
          <w:color w:val="000000"/>
        </w:rPr>
        <w:t>Figure 30.</w:t>
      </w:r>
      <w:r>
        <w:rPr>
          <w:i/>
          <w:iCs/>
          <w:color w:val="000000"/>
          <w:sz w:val="18"/>
          <w:szCs w:val="18"/>
        </w:rPr>
        <w:t xml:space="preserve">  </w:t>
      </w:r>
      <w:r>
        <w:rPr>
          <w:rFonts w:ascii="Times New Roman" w:eastAsia="Times New Roman" w:hAnsi="Times New Roman" w:cs="Times New Roman"/>
          <w:i/>
          <w:iCs/>
          <w:color w:val="000000"/>
        </w:rPr>
        <w:t>Performance of ALIAS.</w:t>
      </w:r>
      <w:r>
        <w:rPr>
          <w:rFonts w:ascii="Times New Roman" w:eastAsia="Times New Roman" w:hAnsi="Times New Roman" w:cs="Times New Roman"/>
          <w:color w:val="000000"/>
        </w:rPr>
        <w:t xml:space="preserve"> Overall error produced to the Barrierless, inefficient and High, inefficient test events.</w:t>
      </w:r>
    </w:p>
    <w:p w14:paraId="73C41C36" w14:textId="77777777" w:rsidR="006F2F23" w:rsidRDefault="006F2F23">
      <w:pPr>
        <w:tabs>
          <w:tab w:val="left" w:pos="7378"/>
        </w:tabs>
        <w:spacing w:after="0" w:line="480" w:lineRule="auto"/>
        <w:ind w:firstLine="720"/>
        <w:rPr>
          <w:rFonts w:ascii="Times New Roman" w:eastAsia="Times New Roman" w:hAnsi="Times New Roman" w:cs="Times New Roman"/>
        </w:rPr>
      </w:pPr>
    </w:p>
    <w:p w14:paraId="457B3655"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Figure 30 shows that networks produced more </w:t>
      </w:r>
      <w:proofErr w:type="gramStart"/>
      <w:r>
        <w:rPr>
          <w:rFonts w:ascii="Times New Roman" w:eastAsia="Times New Roman" w:hAnsi="Times New Roman" w:cs="Times New Roman"/>
        </w:rPr>
        <w:t>error</w:t>
      </w:r>
      <w:proofErr w:type="gramEnd"/>
      <w:r>
        <w:rPr>
          <w:rFonts w:ascii="Times New Roman" w:eastAsia="Times New Roman" w:hAnsi="Times New Roman" w:cs="Times New Roman"/>
        </w:rPr>
        <w:t xml:space="preserve">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Barrierless, inefficient test event than </w:t>
      </w:r>
      <w:proofErr w:type="gramStart"/>
      <w:r>
        <w:rPr>
          <w:rFonts w:ascii="Times New Roman" w:eastAsia="Times New Roman" w:hAnsi="Times New Roman" w:cs="Times New Roman"/>
        </w:rPr>
        <w:t>to</w:t>
      </w:r>
      <w:proofErr w:type="gramEnd"/>
      <w:r>
        <w:rPr>
          <w:rFonts w:ascii="Times New Roman" w:eastAsia="Times New Roman" w:hAnsi="Times New Roman" w:cs="Times New Roman"/>
        </w:rPr>
        <w:t xml:space="preserve"> the High, inefficient one. Thus, ALIAS predicts that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habituated to and tested on similar events should look longer at a Barrierless, inefficient test event than at a High, inefficient one. Networks produced more error to the former test event because many of its input features co-occurred with straight motion during pretraining. As such, these features activated a representation of straight motion that conflicted with the observed arced motion. </w:t>
      </w:r>
    </w:p>
    <w:p w14:paraId="22E03851" w14:textId="77777777" w:rsidR="006F2F23" w:rsidRDefault="00000000">
      <w:pPr>
        <w:tabs>
          <w:tab w:val="left" w:pos="7378"/>
        </w:tabs>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These predictions arguably are at odds with what any of the domain-specific proposals discussed here would predict. If these accounts are correct that infant action processing is governed by notions of efficiency, cost, constraints, and subjective utility, among other things, then infants should look for the same amount of time at High, inefficient and Barrierless, </w:t>
      </w:r>
      <w:r>
        <w:rPr>
          <w:rFonts w:ascii="Times New Roman" w:eastAsia="Times New Roman" w:hAnsi="Times New Roman" w:cs="Times New Roman"/>
        </w:rPr>
        <w:lastRenderedPageBreak/>
        <w:t xml:space="preserve">inefficient test events because both events are costly and inefficient. This contention falls directly out of the math of the naïve utility calculus. Although the full mathematical details of this theory are beyond the scope of this paper (see Jara-Ettinger et al., 2016; Jara-Ettinger et al., 2020), an aspect of this model that is worth highlighting is that in it, cost is defined in terms of an agent’s actions (or more formally, its policy)—this policy is equivalent in both inefficient test events. Thus, this perspective predicts that infants should look equally long at both test events. Notably, this account also predicts equivalent performance between the Suspended Central Obstacle Event and Suspended Peripheral Obstacle Event conditions. In both conditions, the agent’s actions are not rational given the environmental constraints. </w:t>
      </w:r>
    </w:p>
    <w:p w14:paraId="0EDD4250" w14:textId="77777777" w:rsidR="006F2F23" w:rsidRDefault="006F2F23">
      <w:pPr>
        <w:spacing w:after="0" w:line="480" w:lineRule="auto"/>
        <w:rPr>
          <w:rFonts w:ascii="Times New Roman" w:eastAsia="Times New Roman" w:hAnsi="Times New Roman" w:cs="Times New Roman"/>
        </w:rPr>
      </w:pPr>
    </w:p>
    <w:p w14:paraId="5945A418" w14:textId="77777777" w:rsidR="006F2F23" w:rsidRDefault="00000000">
      <w:pPr>
        <w:spacing w:after="0" w:line="480" w:lineRule="auto"/>
        <w:ind w:firstLine="720"/>
        <w:jc w:val="center"/>
        <w:rPr>
          <w:rFonts w:ascii="Times New Roman" w:eastAsia="Times New Roman" w:hAnsi="Times New Roman" w:cs="Times New Roman"/>
        </w:rPr>
      </w:pPr>
      <w:r>
        <w:rPr>
          <w:rFonts w:ascii="Times New Roman" w:eastAsia="Times New Roman" w:hAnsi="Times New Roman" w:cs="Times New Roman"/>
          <w:b/>
          <w:bCs/>
        </w:rPr>
        <w:t xml:space="preserve">General Discussion </w:t>
      </w:r>
    </w:p>
    <w:p w14:paraId="5FB50CE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An open question in the developmental cognitive sciences concerns when and how action efficiency understanding develops. One widely accepted answer is that infants interpret actions in terms of specialized mechanisms and abstract efficiency-based notions of action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&amp; Gergely, 1998; Gergely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2003; Jara-Ettinger et al., 2016; Liu et al., 2026). The current paper argues that it is not necessary to invoke such mechanisms and notions to explain infants’ looking patterns in action-efficiency paradigms. The present findings suggest instead that behavior that looks like it stems from rich efficiency-based action representations can emerge from an associative learning mechanism operating over perceptually grounded representations.</w:t>
      </w:r>
    </w:p>
    <w:p w14:paraId="3FBDC2A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conclusion was supported by five simulations. ALIAS not only captured infants’ sensitivity to action efficiency for both animate and inanimate entities, but also their bidirectional </w:t>
      </w:r>
      <w:r>
        <w:rPr>
          <w:rFonts w:ascii="Times New Roman" w:eastAsia="Times New Roman" w:hAnsi="Times New Roman" w:cs="Times New Roman"/>
        </w:rPr>
        <w:lastRenderedPageBreak/>
        <w:t xml:space="preserve">inferences about actions, goals, and constraints, their graded sensitivity to efficiency, and the effects of direct-action experience in pre-reaching infants. </w:t>
      </w:r>
    </w:p>
    <w:p w14:paraId="6DE06EDB"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Beyond demonstrating that ALIAS can capture benchmark findings in this literature, the current results showed that its theoretical assumptions were the </w:t>
      </w:r>
      <w:r>
        <w:rPr>
          <w:rFonts w:ascii="Times New Roman" w:eastAsia="Times New Roman" w:hAnsi="Times New Roman" w:cs="Times New Roman"/>
          <w:i/>
          <w:iCs/>
        </w:rPr>
        <w:t xml:space="preserve">sine qua </w:t>
      </w:r>
      <w:proofErr w:type="gramStart"/>
      <w:r>
        <w:rPr>
          <w:rFonts w:ascii="Times New Roman" w:eastAsia="Times New Roman" w:hAnsi="Times New Roman" w:cs="Times New Roman"/>
          <w:i/>
          <w:iCs/>
        </w:rPr>
        <w:t>non</w:t>
      </w:r>
      <w:proofErr w:type="gramEnd"/>
      <w:r>
        <w:rPr>
          <w:rFonts w:ascii="Times New Roman" w:eastAsia="Times New Roman" w:hAnsi="Times New Roman" w:cs="Times New Roman"/>
        </w:rPr>
        <w:t xml:space="preserve"> of its success. Table 3 shows that removing any of those assumptions produced a model—ALIAS-2—that explained fewer findings. Comparisons with VOM10 further showed the importance of these assumptions. Although VOM10 reproduced the first target finding, a revised version of this model that more faithfully implemented the original experimental paradigms—VOM10-2—failed to replicate any of the target findings. This indicates that VOM10’s original success depended more on its architecture. These comparisons suggest that ALIAS’s assumptions—not merely its implementation—are critical to its success.</w:t>
      </w:r>
    </w:p>
    <w:p w14:paraId="5609B5A1" w14:textId="77777777" w:rsidR="006F2F23" w:rsidRDefault="006F2F23">
      <w:pPr>
        <w:spacing w:line="480" w:lineRule="auto"/>
        <w:ind w:firstLine="720"/>
        <w:rPr>
          <w:rFonts w:ascii="Times New Roman" w:eastAsia="Times New Roman" w:hAnsi="Times New Roman" w:cs="Times New Roman"/>
        </w:rPr>
      </w:pPr>
    </w:p>
    <w:p w14:paraId="4D89B4E2" w14:textId="77777777" w:rsidR="006F2F23" w:rsidRDefault="00000000">
      <w:pPr>
        <w:keepNext/>
        <w:pBdr>
          <w:top w:val="nil"/>
          <w:left w:val="nil"/>
          <w:bottom w:val="nil"/>
          <w:right w:val="nil"/>
          <w:between w:val="nil"/>
        </w:pBdr>
        <w:spacing w:after="200" w:line="240" w:lineRule="auto"/>
        <w:rPr>
          <w:rFonts w:ascii="Times New Roman" w:eastAsia="Times New Roman" w:hAnsi="Times New Roman" w:cs="Times New Roman"/>
          <w:i/>
          <w:iCs/>
          <w:color w:val="000000"/>
        </w:rPr>
      </w:pPr>
      <w:r>
        <w:rPr>
          <w:rFonts w:ascii="Times New Roman" w:eastAsia="Times New Roman" w:hAnsi="Times New Roman" w:cs="Times New Roman"/>
          <w:b/>
          <w:bCs/>
          <w:color w:val="000000"/>
        </w:rPr>
        <w:t>Table 3.</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Qualitative fits of the different models to the five target findings examined in the current paper.</w:t>
      </w:r>
    </w:p>
    <w:tbl>
      <w:tblPr>
        <w:tblStyle w:val="aff0"/>
        <w:tblW w:w="11861" w:type="dxa"/>
        <w:tblInd w:w="-1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89"/>
        <w:gridCol w:w="1563"/>
        <w:gridCol w:w="985"/>
        <w:gridCol w:w="1656"/>
        <w:gridCol w:w="1656"/>
        <w:gridCol w:w="1806"/>
        <w:gridCol w:w="1806"/>
      </w:tblGrid>
      <w:tr w:rsidR="006F2F23" w14:paraId="04B741A5" w14:textId="77777777">
        <w:tc>
          <w:tcPr>
            <w:tcW w:w="2389" w:type="dxa"/>
            <w:tcBorders>
              <w:top w:val="single" w:sz="4" w:space="0" w:color="000000"/>
              <w:left w:val="nil"/>
              <w:bottom w:val="single" w:sz="4" w:space="0" w:color="000000"/>
              <w:right w:val="nil"/>
            </w:tcBorders>
          </w:tcPr>
          <w:p w14:paraId="36ED224F" w14:textId="77777777" w:rsidR="006F2F23" w:rsidRDefault="006F2F23">
            <w:pPr>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424A133B" w14:textId="77777777" w:rsidR="006F2F23" w:rsidRDefault="006F2F23">
            <w:pPr>
              <w:rPr>
                <w:rFonts w:ascii="Times New Roman" w:eastAsia="Times New Roman" w:hAnsi="Times New Roman" w:cs="Times New Roman"/>
              </w:rPr>
            </w:pPr>
          </w:p>
        </w:tc>
        <w:tc>
          <w:tcPr>
            <w:tcW w:w="985" w:type="dxa"/>
            <w:tcBorders>
              <w:top w:val="single" w:sz="4" w:space="0" w:color="000000"/>
              <w:left w:val="nil"/>
              <w:bottom w:val="single" w:sz="4" w:space="0" w:color="000000"/>
              <w:right w:val="nil"/>
            </w:tcBorders>
          </w:tcPr>
          <w:p w14:paraId="2ED092CE" w14:textId="77777777" w:rsidR="006F2F23" w:rsidRDefault="006F2F23">
            <w:pPr>
              <w:rPr>
                <w:rFonts w:ascii="Times New Roman" w:eastAsia="Times New Roman" w:hAnsi="Times New Roman" w:cs="Times New Roman"/>
              </w:rPr>
            </w:pPr>
          </w:p>
        </w:tc>
        <w:tc>
          <w:tcPr>
            <w:tcW w:w="1656" w:type="dxa"/>
            <w:tcBorders>
              <w:top w:val="single" w:sz="4" w:space="0" w:color="000000"/>
              <w:left w:val="nil"/>
              <w:bottom w:val="single" w:sz="4" w:space="0" w:color="000000"/>
              <w:right w:val="nil"/>
            </w:tcBorders>
          </w:tcPr>
          <w:p w14:paraId="129CB08C" w14:textId="77777777" w:rsidR="006F2F23" w:rsidRDefault="006F2F23">
            <w:pPr>
              <w:rPr>
                <w:rFonts w:ascii="Times New Roman" w:eastAsia="Times New Roman" w:hAnsi="Times New Roman" w:cs="Times New Roman"/>
              </w:rPr>
            </w:pPr>
          </w:p>
        </w:tc>
        <w:tc>
          <w:tcPr>
            <w:tcW w:w="3462" w:type="dxa"/>
            <w:gridSpan w:val="2"/>
            <w:tcBorders>
              <w:top w:val="single" w:sz="4" w:space="0" w:color="000000"/>
              <w:left w:val="nil"/>
              <w:bottom w:val="single" w:sz="4" w:space="0" w:color="000000"/>
              <w:right w:val="nil"/>
            </w:tcBorders>
          </w:tcPr>
          <w:p w14:paraId="202D97D2" w14:textId="77777777" w:rsidR="006F2F23" w:rsidRDefault="00000000">
            <w:pPr>
              <w:jc w:val="center"/>
              <w:rPr>
                <w:rFonts w:ascii="Times New Roman" w:eastAsia="Times New Roman" w:hAnsi="Times New Roman" w:cs="Times New Roman"/>
              </w:rPr>
            </w:pPr>
            <w:r>
              <w:rPr>
                <w:rFonts w:ascii="Times New Roman" w:eastAsia="Times New Roman" w:hAnsi="Times New Roman" w:cs="Times New Roman"/>
              </w:rPr>
              <w:t>Model</w:t>
            </w:r>
          </w:p>
          <w:p w14:paraId="1026062B" w14:textId="77777777" w:rsidR="006F2F23" w:rsidRDefault="006F2F23">
            <w:pPr>
              <w:jc w:val="center"/>
              <w:rPr>
                <w:rFonts w:ascii="Times New Roman" w:eastAsia="Times New Roman" w:hAnsi="Times New Roman" w:cs="Times New Roman"/>
              </w:rPr>
            </w:pPr>
          </w:p>
        </w:tc>
        <w:tc>
          <w:tcPr>
            <w:tcW w:w="1806" w:type="dxa"/>
            <w:tcBorders>
              <w:top w:val="single" w:sz="4" w:space="0" w:color="000000"/>
              <w:left w:val="nil"/>
              <w:bottom w:val="single" w:sz="4" w:space="0" w:color="000000"/>
              <w:right w:val="nil"/>
            </w:tcBorders>
          </w:tcPr>
          <w:p w14:paraId="1DC75FE9" w14:textId="77777777" w:rsidR="006F2F23" w:rsidRDefault="006F2F23">
            <w:pPr>
              <w:rPr>
                <w:rFonts w:ascii="Times New Roman" w:eastAsia="Times New Roman" w:hAnsi="Times New Roman" w:cs="Times New Roman"/>
              </w:rPr>
            </w:pPr>
          </w:p>
        </w:tc>
      </w:tr>
      <w:tr w:rsidR="006F2F23" w14:paraId="76312B5E" w14:textId="77777777">
        <w:tc>
          <w:tcPr>
            <w:tcW w:w="2389" w:type="dxa"/>
            <w:tcBorders>
              <w:top w:val="single" w:sz="4" w:space="0" w:color="000000"/>
              <w:left w:val="nil"/>
              <w:bottom w:val="single" w:sz="4" w:space="0" w:color="000000"/>
              <w:right w:val="nil"/>
            </w:tcBorders>
          </w:tcPr>
          <w:p w14:paraId="055DFBCF"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Target finding</w:t>
            </w:r>
          </w:p>
        </w:tc>
        <w:tc>
          <w:tcPr>
            <w:tcW w:w="1563" w:type="dxa"/>
            <w:tcBorders>
              <w:top w:val="single" w:sz="4" w:space="0" w:color="000000"/>
              <w:left w:val="nil"/>
              <w:bottom w:val="single" w:sz="4" w:space="0" w:color="000000"/>
              <w:right w:val="nil"/>
            </w:tcBorders>
          </w:tcPr>
          <w:p w14:paraId="0191F5C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Illustrative paradigm</w:t>
            </w:r>
          </w:p>
        </w:tc>
        <w:tc>
          <w:tcPr>
            <w:tcW w:w="985" w:type="dxa"/>
            <w:tcBorders>
              <w:top w:val="single" w:sz="4" w:space="0" w:color="000000"/>
              <w:left w:val="nil"/>
              <w:bottom w:val="single" w:sz="4" w:space="0" w:color="000000"/>
              <w:right w:val="nil"/>
            </w:tcBorders>
          </w:tcPr>
          <w:p w14:paraId="578E113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Articles</w:t>
            </w:r>
          </w:p>
        </w:tc>
        <w:tc>
          <w:tcPr>
            <w:tcW w:w="1656" w:type="dxa"/>
            <w:tcBorders>
              <w:top w:val="single" w:sz="4" w:space="0" w:color="000000"/>
              <w:left w:val="nil"/>
              <w:bottom w:val="nil"/>
              <w:right w:val="nil"/>
            </w:tcBorders>
          </w:tcPr>
          <w:p w14:paraId="0036F02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w:t>
            </w:r>
          </w:p>
        </w:tc>
        <w:tc>
          <w:tcPr>
            <w:tcW w:w="1656" w:type="dxa"/>
            <w:tcBorders>
              <w:top w:val="single" w:sz="4" w:space="0" w:color="000000"/>
              <w:left w:val="nil"/>
              <w:bottom w:val="nil"/>
              <w:right w:val="nil"/>
            </w:tcBorders>
          </w:tcPr>
          <w:p w14:paraId="56A7DB90"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ALIAS-2</w:t>
            </w:r>
          </w:p>
        </w:tc>
        <w:tc>
          <w:tcPr>
            <w:tcW w:w="1806" w:type="dxa"/>
            <w:tcBorders>
              <w:top w:val="single" w:sz="4" w:space="0" w:color="000000"/>
              <w:left w:val="nil"/>
              <w:bottom w:val="nil"/>
              <w:right w:val="nil"/>
            </w:tcBorders>
          </w:tcPr>
          <w:p w14:paraId="009F038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w:t>
            </w:r>
          </w:p>
        </w:tc>
        <w:tc>
          <w:tcPr>
            <w:tcW w:w="1806" w:type="dxa"/>
            <w:tcBorders>
              <w:top w:val="single" w:sz="4" w:space="0" w:color="000000"/>
              <w:left w:val="nil"/>
              <w:bottom w:val="nil"/>
              <w:right w:val="nil"/>
            </w:tcBorders>
          </w:tcPr>
          <w:p w14:paraId="6F56F63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VOM10-2</w:t>
            </w:r>
          </w:p>
        </w:tc>
      </w:tr>
      <w:tr w:rsidR="006F2F23" w14:paraId="3E5D6325" w14:textId="77777777">
        <w:tc>
          <w:tcPr>
            <w:tcW w:w="2389" w:type="dxa"/>
            <w:vMerge w:val="restart"/>
            <w:tcBorders>
              <w:top w:val="single" w:sz="4" w:space="0" w:color="000000"/>
              <w:left w:val="nil"/>
              <w:bottom w:val="nil"/>
              <w:right w:val="nil"/>
            </w:tcBorders>
          </w:tcPr>
          <w:p w14:paraId="5759BD24"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Selective longer looking to inefficient than efficient actions following constrained habituation.</w:t>
            </w:r>
          </w:p>
        </w:tc>
        <w:tc>
          <w:tcPr>
            <w:tcW w:w="1563" w:type="dxa"/>
            <w:tcBorders>
              <w:top w:val="single" w:sz="4" w:space="0" w:color="000000"/>
              <w:left w:val="nil"/>
              <w:bottom w:val="single" w:sz="4" w:space="0" w:color="000000"/>
              <w:right w:val="nil"/>
            </w:tcBorders>
          </w:tcPr>
          <w:p w14:paraId="28BA01F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Animate agent constrained action </w:t>
            </w:r>
          </w:p>
          <w:p w14:paraId="02EB470B" w14:textId="77777777" w:rsidR="006F2F23" w:rsidRDefault="006F2F23">
            <w:pPr>
              <w:rPr>
                <w:rFonts w:ascii="Times New Roman" w:eastAsia="Times New Roman" w:hAnsi="Times New Roman" w:cs="Times New Roman"/>
              </w:rPr>
            </w:pPr>
          </w:p>
        </w:tc>
        <w:tc>
          <w:tcPr>
            <w:tcW w:w="985" w:type="dxa"/>
            <w:vMerge w:val="restart"/>
            <w:tcBorders>
              <w:top w:val="single" w:sz="4" w:space="0" w:color="000000"/>
              <w:left w:val="nil"/>
              <w:bottom w:val="nil"/>
              <w:right w:val="nil"/>
            </w:tcBorders>
          </w:tcPr>
          <w:p w14:paraId="17111557" w14:textId="77777777" w:rsidR="006F2F23" w:rsidRDefault="006F2F23">
            <w:pPr>
              <w:rPr>
                <w:rFonts w:ascii="Times New Roman" w:eastAsia="Times New Roman" w:hAnsi="Times New Roman" w:cs="Times New Roman"/>
              </w:rPr>
            </w:pPr>
          </w:p>
          <w:p w14:paraId="056C61C2" w14:textId="77777777" w:rsidR="006F2F23" w:rsidRDefault="006F2F23">
            <w:pPr>
              <w:rPr>
                <w:rFonts w:ascii="Times New Roman" w:eastAsia="Times New Roman" w:hAnsi="Times New Roman" w:cs="Times New Roman"/>
              </w:rPr>
            </w:pPr>
          </w:p>
          <w:p w14:paraId="29EF0DF8"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52F7A94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B994C56" wp14:editId="73127CF8">
                  <wp:extent cx="914400" cy="914400"/>
                  <wp:effectExtent l="0" t="0" r="0" b="0"/>
                  <wp:docPr id="4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0226D06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7512E81" wp14:editId="7071E0CE">
                  <wp:extent cx="914400" cy="914400"/>
                  <wp:effectExtent l="0" t="0" r="0" b="0"/>
                  <wp:docPr id="4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614F82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CA25C9" wp14:editId="75188009">
                  <wp:extent cx="914400" cy="914400"/>
                  <wp:effectExtent l="0" t="0" r="0" b="0"/>
                  <wp:docPr id="4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818F2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7F4C850" wp14:editId="14B58666">
                  <wp:extent cx="914400" cy="914400"/>
                  <wp:effectExtent l="0" t="0" r="0" b="0"/>
                  <wp:docPr id="46"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5BDFAEA" w14:textId="77777777">
        <w:tc>
          <w:tcPr>
            <w:tcW w:w="2389" w:type="dxa"/>
            <w:vMerge/>
            <w:tcBorders>
              <w:top w:val="single" w:sz="4" w:space="0" w:color="000000"/>
              <w:left w:val="nil"/>
              <w:bottom w:val="nil"/>
              <w:right w:val="nil"/>
            </w:tcBorders>
          </w:tcPr>
          <w:p w14:paraId="1FB16114"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72E5FF8C"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Animate agent unconstrained action</w:t>
            </w:r>
          </w:p>
          <w:p w14:paraId="7C89A267" w14:textId="77777777" w:rsidR="006F2F23" w:rsidRDefault="006F2F23">
            <w:pPr>
              <w:rPr>
                <w:rFonts w:ascii="Times New Roman" w:eastAsia="Times New Roman" w:hAnsi="Times New Roman" w:cs="Times New Roman"/>
              </w:rPr>
            </w:pPr>
          </w:p>
        </w:tc>
        <w:tc>
          <w:tcPr>
            <w:tcW w:w="985" w:type="dxa"/>
            <w:vMerge/>
            <w:tcBorders>
              <w:top w:val="single" w:sz="4" w:space="0" w:color="000000"/>
              <w:left w:val="nil"/>
              <w:bottom w:val="nil"/>
              <w:right w:val="nil"/>
            </w:tcBorders>
          </w:tcPr>
          <w:p w14:paraId="4728560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17A55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2F1A8A9" wp14:editId="5BE0184F">
                  <wp:extent cx="914400" cy="914400"/>
                  <wp:effectExtent l="0" t="0" r="0" b="0"/>
                  <wp:docPr id="4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D1D476E"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F118264" wp14:editId="1DC3FB31">
                  <wp:extent cx="914400" cy="914400"/>
                  <wp:effectExtent l="0" t="0" r="0" b="0"/>
                  <wp:docPr id="48"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74A4F4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2883782" wp14:editId="3EC62C40">
                  <wp:extent cx="914400" cy="914400"/>
                  <wp:effectExtent l="0" t="0" r="0" b="0"/>
                  <wp:docPr id="4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28CF5A0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39C6BAB" wp14:editId="32DB567D">
                  <wp:extent cx="914400" cy="914400"/>
                  <wp:effectExtent l="0" t="0" r="0" b="0"/>
                  <wp:docPr id="5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063CC3EE" w14:textId="77777777">
        <w:tc>
          <w:tcPr>
            <w:tcW w:w="2389" w:type="dxa"/>
            <w:vMerge w:val="restart"/>
            <w:tcBorders>
              <w:top w:val="nil"/>
              <w:left w:val="nil"/>
              <w:bottom w:val="nil"/>
              <w:right w:val="nil"/>
            </w:tcBorders>
          </w:tcPr>
          <w:p w14:paraId="544FAF3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Independence from animacy.</w:t>
            </w:r>
          </w:p>
        </w:tc>
        <w:tc>
          <w:tcPr>
            <w:tcW w:w="1563" w:type="dxa"/>
            <w:tcBorders>
              <w:top w:val="single" w:sz="4" w:space="0" w:color="000000"/>
              <w:left w:val="nil"/>
              <w:bottom w:val="single" w:sz="4" w:space="0" w:color="000000"/>
              <w:right w:val="nil"/>
            </w:tcBorders>
          </w:tcPr>
          <w:p w14:paraId="10017A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Inanimate-agent constrained action</w:t>
            </w:r>
          </w:p>
          <w:p w14:paraId="23B3C027"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41DF6EEF" w14:textId="77777777" w:rsidR="006F2F23" w:rsidRDefault="006F2F23">
            <w:pPr>
              <w:rPr>
                <w:rFonts w:ascii="Times New Roman" w:eastAsia="Times New Roman" w:hAnsi="Times New Roman" w:cs="Times New Roman"/>
              </w:rPr>
            </w:pPr>
          </w:p>
          <w:p w14:paraId="33AFADB4" w14:textId="77777777" w:rsidR="006F2F23" w:rsidRDefault="006F2F23">
            <w:pPr>
              <w:rPr>
                <w:rFonts w:ascii="Times New Roman" w:eastAsia="Times New Roman" w:hAnsi="Times New Roman" w:cs="Times New Roman"/>
              </w:rPr>
            </w:pPr>
          </w:p>
          <w:p w14:paraId="75A794ED"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w:t>
            </w: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et al. (2004)</w:t>
            </w:r>
          </w:p>
        </w:tc>
        <w:tc>
          <w:tcPr>
            <w:tcW w:w="1656" w:type="dxa"/>
            <w:tcBorders>
              <w:top w:val="nil"/>
              <w:left w:val="nil"/>
              <w:bottom w:val="nil"/>
              <w:right w:val="nil"/>
            </w:tcBorders>
          </w:tcPr>
          <w:p w14:paraId="39092D5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391CB4F" wp14:editId="2B315DA2">
                  <wp:extent cx="914400" cy="914400"/>
                  <wp:effectExtent l="0" t="0" r="0" b="0"/>
                  <wp:docPr id="5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01CB24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E1D1B7" wp14:editId="3537265C">
                  <wp:extent cx="914400" cy="914400"/>
                  <wp:effectExtent l="0" t="0" r="0" b="0"/>
                  <wp:docPr id="5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7F0219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C758D6" wp14:editId="3DA7D32C">
                  <wp:extent cx="914400" cy="914400"/>
                  <wp:effectExtent l="0" t="0" r="0" b="0"/>
                  <wp:docPr id="4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2446E0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A5D191F" wp14:editId="1099A7CF">
                  <wp:extent cx="914400" cy="914400"/>
                  <wp:effectExtent l="0" t="0" r="0" b="0"/>
                  <wp:docPr id="33"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2B328C9" w14:textId="77777777">
        <w:tc>
          <w:tcPr>
            <w:tcW w:w="2389" w:type="dxa"/>
            <w:vMerge/>
            <w:tcBorders>
              <w:top w:val="nil"/>
              <w:left w:val="nil"/>
              <w:bottom w:val="nil"/>
              <w:right w:val="nil"/>
            </w:tcBorders>
          </w:tcPr>
          <w:p w14:paraId="6435315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67B2B31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Inanimate agent unconstrained action</w:t>
            </w:r>
          </w:p>
        </w:tc>
        <w:tc>
          <w:tcPr>
            <w:tcW w:w="985" w:type="dxa"/>
            <w:vMerge/>
            <w:tcBorders>
              <w:top w:val="nil"/>
              <w:left w:val="nil"/>
              <w:bottom w:val="nil"/>
              <w:right w:val="nil"/>
            </w:tcBorders>
          </w:tcPr>
          <w:p w14:paraId="4D8C728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2013BA8F"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1C7791A" wp14:editId="0C7DD089">
                  <wp:extent cx="914400" cy="914400"/>
                  <wp:effectExtent l="0" t="0" r="0" b="0"/>
                  <wp:docPr id="3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E8B4ED"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B5D56F" wp14:editId="47C9EFF8">
                  <wp:extent cx="914400" cy="914400"/>
                  <wp:effectExtent l="0" t="0" r="0" b="0"/>
                  <wp:docPr id="3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D71ABB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907E578" wp14:editId="2EFB0769">
                  <wp:extent cx="914400" cy="914400"/>
                  <wp:effectExtent l="0" t="0" r="0" b="0"/>
                  <wp:docPr id="3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CD42C4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80050" wp14:editId="1E10ED9B">
                  <wp:extent cx="914400" cy="914400"/>
                  <wp:effectExtent l="0" t="0" r="0" b="0"/>
                  <wp:docPr id="37"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429CD06F" w14:textId="77777777">
        <w:tc>
          <w:tcPr>
            <w:tcW w:w="2389" w:type="dxa"/>
            <w:vMerge w:val="restart"/>
            <w:tcBorders>
              <w:top w:val="nil"/>
              <w:left w:val="nil"/>
              <w:bottom w:val="nil"/>
              <w:right w:val="nil"/>
            </w:tcBorders>
          </w:tcPr>
          <w:p w14:paraId="3E307911"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Bidirectional inferences about actions, goals, and constraints.</w:t>
            </w:r>
          </w:p>
        </w:tc>
        <w:tc>
          <w:tcPr>
            <w:tcW w:w="1563" w:type="dxa"/>
            <w:tcBorders>
              <w:top w:val="nil"/>
              <w:left w:val="nil"/>
              <w:bottom w:val="single" w:sz="4" w:space="0" w:color="000000"/>
              <w:right w:val="nil"/>
            </w:tcBorders>
          </w:tcPr>
          <w:p w14:paraId="64A1570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Goal inference </w:t>
            </w:r>
          </w:p>
          <w:p w14:paraId="1C9520FB"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01F0AD0" w14:textId="77777777" w:rsidR="006F2F23" w:rsidRDefault="006F2F23">
            <w:pPr>
              <w:rPr>
                <w:rFonts w:ascii="Times New Roman" w:eastAsia="Times New Roman" w:hAnsi="Times New Roman" w:cs="Times New Roman"/>
              </w:rPr>
            </w:pPr>
          </w:p>
          <w:p w14:paraId="61EE87EE" w14:textId="77777777" w:rsidR="006F2F23" w:rsidRDefault="00000000">
            <w:pPr>
              <w:rPr>
                <w:rFonts w:ascii="Times New Roman" w:eastAsia="Times New Roman" w:hAnsi="Times New Roman" w:cs="Times New Roman"/>
              </w:rPr>
            </w:pP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Wagner &amp; Carey (2005)</w:t>
            </w:r>
          </w:p>
          <w:p w14:paraId="16E1A269" w14:textId="77777777" w:rsidR="006F2F23" w:rsidRDefault="006F2F23">
            <w:pPr>
              <w:rPr>
                <w:rFonts w:ascii="Times New Roman" w:eastAsia="Times New Roman" w:hAnsi="Times New Roman" w:cs="Times New Roman"/>
              </w:rPr>
            </w:pPr>
          </w:p>
        </w:tc>
        <w:tc>
          <w:tcPr>
            <w:tcW w:w="1656" w:type="dxa"/>
            <w:tcBorders>
              <w:top w:val="nil"/>
              <w:left w:val="nil"/>
              <w:bottom w:val="nil"/>
              <w:right w:val="nil"/>
            </w:tcBorders>
          </w:tcPr>
          <w:p w14:paraId="69204D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A78268F" wp14:editId="3E6BE7DC">
                  <wp:extent cx="914400" cy="914400"/>
                  <wp:effectExtent l="0" t="0" r="0" b="0"/>
                  <wp:docPr id="3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17506374"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CAAA755" wp14:editId="49E23B80">
                  <wp:extent cx="914400" cy="914400"/>
                  <wp:effectExtent l="0" t="0" r="0" b="0"/>
                  <wp:docPr id="39"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020413D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7116C41" wp14:editId="4272A96B">
                  <wp:extent cx="914400" cy="914400"/>
                  <wp:effectExtent l="0" t="0" r="0" b="0"/>
                  <wp:docPr id="40"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178CEA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3DA435D" wp14:editId="27572A4B">
                  <wp:extent cx="914400" cy="914400"/>
                  <wp:effectExtent l="0" t="0" r="0" b="0"/>
                  <wp:docPr id="4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2F29F15E" w14:textId="77777777">
        <w:tc>
          <w:tcPr>
            <w:tcW w:w="2389" w:type="dxa"/>
            <w:vMerge/>
            <w:tcBorders>
              <w:top w:val="nil"/>
              <w:left w:val="nil"/>
              <w:bottom w:val="nil"/>
              <w:right w:val="nil"/>
            </w:tcBorders>
          </w:tcPr>
          <w:p w14:paraId="14F51528"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1939696A"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Constraint inference </w:t>
            </w:r>
          </w:p>
        </w:tc>
        <w:tc>
          <w:tcPr>
            <w:tcW w:w="985" w:type="dxa"/>
            <w:vMerge/>
            <w:tcBorders>
              <w:top w:val="nil"/>
              <w:left w:val="nil"/>
              <w:bottom w:val="nil"/>
              <w:right w:val="nil"/>
            </w:tcBorders>
          </w:tcPr>
          <w:p w14:paraId="4A8DBEB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3ADAE0C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FE3B1D" wp14:editId="152EA666">
                  <wp:extent cx="914400" cy="914400"/>
                  <wp:effectExtent l="0" t="0" r="0" b="0"/>
                  <wp:docPr id="31"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79ED174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B248E2" wp14:editId="07A2D7ED">
                  <wp:extent cx="914400" cy="914400"/>
                  <wp:effectExtent l="0" t="0" r="0" b="0"/>
                  <wp:docPr id="32"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17A26CA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426010" wp14:editId="466C0BCC">
                  <wp:extent cx="914400" cy="914400"/>
                  <wp:effectExtent l="0" t="0" r="0" b="0"/>
                  <wp:docPr id="61"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4D2F6B08"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A0D5D9D" wp14:editId="2DCD14F8">
                  <wp:extent cx="914400" cy="914400"/>
                  <wp:effectExtent l="0" t="0" r="0" b="0"/>
                  <wp:docPr id="62"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79A196F8" w14:textId="77777777">
        <w:tc>
          <w:tcPr>
            <w:tcW w:w="2389" w:type="dxa"/>
            <w:vMerge w:val="restart"/>
            <w:tcBorders>
              <w:top w:val="nil"/>
              <w:left w:val="nil"/>
              <w:bottom w:val="nil"/>
              <w:right w:val="nil"/>
            </w:tcBorders>
          </w:tcPr>
          <w:p w14:paraId="771D665B"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t>Graded representations of efficiency.</w:t>
            </w:r>
          </w:p>
        </w:tc>
        <w:tc>
          <w:tcPr>
            <w:tcW w:w="1563" w:type="dxa"/>
            <w:tcBorders>
              <w:top w:val="nil"/>
              <w:left w:val="nil"/>
              <w:bottom w:val="single" w:sz="4" w:space="0" w:color="000000"/>
              <w:right w:val="nil"/>
            </w:tcBorders>
          </w:tcPr>
          <w:p w14:paraId="3DECAEA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w:t>
            </w:r>
          </w:p>
          <w:p w14:paraId="3BF48D8A" w14:textId="77777777" w:rsidR="006F2F23" w:rsidRDefault="006F2F23">
            <w:pPr>
              <w:rPr>
                <w:rFonts w:ascii="Times New Roman" w:eastAsia="Times New Roman" w:hAnsi="Times New Roman" w:cs="Times New Roman"/>
              </w:rPr>
            </w:pPr>
          </w:p>
        </w:tc>
        <w:tc>
          <w:tcPr>
            <w:tcW w:w="985" w:type="dxa"/>
            <w:vMerge w:val="restart"/>
            <w:tcBorders>
              <w:top w:val="nil"/>
              <w:left w:val="nil"/>
              <w:bottom w:val="nil"/>
              <w:right w:val="nil"/>
            </w:tcBorders>
          </w:tcPr>
          <w:p w14:paraId="2FE6B74F" w14:textId="77777777" w:rsidR="006F2F23" w:rsidRDefault="006F2F23">
            <w:pPr>
              <w:rPr>
                <w:rFonts w:ascii="Times New Roman" w:eastAsia="Times New Roman" w:hAnsi="Times New Roman" w:cs="Times New Roman"/>
              </w:rPr>
            </w:pPr>
          </w:p>
          <w:p w14:paraId="411312D0" w14:textId="77777777" w:rsidR="006F2F23" w:rsidRDefault="006F2F23">
            <w:pPr>
              <w:rPr>
                <w:rFonts w:ascii="Times New Roman" w:eastAsia="Times New Roman" w:hAnsi="Times New Roman" w:cs="Times New Roman"/>
              </w:rPr>
            </w:pPr>
          </w:p>
          <w:p w14:paraId="13C5897C" w14:textId="77777777" w:rsidR="006F2F23" w:rsidRDefault="006F2F23">
            <w:pPr>
              <w:rPr>
                <w:rFonts w:ascii="Times New Roman" w:eastAsia="Times New Roman" w:hAnsi="Times New Roman" w:cs="Times New Roman"/>
              </w:rPr>
            </w:pPr>
          </w:p>
          <w:p w14:paraId="1C381E4F" w14:textId="77777777" w:rsidR="006F2F23" w:rsidRDefault="006F2F23">
            <w:pPr>
              <w:rPr>
                <w:rFonts w:ascii="Times New Roman" w:eastAsia="Times New Roman" w:hAnsi="Times New Roman" w:cs="Times New Roman"/>
              </w:rPr>
            </w:pPr>
          </w:p>
          <w:p w14:paraId="2FEF8262" w14:textId="77777777" w:rsidR="006F2F23" w:rsidRDefault="006F2F23">
            <w:pPr>
              <w:rPr>
                <w:rFonts w:ascii="Times New Roman" w:eastAsia="Times New Roman" w:hAnsi="Times New Roman" w:cs="Times New Roman"/>
              </w:rPr>
            </w:pPr>
          </w:p>
          <w:p w14:paraId="1269C099" w14:textId="77777777" w:rsidR="006F2F23" w:rsidRDefault="006F2F23">
            <w:pPr>
              <w:rPr>
                <w:rFonts w:ascii="Times New Roman" w:eastAsia="Times New Roman" w:hAnsi="Times New Roman" w:cs="Times New Roman"/>
              </w:rPr>
            </w:pPr>
          </w:p>
          <w:p w14:paraId="7E0E5CA2" w14:textId="77777777" w:rsidR="006F2F23" w:rsidRDefault="006F2F23">
            <w:pPr>
              <w:rPr>
                <w:rFonts w:ascii="Times New Roman" w:eastAsia="Times New Roman" w:hAnsi="Times New Roman" w:cs="Times New Roman"/>
              </w:rPr>
            </w:pPr>
          </w:p>
          <w:p w14:paraId="0804B5C1" w14:textId="77777777" w:rsidR="006F2F23" w:rsidRDefault="006F2F23">
            <w:pPr>
              <w:rPr>
                <w:rFonts w:ascii="Times New Roman" w:eastAsia="Times New Roman" w:hAnsi="Times New Roman" w:cs="Times New Roman"/>
              </w:rPr>
            </w:pPr>
          </w:p>
          <w:p w14:paraId="37BD6D2E"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w:t>
            </w:r>
          </w:p>
        </w:tc>
        <w:tc>
          <w:tcPr>
            <w:tcW w:w="1656" w:type="dxa"/>
            <w:tcBorders>
              <w:top w:val="nil"/>
              <w:left w:val="nil"/>
              <w:bottom w:val="nil"/>
              <w:right w:val="nil"/>
            </w:tcBorders>
          </w:tcPr>
          <w:p w14:paraId="79123CC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FAA4C21" wp14:editId="33376641">
                  <wp:extent cx="914400" cy="914400"/>
                  <wp:effectExtent l="0" t="0" r="0" b="0"/>
                  <wp:docPr id="6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BB35C10"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F5AA467" wp14:editId="0361E6A1">
                  <wp:extent cx="914400" cy="914400"/>
                  <wp:effectExtent l="0" t="0" r="0" b="0"/>
                  <wp:docPr id="6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ADFB8B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59264" behindDoc="0" locked="0" layoutInCell="1" hidden="0" allowOverlap="1" wp14:anchorId="5DD94E7B" wp14:editId="74A4B406">
                      <wp:simplePos x="0" y="0"/>
                      <wp:positionH relativeFrom="column">
                        <wp:posOffset>65407</wp:posOffset>
                      </wp:positionH>
                      <wp:positionV relativeFrom="paragraph">
                        <wp:posOffset>182245</wp:posOffset>
                      </wp:positionV>
                      <wp:extent cx="1009650" cy="1404620"/>
                      <wp:effectExtent l="0" t="0" r="0" b="1905"/>
                      <wp:wrapSquare wrapText="bothSides" distT="45720" distB="45720" distL="114300" distR="114300"/>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5651889"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65407</wp:posOffset>
                      </wp:positionH>
                      <wp:positionV relativeFrom="paragraph">
                        <wp:posOffset>182245</wp:posOffset>
                      </wp:positionV>
                      <wp:extent cx="1009650" cy="1406525"/>
                      <wp:effectExtent b="0" l="0" r="0" t="0"/>
                      <wp:wrapSquare wrapText="bothSides" distB="45720" distT="45720" distL="114300" distR="114300"/>
                      <wp:docPr id="3"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3BD20D7"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D9B473C" wp14:editId="7908A8C7">
                  <wp:extent cx="914400" cy="914400"/>
                  <wp:effectExtent l="0" t="0" r="0" b="0"/>
                  <wp:docPr id="65"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39A7B69D" w14:textId="77777777">
        <w:tc>
          <w:tcPr>
            <w:tcW w:w="2389" w:type="dxa"/>
            <w:vMerge/>
            <w:tcBorders>
              <w:top w:val="nil"/>
              <w:left w:val="nil"/>
              <w:bottom w:val="nil"/>
              <w:right w:val="nil"/>
            </w:tcBorders>
          </w:tcPr>
          <w:p w14:paraId="4729912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20B20565"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More costly vs. less costly unconstrained action </w:t>
            </w:r>
          </w:p>
          <w:p w14:paraId="6885BC12"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6D8CEA35"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5201F42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C3FCE5B" wp14:editId="16DC60D6">
                  <wp:extent cx="914400" cy="914400"/>
                  <wp:effectExtent l="0" t="0" r="0" b="0"/>
                  <wp:docPr id="6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2FFF8003"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F7BBB2D" wp14:editId="68C8611F">
                  <wp:extent cx="914400" cy="914400"/>
                  <wp:effectExtent l="0" t="0" r="0" b="0"/>
                  <wp:docPr id="6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77DECDC0"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0288" behindDoc="0" locked="0" layoutInCell="1" hidden="0" allowOverlap="1" wp14:anchorId="6A42CFCE" wp14:editId="202B011B">
                      <wp:simplePos x="0" y="0"/>
                      <wp:positionH relativeFrom="column">
                        <wp:posOffset>-7619</wp:posOffset>
                      </wp:positionH>
                      <wp:positionV relativeFrom="paragraph">
                        <wp:posOffset>225425</wp:posOffset>
                      </wp:positionV>
                      <wp:extent cx="1009650" cy="1404620"/>
                      <wp:effectExtent l="0" t="0" r="0" b="1905"/>
                      <wp:wrapSquare wrapText="bothSides" distT="45720" distB="45720" distL="114300" distR="114300"/>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FFA9B0"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225425</wp:posOffset>
                      </wp:positionV>
                      <wp:extent cx="1009650" cy="1406525"/>
                      <wp:effectExtent b="0" l="0" r="0" t="0"/>
                      <wp:wrapSquare wrapText="bothSides" distB="45720" distT="45720" distL="114300" distR="114300"/>
                      <wp:docPr id="9"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398836B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CD63889" wp14:editId="31439D70">
                  <wp:extent cx="914400" cy="914400"/>
                  <wp:effectExtent l="0" t="0" r="0" b="0"/>
                  <wp:docPr id="59" name="image28.png" descr="Close with solid fill"/>
                  <wp:cNvGraphicFramePr/>
                  <a:graphic xmlns:a="http://schemas.openxmlformats.org/drawingml/2006/main">
                    <a:graphicData uri="http://schemas.openxmlformats.org/drawingml/2006/picture">
                      <pic:pic xmlns:pic="http://schemas.openxmlformats.org/drawingml/2006/picture">
                        <pic:nvPicPr>
                          <pic:cNvPr id="0" name="image28.png" descr="Close with solid fill"/>
                          <pic:cNvPicPr preferRelativeResize="0"/>
                        </pic:nvPicPr>
                        <pic:blipFill>
                          <a:blip r:embed="rId61"/>
                          <a:srcRect/>
                          <a:stretch>
                            <a:fillRect/>
                          </a:stretch>
                        </pic:blipFill>
                        <pic:spPr>
                          <a:xfrm>
                            <a:off x="0" y="0"/>
                            <a:ext cx="914400" cy="914400"/>
                          </a:xfrm>
                          <a:prstGeom prst="rect">
                            <a:avLst/>
                          </a:prstGeom>
                          <a:ln/>
                        </pic:spPr>
                      </pic:pic>
                    </a:graphicData>
                  </a:graphic>
                </wp:inline>
              </w:drawing>
            </w:r>
          </w:p>
        </w:tc>
      </w:tr>
      <w:tr w:rsidR="006F2F23" w14:paraId="5D0706DE" w14:textId="77777777">
        <w:tc>
          <w:tcPr>
            <w:tcW w:w="2389" w:type="dxa"/>
            <w:vMerge/>
            <w:tcBorders>
              <w:top w:val="nil"/>
              <w:left w:val="nil"/>
              <w:bottom w:val="nil"/>
              <w:right w:val="nil"/>
            </w:tcBorders>
          </w:tcPr>
          <w:p w14:paraId="72157E59"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nil"/>
              <w:right w:val="nil"/>
            </w:tcBorders>
          </w:tcPr>
          <w:p w14:paraId="3D9D09F4"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More costly vs. less costly constrained action with a previously inefficient agent</w:t>
            </w:r>
          </w:p>
          <w:p w14:paraId="4C93A597" w14:textId="77777777" w:rsidR="006F2F23" w:rsidRDefault="006F2F23">
            <w:pPr>
              <w:rPr>
                <w:rFonts w:ascii="Times New Roman" w:eastAsia="Times New Roman" w:hAnsi="Times New Roman" w:cs="Times New Roman"/>
              </w:rPr>
            </w:pPr>
          </w:p>
        </w:tc>
        <w:tc>
          <w:tcPr>
            <w:tcW w:w="985" w:type="dxa"/>
            <w:vMerge/>
            <w:tcBorders>
              <w:top w:val="nil"/>
              <w:left w:val="nil"/>
              <w:bottom w:val="nil"/>
              <w:right w:val="nil"/>
            </w:tcBorders>
          </w:tcPr>
          <w:p w14:paraId="5744646D"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75CD89E1"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9FB97F9" wp14:editId="1401ED79">
                  <wp:extent cx="914400" cy="914400"/>
                  <wp:effectExtent l="0" t="0" r="0" b="0"/>
                  <wp:docPr id="60"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692F663C"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FFEF69" wp14:editId="7D904850">
                  <wp:extent cx="914400" cy="914400"/>
                  <wp:effectExtent l="0" t="0" r="0" b="0"/>
                  <wp:docPr id="5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5A720268"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1312" behindDoc="0" locked="0" layoutInCell="1" hidden="0" allowOverlap="1" wp14:anchorId="2333159B" wp14:editId="79D0AE8D">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EDE3A1"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1" name="image5.png"/>
                      <a:graphic>
                        <a:graphicData uri="http://schemas.openxmlformats.org/drawingml/2006/picture">
                          <pic:pic>
                            <pic:nvPicPr>
                              <pic:cNvPr id="0" name="image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62D33E39"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5C54FDB" wp14:editId="0D956F7C">
                  <wp:extent cx="914400" cy="914400"/>
                  <wp:effectExtent l="0" t="0" r="0" b="0"/>
                  <wp:docPr id="56"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r>
      <w:tr w:rsidR="006F2F23" w14:paraId="7E062DB9" w14:textId="77777777">
        <w:tc>
          <w:tcPr>
            <w:tcW w:w="2389" w:type="dxa"/>
            <w:vMerge w:val="restart"/>
            <w:tcBorders>
              <w:top w:val="nil"/>
              <w:left w:val="nil"/>
              <w:bottom w:val="single" w:sz="4" w:space="0" w:color="000000"/>
              <w:right w:val="nil"/>
            </w:tcBorders>
          </w:tcPr>
          <w:p w14:paraId="719F5DA5" w14:textId="77777777" w:rsidR="006F2F23" w:rsidRDefault="00000000">
            <w:pPr>
              <w:numPr>
                <w:ilvl w:val="0"/>
                <w:numId w:val="1"/>
              </w:numPr>
              <w:pBdr>
                <w:top w:val="nil"/>
                <w:left w:val="nil"/>
                <w:bottom w:val="nil"/>
                <w:right w:val="nil"/>
                <w:between w:val="nil"/>
              </w:pBdr>
              <w:spacing w:after="160" w:line="278"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Action efficiency understanding in pre-reaching infants.</w:t>
            </w:r>
          </w:p>
        </w:tc>
        <w:tc>
          <w:tcPr>
            <w:tcW w:w="1563" w:type="dxa"/>
            <w:tcBorders>
              <w:top w:val="nil"/>
              <w:left w:val="nil"/>
              <w:bottom w:val="single" w:sz="4" w:space="0" w:color="000000"/>
              <w:right w:val="nil"/>
            </w:tcBorders>
          </w:tcPr>
          <w:p w14:paraId="09D86B78"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constrained action</w:t>
            </w:r>
          </w:p>
          <w:p w14:paraId="4E9F9D0E" w14:textId="77777777" w:rsidR="006F2F23" w:rsidRDefault="006F2F23">
            <w:pPr>
              <w:rPr>
                <w:rFonts w:ascii="Times New Roman" w:eastAsia="Times New Roman" w:hAnsi="Times New Roman" w:cs="Times New Roman"/>
              </w:rPr>
            </w:pPr>
          </w:p>
        </w:tc>
        <w:tc>
          <w:tcPr>
            <w:tcW w:w="985" w:type="dxa"/>
            <w:vMerge w:val="restart"/>
            <w:tcBorders>
              <w:top w:val="nil"/>
              <w:left w:val="nil"/>
              <w:right w:val="nil"/>
            </w:tcBorders>
          </w:tcPr>
          <w:p w14:paraId="5C590058" w14:textId="77777777" w:rsidR="006F2F23" w:rsidRDefault="006F2F23">
            <w:pPr>
              <w:rPr>
                <w:rFonts w:ascii="Times New Roman" w:eastAsia="Times New Roman" w:hAnsi="Times New Roman" w:cs="Times New Roman"/>
              </w:rPr>
            </w:pPr>
          </w:p>
          <w:p w14:paraId="5D6F1D23" w14:textId="77777777" w:rsidR="006F2F23" w:rsidRDefault="006F2F23">
            <w:pPr>
              <w:rPr>
                <w:rFonts w:ascii="Times New Roman" w:eastAsia="Times New Roman" w:hAnsi="Times New Roman" w:cs="Times New Roman"/>
              </w:rPr>
            </w:pPr>
          </w:p>
          <w:p w14:paraId="0ABDBA82" w14:textId="77777777" w:rsidR="006F2F23" w:rsidRDefault="006F2F23">
            <w:pPr>
              <w:rPr>
                <w:rFonts w:ascii="Times New Roman" w:eastAsia="Times New Roman" w:hAnsi="Times New Roman" w:cs="Times New Roman"/>
              </w:rPr>
            </w:pPr>
          </w:p>
          <w:p w14:paraId="2BA8CB32" w14:textId="77777777" w:rsidR="006F2F23" w:rsidRDefault="006F2F23">
            <w:pPr>
              <w:rPr>
                <w:rFonts w:ascii="Times New Roman" w:eastAsia="Times New Roman" w:hAnsi="Times New Roman" w:cs="Times New Roman"/>
              </w:rPr>
            </w:pPr>
          </w:p>
          <w:p w14:paraId="0587F8F6" w14:textId="77777777" w:rsidR="006F2F23" w:rsidRDefault="006F2F23">
            <w:pPr>
              <w:rPr>
                <w:rFonts w:ascii="Times New Roman" w:eastAsia="Times New Roman" w:hAnsi="Times New Roman" w:cs="Times New Roman"/>
              </w:rPr>
            </w:pPr>
          </w:p>
          <w:p w14:paraId="4C66A6E5" w14:textId="77777777" w:rsidR="006F2F23" w:rsidRDefault="006F2F23">
            <w:pPr>
              <w:rPr>
                <w:rFonts w:ascii="Times New Roman" w:eastAsia="Times New Roman" w:hAnsi="Times New Roman" w:cs="Times New Roman"/>
              </w:rPr>
            </w:pPr>
          </w:p>
          <w:p w14:paraId="191D7B81" w14:textId="77777777" w:rsidR="006F2F23" w:rsidRDefault="006F2F23">
            <w:pPr>
              <w:rPr>
                <w:rFonts w:ascii="Times New Roman" w:eastAsia="Times New Roman" w:hAnsi="Times New Roman" w:cs="Times New Roman"/>
              </w:rPr>
            </w:pPr>
          </w:p>
          <w:p w14:paraId="1B17D550" w14:textId="77777777" w:rsidR="006F2F23" w:rsidRDefault="006F2F23">
            <w:pPr>
              <w:rPr>
                <w:rFonts w:ascii="Times New Roman" w:eastAsia="Times New Roman" w:hAnsi="Times New Roman" w:cs="Times New Roman"/>
              </w:rPr>
            </w:pPr>
          </w:p>
          <w:p w14:paraId="7C5F228B"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Skerry et al. (2013)</w:t>
            </w:r>
          </w:p>
        </w:tc>
        <w:tc>
          <w:tcPr>
            <w:tcW w:w="1656" w:type="dxa"/>
            <w:tcBorders>
              <w:top w:val="nil"/>
              <w:left w:val="nil"/>
              <w:bottom w:val="nil"/>
              <w:right w:val="nil"/>
            </w:tcBorders>
          </w:tcPr>
          <w:p w14:paraId="68BD2F72"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E2A33E" wp14:editId="699D4807">
                  <wp:extent cx="914400" cy="914400"/>
                  <wp:effectExtent l="0" t="0" r="0" b="0"/>
                  <wp:docPr id="57"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3CD2197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1E131D3" wp14:editId="47413A1A">
                  <wp:extent cx="914400" cy="914400"/>
                  <wp:effectExtent l="0" t="0" r="0" b="0"/>
                  <wp:docPr id="58"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63286131"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2336" behindDoc="0" locked="0" layoutInCell="1" hidden="0" allowOverlap="1" wp14:anchorId="2C5ED81B" wp14:editId="4D95436C">
                      <wp:simplePos x="0" y="0"/>
                      <wp:positionH relativeFrom="column">
                        <wp:posOffset>-7619</wp:posOffset>
                      </wp:positionH>
                      <wp:positionV relativeFrom="paragraph">
                        <wp:posOffset>223520</wp:posOffset>
                      </wp:positionV>
                      <wp:extent cx="1009650" cy="1404620"/>
                      <wp:effectExtent l="0" t="0" r="0" b="1905"/>
                      <wp:wrapSquare wrapText="bothSides" distT="45720" distB="45720" distL="114300" distR="114300"/>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06D276D"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223520</wp:posOffset>
                      </wp:positionV>
                      <wp:extent cx="1009650" cy="1406525"/>
                      <wp:effectExtent b="0" l="0" r="0" t="0"/>
                      <wp:wrapSquare wrapText="bothSides" distB="45720" distT="45720" distL="114300" distR="114300"/>
                      <wp:docPr id="5" name="image26.png"/>
                      <a:graphic>
                        <a:graphicData uri="http://schemas.openxmlformats.org/drawingml/2006/picture">
                          <pic:pic>
                            <pic:nvPicPr>
                              <pic:cNvPr id="0" name="image26.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1F258904"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3360" behindDoc="0" locked="0" layoutInCell="1" hidden="0" allowOverlap="1" wp14:anchorId="7248683D" wp14:editId="5ED3DC7A">
                      <wp:simplePos x="0" y="0"/>
                      <wp:positionH relativeFrom="column">
                        <wp:posOffset>-5713</wp:posOffset>
                      </wp:positionH>
                      <wp:positionV relativeFrom="paragraph">
                        <wp:posOffset>223520</wp:posOffset>
                      </wp:positionV>
                      <wp:extent cx="1009650" cy="1404620"/>
                      <wp:effectExtent l="0" t="0" r="0" b="1905"/>
                      <wp:wrapSquare wrapText="bothSides" distT="45720" distB="45720" distL="114300" distR="11430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936E5A7"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223520</wp:posOffset>
                      </wp:positionV>
                      <wp:extent cx="1009650" cy="1406525"/>
                      <wp:effectExtent b="0" l="0" r="0" t="0"/>
                      <wp:wrapSquare wrapText="bothSides" distB="45720" distT="45720" distL="114300" distR="114300"/>
                      <wp:docPr id="4" name="image25.png"/>
                      <a:graphic>
                        <a:graphicData uri="http://schemas.openxmlformats.org/drawingml/2006/picture">
                          <pic:pic>
                            <pic:nvPicPr>
                              <pic:cNvPr id="0" name="image25.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7AB4826E" w14:textId="77777777">
        <w:tc>
          <w:tcPr>
            <w:tcW w:w="2389" w:type="dxa"/>
            <w:vMerge/>
            <w:tcBorders>
              <w:top w:val="nil"/>
              <w:left w:val="nil"/>
              <w:bottom w:val="single" w:sz="4" w:space="0" w:color="000000"/>
              <w:right w:val="nil"/>
            </w:tcBorders>
          </w:tcPr>
          <w:p w14:paraId="4E151927"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1A72CC41"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 xml:space="preserve">Non-sticky mittens </w:t>
            </w:r>
            <w:proofErr w:type="gramStart"/>
            <w:r>
              <w:rPr>
                <w:rFonts w:ascii="Times New Roman" w:eastAsia="Times New Roman" w:hAnsi="Times New Roman" w:cs="Times New Roman"/>
              </w:rPr>
              <w:t>training  constrained</w:t>
            </w:r>
            <w:proofErr w:type="gramEnd"/>
            <w:r>
              <w:rPr>
                <w:rFonts w:ascii="Times New Roman" w:eastAsia="Times New Roman" w:hAnsi="Times New Roman" w:cs="Times New Roman"/>
              </w:rPr>
              <w:t xml:space="preserve"> action</w:t>
            </w:r>
          </w:p>
          <w:p w14:paraId="4112A059" w14:textId="77777777" w:rsidR="006F2F23" w:rsidRDefault="006F2F23">
            <w:pPr>
              <w:rPr>
                <w:rFonts w:ascii="Times New Roman" w:eastAsia="Times New Roman" w:hAnsi="Times New Roman" w:cs="Times New Roman"/>
              </w:rPr>
            </w:pPr>
          </w:p>
        </w:tc>
        <w:tc>
          <w:tcPr>
            <w:tcW w:w="985" w:type="dxa"/>
            <w:vMerge/>
            <w:tcBorders>
              <w:top w:val="nil"/>
              <w:left w:val="nil"/>
              <w:right w:val="nil"/>
            </w:tcBorders>
          </w:tcPr>
          <w:p w14:paraId="029E3BC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nil"/>
              <w:right w:val="nil"/>
            </w:tcBorders>
          </w:tcPr>
          <w:p w14:paraId="0B689CD6"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0BE18F4" wp14:editId="17CFF9F2">
                  <wp:extent cx="914400" cy="914400"/>
                  <wp:effectExtent l="0" t="0" r="0" b="0"/>
                  <wp:docPr id="53"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nil"/>
              <w:right w:val="nil"/>
            </w:tcBorders>
          </w:tcPr>
          <w:p w14:paraId="4755792A"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0B48053" wp14:editId="47ABB31A">
                  <wp:extent cx="914400" cy="914400"/>
                  <wp:effectExtent l="0" t="0" r="0" b="0"/>
                  <wp:docPr id="5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nil"/>
              <w:right w:val="nil"/>
            </w:tcBorders>
          </w:tcPr>
          <w:p w14:paraId="35160C4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4384" behindDoc="0" locked="0" layoutInCell="1" hidden="0" allowOverlap="1" wp14:anchorId="2102BE75" wp14:editId="01514DBF">
                      <wp:simplePos x="0" y="0"/>
                      <wp:positionH relativeFrom="column">
                        <wp:posOffset>-7619</wp:posOffset>
                      </wp:positionH>
                      <wp:positionV relativeFrom="paragraph">
                        <wp:posOffset>227965</wp:posOffset>
                      </wp:positionV>
                      <wp:extent cx="1009650" cy="1404620"/>
                      <wp:effectExtent l="0" t="0" r="0" b="1905"/>
                      <wp:wrapSquare wrapText="bothSides" distT="45720" distB="45720" distL="114300" distR="114300"/>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49B41EA"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227965</wp:posOffset>
                      </wp:positionV>
                      <wp:extent cx="1009650" cy="1406525"/>
                      <wp:effectExtent b="0" l="0" r="0" t="0"/>
                      <wp:wrapSquare wrapText="bothSides" distB="45720" distT="45720" distL="114300" distR="114300"/>
                      <wp:docPr id="7" name="image30.png"/>
                      <a:graphic>
                        <a:graphicData uri="http://schemas.openxmlformats.org/drawingml/2006/picture">
                          <pic:pic>
                            <pic:nvPicPr>
                              <pic:cNvPr id="0" name="image30.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nil"/>
              <w:right w:val="nil"/>
            </w:tcBorders>
          </w:tcPr>
          <w:p w14:paraId="29E2BE8A"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5408" behindDoc="0" locked="0" layoutInCell="1" hidden="0" allowOverlap="1" wp14:anchorId="2720578E" wp14:editId="1ECB9AC9">
                      <wp:simplePos x="0" y="0"/>
                      <wp:positionH relativeFrom="column">
                        <wp:posOffset>-5713</wp:posOffset>
                      </wp:positionH>
                      <wp:positionV relativeFrom="paragraph">
                        <wp:posOffset>227965</wp:posOffset>
                      </wp:positionV>
                      <wp:extent cx="1009650" cy="1404620"/>
                      <wp:effectExtent l="0" t="0" r="0" b="1905"/>
                      <wp:wrapSquare wrapText="bothSides" distT="45720" distB="45720" distL="114300" distR="11430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7EEB6A4"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227965</wp:posOffset>
                      </wp:positionV>
                      <wp:extent cx="1009650" cy="1406525"/>
                      <wp:effectExtent b="0" l="0" r="0" t="0"/>
                      <wp:wrapSquare wrapText="bothSides" distB="45720" distT="45720" distL="114300" distR="114300"/>
                      <wp:docPr id="2" name="image12.png"/>
                      <a:graphic>
                        <a:graphicData uri="http://schemas.openxmlformats.org/drawingml/2006/picture">
                          <pic:pic>
                            <pic:nvPicPr>
                              <pic:cNvPr id="0" name="image12.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r w:rsidR="006F2F23" w14:paraId="1E6453B6" w14:textId="77777777">
        <w:tc>
          <w:tcPr>
            <w:tcW w:w="2389" w:type="dxa"/>
            <w:vMerge/>
            <w:tcBorders>
              <w:top w:val="nil"/>
              <w:left w:val="nil"/>
              <w:bottom w:val="single" w:sz="4" w:space="0" w:color="000000"/>
              <w:right w:val="nil"/>
            </w:tcBorders>
          </w:tcPr>
          <w:p w14:paraId="79FCAF0B"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563" w:type="dxa"/>
            <w:tcBorders>
              <w:top w:val="single" w:sz="4" w:space="0" w:color="000000"/>
              <w:left w:val="nil"/>
              <w:bottom w:val="single" w:sz="4" w:space="0" w:color="000000"/>
              <w:right w:val="nil"/>
            </w:tcBorders>
          </w:tcPr>
          <w:p w14:paraId="6DD42737" w14:textId="77777777" w:rsidR="006F2F23" w:rsidRDefault="00000000">
            <w:pPr>
              <w:rPr>
                <w:rFonts w:ascii="Times New Roman" w:eastAsia="Times New Roman" w:hAnsi="Times New Roman" w:cs="Times New Roman"/>
              </w:rPr>
            </w:pPr>
            <w:r>
              <w:rPr>
                <w:rFonts w:ascii="Times New Roman" w:eastAsia="Times New Roman" w:hAnsi="Times New Roman" w:cs="Times New Roman"/>
              </w:rPr>
              <w:t>Sticky mittens training unconstrained action</w:t>
            </w:r>
          </w:p>
        </w:tc>
        <w:tc>
          <w:tcPr>
            <w:tcW w:w="985" w:type="dxa"/>
            <w:vMerge/>
            <w:tcBorders>
              <w:top w:val="nil"/>
              <w:left w:val="nil"/>
              <w:right w:val="nil"/>
            </w:tcBorders>
          </w:tcPr>
          <w:p w14:paraId="7EF14A4F" w14:textId="77777777" w:rsidR="006F2F23" w:rsidRDefault="006F2F23">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56" w:type="dxa"/>
            <w:tcBorders>
              <w:top w:val="nil"/>
              <w:left w:val="nil"/>
              <w:bottom w:val="single" w:sz="4" w:space="0" w:color="000000"/>
              <w:right w:val="nil"/>
            </w:tcBorders>
          </w:tcPr>
          <w:p w14:paraId="09BCB71B"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FDD8D8" wp14:editId="3C747AB2">
                  <wp:extent cx="914400" cy="914400"/>
                  <wp:effectExtent l="0" t="0" r="0" b="0"/>
                  <wp:docPr id="84"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656" w:type="dxa"/>
            <w:tcBorders>
              <w:top w:val="nil"/>
              <w:left w:val="nil"/>
              <w:bottom w:val="single" w:sz="4" w:space="0" w:color="000000"/>
              <w:right w:val="nil"/>
            </w:tcBorders>
          </w:tcPr>
          <w:p w14:paraId="27C94AC5" w14:textId="77777777" w:rsidR="006F2F23"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E4E7" wp14:editId="53C1592B">
                  <wp:extent cx="914400" cy="914400"/>
                  <wp:effectExtent l="0" t="0" r="0" b="0"/>
                  <wp:docPr id="85" name="image27.png" descr="Checkmark with solid fill"/>
                  <wp:cNvGraphicFramePr/>
                  <a:graphic xmlns:a="http://schemas.openxmlformats.org/drawingml/2006/main">
                    <a:graphicData uri="http://schemas.openxmlformats.org/drawingml/2006/picture">
                      <pic:pic xmlns:pic="http://schemas.openxmlformats.org/drawingml/2006/picture">
                        <pic:nvPicPr>
                          <pic:cNvPr id="0" name="image27.png" descr="Checkmark with solid fill"/>
                          <pic:cNvPicPr preferRelativeResize="0"/>
                        </pic:nvPicPr>
                        <pic:blipFill>
                          <a:blip r:embed="rId60"/>
                          <a:srcRect/>
                          <a:stretch>
                            <a:fillRect/>
                          </a:stretch>
                        </pic:blipFill>
                        <pic:spPr>
                          <a:xfrm>
                            <a:off x="0" y="0"/>
                            <a:ext cx="914400" cy="914400"/>
                          </a:xfrm>
                          <a:prstGeom prst="rect">
                            <a:avLst/>
                          </a:prstGeom>
                          <a:ln/>
                        </pic:spPr>
                      </pic:pic>
                    </a:graphicData>
                  </a:graphic>
                </wp:inline>
              </w:drawing>
            </w:r>
          </w:p>
        </w:tc>
        <w:tc>
          <w:tcPr>
            <w:tcW w:w="1806" w:type="dxa"/>
            <w:tcBorders>
              <w:top w:val="nil"/>
              <w:left w:val="nil"/>
              <w:bottom w:val="single" w:sz="4" w:space="0" w:color="000000"/>
              <w:right w:val="nil"/>
            </w:tcBorders>
          </w:tcPr>
          <w:p w14:paraId="704637BD"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6432" behindDoc="0" locked="0" layoutInCell="1" hidden="0" allowOverlap="1" wp14:anchorId="3B86AC00" wp14:editId="38814CA0">
                      <wp:simplePos x="0" y="0"/>
                      <wp:positionH relativeFrom="column">
                        <wp:posOffset>-7619</wp:posOffset>
                      </wp:positionH>
                      <wp:positionV relativeFrom="paragraph">
                        <wp:posOffset>228600</wp:posOffset>
                      </wp:positionV>
                      <wp:extent cx="1009650" cy="1404620"/>
                      <wp:effectExtent l="0" t="0" r="0" b="1905"/>
                      <wp:wrapSquare wrapText="bothSides" distT="45720" distB="45720" distL="114300" distR="114300"/>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0996EF0E"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-7619</wp:posOffset>
                      </wp:positionH>
                      <wp:positionV relativeFrom="paragraph">
                        <wp:posOffset>228600</wp:posOffset>
                      </wp:positionV>
                      <wp:extent cx="1009650" cy="1406525"/>
                      <wp:effectExtent b="0" l="0" r="0" t="0"/>
                      <wp:wrapSquare wrapText="bothSides" distB="45720" distT="45720" distL="114300" distR="114300"/>
                      <wp:docPr id="6" name="image29.png"/>
                      <a:graphic>
                        <a:graphicData uri="http://schemas.openxmlformats.org/drawingml/2006/picture">
                          <pic:pic>
                            <pic:nvPicPr>
                              <pic:cNvPr id="0" name="image29.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c>
          <w:tcPr>
            <w:tcW w:w="1806" w:type="dxa"/>
            <w:tcBorders>
              <w:top w:val="nil"/>
              <w:left w:val="nil"/>
              <w:bottom w:val="single" w:sz="4" w:space="0" w:color="000000"/>
              <w:right w:val="nil"/>
            </w:tcBorders>
          </w:tcPr>
          <w:p w14:paraId="50D53523" w14:textId="77777777" w:rsidR="006F2F23" w:rsidRDefault="00000000">
            <w:pPr>
              <w:rPr>
                <w:rFonts w:ascii="Times New Roman" w:eastAsia="Times New Roman" w:hAnsi="Times New Roman" w:cs="Times New Roman"/>
              </w:rPr>
            </w:pPr>
            <w:r>
              <w:rPr>
                <w:noProof/>
              </w:rPr>
              <mc:AlternateContent>
                <mc:Choice Requires="wps">
                  <w:drawing>
                    <wp:anchor distT="45720" distB="45720" distL="114300" distR="114300" simplePos="0" relativeHeight="251667456" behindDoc="0" locked="0" layoutInCell="1" hidden="0" allowOverlap="1" wp14:anchorId="53655AAF" wp14:editId="7254CD21">
                      <wp:simplePos x="0" y="0"/>
                      <wp:positionH relativeFrom="column">
                        <wp:posOffset>-5713</wp:posOffset>
                      </wp:positionH>
                      <wp:positionV relativeFrom="paragraph">
                        <wp:posOffset>228600</wp:posOffset>
                      </wp:positionV>
                      <wp:extent cx="1009650" cy="1404620"/>
                      <wp:effectExtent l="0" t="0" r="0" b="1905"/>
                      <wp:wrapSquare wrapText="bothSides" distT="45720" distB="45720" distL="114300" distR="11430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6857ADA3" w14:textId="77777777" w:rsidR="002069A3" w:rsidRPr="009F2A0B" w:rsidRDefault="00000000"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-5713</wp:posOffset>
                      </wp:positionH>
                      <wp:positionV relativeFrom="paragraph">
                        <wp:posOffset>228600</wp:posOffset>
                      </wp:positionV>
                      <wp:extent cx="1009650" cy="1406525"/>
                      <wp:effectExtent b="0" l="0" r="0" t="0"/>
                      <wp:wrapSquare wrapText="bothSides" distB="45720" distT="45720" distL="114300" distR="114300"/>
                      <wp:docPr id="10" name="image33.png"/>
                      <a:graphic>
                        <a:graphicData uri="http://schemas.openxmlformats.org/drawingml/2006/picture">
                          <pic:pic>
                            <pic:nvPicPr>
                              <pic:cNvPr id="0" name="image33.png"/>
                              <pic:cNvPicPr preferRelativeResize="0"/>
                            </pic:nvPicPr>
                            <pic:blipFill>
                              <a:blip r:embed="rId62"/>
                              <a:srcRect b="0" l="0" r="0" t="0"/>
                              <a:stretch>
                                <a:fillRect/>
                              </a:stretch>
                            </pic:blipFill>
                            <pic:spPr>
                              <a:xfrm>
                                <a:off x="0" y="0"/>
                                <a:ext cx="1009650" cy="1406525"/>
                              </a:xfrm>
                              <a:prstGeom prst="rect"/>
                              <a:ln/>
                            </pic:spPr>
                          </pic:pic>
                        </a:graphicData>
                      </a:graphic>
                    </wp:anchor>
                  </w:drawing>
                </mc:Fallback>
              </mc:AlternateContent>
            </w:r>
          </w:p>
        </w:tc>
      </w:tr>
    </w:tbl>
    <w:p w14:paraId="09EC3859" w14:textId="77777777" w:rsidR="006F2F23"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i/>
          <w:iCs/>
        </w:rPr>
        <w:t>Note.</w:t>
      </w:r>
      <w:r>
        <w:rPr>
          <w:rFonts w:ascii="Times New Roman" w:eastAsia="Times New Roman" w:hAnsi="Times New Roman" w:cs="Times New Roman"/>
        </w:rPr>
        <w:t xml:space="preserve"> Check marks indicate that a given model captured the qualitative pattern associated with a target finding and its corresponding illustrative paradigm; </w:t>
      </w:r>
      <w:proofErr w:type="spellStart"/>
      <w:r>
        <w:rPr>
          <w:rFonts w:ascii="Times New Roman" w:eastAsia="Times New Roman" w:hAnsi="Times New Roman" w:cs="Times New Roman"/>
        </w:rPr>
        <w:t>Xs</w:t>
      </w:r>
      <w:proofErr w:type="spellEnd"/>
      <w:r>
        <w:rPr>
          <w:rFonts w:ascii="Times New Roman" w:eastAsia="Times New Roman" w:hAnsi="Times New Roman" w:cs="Times New Roman"/>
        </w:rPr>
        <w:t xml:space="preserve"> indicate that the model failed to capture the finding; and dashes indicate that the model could not meaningfully be applied to the corresponding target and illustrative paradigm. Illustrative paradigms are nested within the broader target finding to which they correspond. </w:t>
      </w:r>
    </w:p>
    <w:p w14:paraId="463A6FE5" w14:textId="77777777" w:rsidR="006F2F23" w:rsidRDefault="006F2F23">
      <w:pPr>
        <w:spacing w:after="0" w:line="480" w:lineRule="auto"/>
        <w:ind w:firstLine="720"/>
        <w:rPr>
          <w:rFonts w:ascii="Times New Roman" w:eastAsia="Times New Roman" w:hAnsi="Times New Roman" w:cs="Times New Roman"/>
        </w:rPr>
      </w:pPr>
    </w:p>
    <w:p w14:paraId="4AE37B8F"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addition to capturing the target findings, the simulations provide insight into the mechanisms subserving infants’ looking behaviors. As one example, Simulation 4 showed that prior experience with curved trajectories and obstacles and with seeing agents stop next to their goals can explain why infants look longer at barrierless than constrained actions and why they look longer when agents stop short of their goals than when they stop next to them. As another example, Simulation 5 showed that increased error to the Inefficient than to the Efficient test events can be expected in an otherwise inexperienced system when it is allowed to develop a representation of its own straight reaches while in a heightened attentional state. Actions whose </w:t>
      </w:r>
      <w:r>
        <w:rPr>
          <w:rFonts w:ascii="Times New Roman" w:eastAsia="Times New Roman" w:hAnsi="Times New Roman" w:cs="Times New Roman"/>
        </w:rPr>
        <w:lastRenderedPageBreak/>
        <w:t xml:space="preserve">kinematics subsequently deviate from this learned representation should generate greater prediction error than actions whose kinematics match it. Taken together, </w:t>
      </w:r>
      <w:proofErr w:type="gramStart"/>
      <w:r>
        <w:rPr>
          <w:rFonts w:ascii="Times New Roman" w:eastAsia="Times New Roman" w:hAnsi="Times New Roman" w:cs="Times New Roman"/>
        </w:rPr>
        <w:t>the simulations</w:t>
      </w:r>
      <w:proofErr w:type="gramEnd"/>
      <w:r>
        <w:rPr>
          <w:rFonts w:ascii="Times New Roman" w:eastAsia="Times New Roman" w:hAnsi="Times New Roman" w:cs="Times New Roman"/>
        </w:rPr>
        <w:t xml:space="preserve"> do more than reproduce existing data—they elucidate the computational processes through which those findings arise in the model and could arise in infants. </w:t>
      </w:r>
    </w:p>
    <w:p w14:paraId="1407EED9"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Second, the current simulations generated several testable predictions. One is that infants habituated to constrained action and tested on High, inefficient and Barrierless, inefficient test events should look longer at the latter than at the former event. A second prediction is that infants should look longer at an inefficient than at an efficient action following habituation to arced motion that unfolds beneath an obstacle. Because ALIAS </w:t>
      </w:r>
      <w:proofErr w:type="gramStart"/>
      <w:r>
        <w:rPr>
          <w:rFonts w:ascii="Times New Roman" w:eastAsia="Times New Roman" w:hAnsi="Times New Roman" w:cs="Times New Roman"/>
        </w:rPr>
        <w:t>attributes’</w:t>
      </w:r>
      <w:proofErr w:type="gramEnd"/>
      <w:r>
        <w:rPr>
          <w:rFonts w:ascii="Times New Roman" w:eastAsia="Times New Roman" w:hAnsi="Times New Roman" w:cs="Times New Roman"/>
        </w:rPr>
        <w:t xml:space="preserve"> looking to learned associations among perceptually grounded features, the model also predicts that increasing the salience of peripherally located obstacles should promote the formation of associations between them and arced motion; decreasing</w:t>
      </w:r>
      <w:r>
        <w:rPr>
          <w:rFonts w:ascii="Times New Roman" w:eastAsia="Times New Roman" w:hAnsi="Times New Roman" w:cs="Times New Roman"/>
          <w:i/>
          <w:iCs/>
        </w:rPr>
        <w:t xml:space="preserve"> </w:t>
      </w:r>
      <w:r>
        <w:rPr>
          <w:rFonts w:ascii="Times New Roman" w:eastAsia="Times New Roman" w:hAnsi="Times New Roman" w:cs="Times New Roman"/>
        </w:rPr>
        <w:t xml:space="preserve">the salience of centrally located obstacles should weaken or prevent the formation of those same associations. Additionally, extending the sticky-mittens-induced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beyond the action phase should reverse the canonical pattern of longer looking to inefficient and efficient actions, and placing the action phase after rather than before habituation should restore it. Behavioral findings corroborating any of these predictions would provide strong support for the current account while posing a challenge for existing domain-specific proposals.</w:t>
      </w:r>
    </w:p>
    <w:p w14:paraId="0F62C2C4"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More generally, the present account may help to explain an apparent discontinuity between infant action efficiency understanding and later development. On the one hand, studies with infants suggest that sensitivity to action efficiency emerges sometime between 6 and 12 months of age (e.g.,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2003;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et al., 1999; Gergely et al., 1995; Liu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2017; Liu et al., 2017), if not earlier (e.g., Liu et al., 2019; Skerry et al., 2013). On the other </w:t>
      </w:r>
      <w:r>
        <w:rPr>
          <w:rFonts w:ascii="Times New Roman" w:eastAsia="Times New Roman" w:hAnsi="Times New Roman" w:cs="Times New Roman"/>
        </w:rPr>
        <w:lastRenderedPageBreak/>
        <w:t xml:space="preserve">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cost information when evaluating others’ behavior (Jara-Ettinger et al., 2015), and 5-year-olds reason productively about actions in terms of the costs and rewards (Jara-Ettinger et al., 2015). In contrast, other studies show that preschoolers neither distinguish efficient from inefficient actions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nor do they expect agents to follow more efficient and less costly paths when pursuing goals (e.g., Gönül &amp; Paulus, 2021). These diverging findings are difficult to reconcile under the domain-specific proposals described here because each implicitly assumes continuity in the mechanisms supporting action-efficiency-based inferences. Yet if notions like goals, efficiency, and cost really do guide infants’ action inferences, then it is unclear why evidence for such representations are present in early infancy but inconsistently in early childhood. </w:t>
      </w:r>
    </w:p>
    <w:p w14:paraId="5AD69B1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discrepancy evaporates under the current account. As should now be clear, on this account, infants’ looking behaviors do not reflect veridical efficiency-based action processing. To the extent that this is true, it does raise one outstanding question: How, then, does genuine efficiency-based action processing develop? There is no reason to think that its development is not ultimately rooted in the very same general associative processes that underpin the looking behavior of preverbal infants. Insight into what such a process might look like can be gleaned the Associative Sequence Learning theory (ASL; e.g., Heyes &amp; Ray, 2000; Heyes, 2001). The phenomenon this account explains is the development of imitation. According to ASL, perception and action are linked via repeated pairings between observed and executed actions. Over time, these associations become sufficiently strong that, upon observing another person </w:t>
      </w:r>
      <w:r>
        <w:rPr>
          <w:rFonts w:ascii="Times New Roman" w:eastAsia="Times New Roman" w:hAnsi="Times New Roman" w:cs="Times New Roman"/>
        </w:rPr>
        <w:lastRenderedPageBreak/>
        <w:t xml:space="preserve">engage in a familiar action, this action elicits the corresponding motor response. Importantly, ASL does not deny that imitation is a sophisticated cognitive ability; rather, it maintains that such sophistication emerges from learning rather than specialized mechanisms. In a similar vein, ALIAS neither denies that action efficiency understanding is a sophisticated </w:t>
      </w:r>
      <w:proofErr w:type="gramStart"/>
      <w:r>
        <w:rPr>
          <w:rFonts w:ascii="Times New Roman" w:eastAsia="Times New Roman" w:hAnsi="Times New Roman" w:cs="Times New Roman"/>
        </w:rPr>
        <w:t>capacity</w:t>
      </w:r>
      <w:proofErr w:type="gramEnd"/>
      <w:r>
        <w:rPr>
          <w:rFonts w:ascii="Times New Roman" w:eastAsia="Times New Roman" w:hAnsi="Times New Roman" w:cs="Times New Roman"/>
        </w:rPr>
        <w:t xml:space="preserve"> nor would it deny that individuals use it as some point during ontogeny to interpret others’ actions. Although ALIAS is an account of infants’ early looking behavior rather than a proposal for how efficiency-based action processing develops, the notion that the latter develops via the very same associative processes that underpin the former is entirely consistent with it. At the same time, observation alone is likely insufficient to support full action efficiency understanding. Physically experiencing the efficiency of one’s own actions may also be key (e.g., </w:t>
      </w: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et al., 2021). </w:t>
      </w:r>
    </w:p>
    <w:p w14:paraId="7607A80D"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Before concluding, two potential criticisms are worth noting. The first concerns the fact that the present simulations focused primarily on studies employing some version of Gergely et al.’s (1995) original paradigm. Potential downsides are that the conclusions that can thus be drawn from them are necessarily limited in scope and that it is unclear to what extent the current model can capture findings on infant action understanding broadly (e.g., Gergely et al., 2002; Woodward, 1998). Future work will therefore need to determine whether extended versions of ALIAS can capture findings beyond those related to infants’ action efficiency understanding.</w:t>
      </w:r>
    </w:p>
    <w:p w14:paraId="1EC6E280"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second concerns the model’s simplicity. Although movement was represented dynamically, all other aspects of the model were represented statically and locally. It could thus be argued that these simplifications resulted in a model that poorly approximated infants’ real-world action-observation experience. Without denying this criticism, it is worth bearing in mind that such simplifications were deliberate. By developing a simple model, it is possible precisely to elucidate the mechanisms by which it operates and, based on such an analysis, to advance </w:t>
      </w:r>
      <w:r>
        <w:rPr>
          <w:rFonts w:ascii="Times New Roman" w:eastAsia="Times New Roman" w:hAnsi="Times New Roman" w:cs="Times New Roman"/>
        </w:rPr>
        <w:lastRenderedPageBreak/>
        <w:t>theories of infant cognitive development. Although more sophisticated “deep learning” models may ultimately better capture the richness of infants’ real-world action-observation experience (e.g., Wai Keen Vong et al., 2024), a major disadvantage of such models is that their complexity can preclude their interpretability. A promising direction for future research is to implement ALIAS’s theoretical assumptions in a more ecologically valid model to assess whether it would continue to capture infants’ looking behaviors in efficiency-based action studies.</w:t>
      </w:r>
    </w:p>
    <w:p w14:paraId="4EEC1201"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In conclusion, the broad takeaway lesson from the simulations reported here is this: Patterns of looking that, at first blush, may appear to reflect sophisticated conceptual knowledge need not imply equally complex mechanisms and machinery. In the present case, behavior previously taken as evidence for action-efficiency representations and specialized mechanisms was shown to emerge from a domain-general associative learning mechanism operating over the visible surface features of action events. Thus, before concluding that infants’ performance reflects domain-specific mechanisms and </w:t>
      </w:r>
      <w:proofErr w:type="gramStart"/>
      <w:r>
        <w:rPr>
          <w:rFonts w:ascii="Times New Roman" w:eastAsia="Times New Roman" w:hAnsi="Times New Roman" w:cs="Times New Roman"/>
        </w:rPr>
        <w:t>early-emerging</w:t>
      </w:r>
      <w:proofErr w:type="gramEnd"/>
      <w:r>
        <w:rPr>
          <w:rFonts w:ascii="Times New Roman" w:eastAsia="Times New Roman" w:hAnsi="Times New Roman" w:cs="Times New Roman"/>
        </w:rPr>
        <w:t xml:space="preserve"> concepts, future studies must first rule out the possibility that such performance arises from more lean processes.</w:t>
      </w:r>
    </w:p>
    <w:p w14:paraId="517B9178" w14:textId="77777777" w:rsidR="006F2F23" w:rsidRDefault="00000000">
      <w:pPr>
        <w:spacing w:after="0"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p>
    <w:p w14:paraId="0C889205" w14:textId="77777777" w:rsidR="006F2F23" w:rsidRDefault="006F2F23">
      <w:pPr>
        <w:spacing w:after="0" w:line="480" w:lineRule="auto"/>
        <w:ind w:firstLine="720"/>
        <w:rPr>
          <w:rFonts w:ascii="Times New Roman" w:eastAsia="Times New Roman" w:hAnsi="Times New Roman" w:cs="Times New Roman"/>
        </w:rPr>
      </w:pPr>
    </w:p>
    <w:p w14:paraId="6E569318" w14:textId="77777777" w:rsidR="006F2F23" w:rsidRDefault="00000000">
      <w:pPr>
        <w:jc w:val="center"/>
        <w:rPr>
          <w:rFonts w:ascii="Times New Roman" w:eastAsia="Times New Roman" w:hAnsi="Times New Roman" w:cs="Times New Roman"/>
        </w:rPr>
      </w:pPr>
      <w:r>
        <w:br w:type="page"/>
      </w:r>
      <w:r>
        <w:rPr>
          <w:rFonts w:ascii="Times New Roman" w:eastAsia="Times New Roman" w:hAnsi="Times New Roman" w:cs="Times New Roman"/>
        </w:rPr>
        <w:lastRenderedPageBreak/>
        <w:t>References</w:t>
      </w:r>
    </w:p>
    <w:p w14:paraId="0A55F2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(1986). Representing the existence and the location of hidden objects: Object permanence in 6-and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23(1), 21–41. </w:t>
      </w:r>
      <w:hyperlink r:id="rId63">
        <w:r w:rsidR="006F2F23">
          <w:rPr>
            <w:rFonts w:ascii="Times New Roman" w:eastAsia="Times New Roman" w:hAnsi="Times New Roman" w:cs="Times New Roman"/>
            <w:color w:val="467886"/>
            <w:u w:val="single"/>
          </w:rPr>
          <w:t>https://doi.org/10.1016/0010-0277(86)90052-1</w:t>
        </w:r>
      </w:hyperlink>
    </w:p>
    <w:p w14:paraId="1E3CAA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(1987). Object permanence in 3½- and 4½-month-old infants. </w:t>
      </w:r>
      <w:r>
        <w:rPr>
          <w:rFonts w:ascii="Times New Roman" w:eastAsia="Times New Roman" w:hAnsi="Times New Roman" w:cs="Times New Roman"/>
          <w:i/>
          <w:iCs/>
        </w:rPr>
        <w:t>Developmental Psychology</w:t>
      </w:r>
      <w:r>
        <w:rPr>
          <w:rFonts w:ascii="Times New Roman" w:eastAsia="Times New Roman" w:hAnsi="Times New Roman" w:cs="Times New Roman"/>
        </w:rPr>
        <w:t>, 23(5), 655–664. https://doi.org/10.1037/0012-1649.23.5.655</w:t>
      </w:r>
    </w:p>
    <w:p w14:paraId="185350F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&amp; DeVos, J. (1991). Object permanence in young infants: Further evidence. </w:t>
      </w:r>
      <w:r>
        <w:rPr>
          <w:rFonts w:ascii="Times New Roman" w:eastAsia="Times New Roman" w:hAnsi="Times New Roman" w:cs="Times New Roman"/>
          <w:i/>
          <w:iCs/>
        </w:rPr>
        <w:t>Child Development</w:t>
      </w:r>
      <w:r>
        <w:rPr>
          <w:rFonts w:ascii="Times New Roman" w:eastAsia="Times New Roman" w:hAnsi="Times New Roman" w:cs="Times New Roman"/>
        </w:rPr>
        <w:t xml:space="preserve">, 62(6), 1227–1246. </w:t>
      </w:r>
      <w:hyperlink r:id="rId64">
        <w:r w:rsidR="006F2F23">
          <w:rPr>
            <w:rFonts w:ascii="Times New Roman" w:eastAsia="Times New Roman" w:hAnsi="Times New Roman" w:cs="Times New Roman"/>
            <w:color w:val="467886"/>
            <w:u w:val="single"/>
          </w:rPr>
          <w:t>https://doi.org/10.1111/j.1467-8624.1991.tb01602.x</w:t>
        </w:r>
      </w:hyperlink>
    </w:p>
    <w:p w14:paraId="4F55003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Baillargeon, R.,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&amp; Wasserman, S. (1985). Object permanence in five-month-old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20(3), 191–208. </w:t>
      </w:r>
      <w:hyperlink r:id="rId65">
        <w:r w:rsidR="006F2F23">
          <w:rPr>
            <w:rFonts w:ascii="Times New Roman" w:eastAsia="Times New Roman" w:hAnsi="Times New Roman" w:cs="Times New Roman"/>
            <w:color w:val="467886"/>
            <w:u w:val="single"/>
          </w:rPr>
          <w:t>https://doi.org/10.1016/0010-0277(85)90008-3</w:t>
        </w:r>
      </w:hyperlink>
    </w:p>
    <w:p w14:paraId="0AF5656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(2022). The elusive “Developmental Mechanism”: What they are and how to study and test them. </w:t>
      </w:r>
      <w:r>
        <w:rPr>
          <w:rFonts w:ascii="Times New Roman" w:eastAsia="Times New Roman" w:hAnsi="Times New Roman" w:cs="Times New Roman"/>
          <w:i/>
          <w:iCs/>
        </w:rPr>
        <w:t>Developmental Review</w:t>
      </w:r>
      <w:r>
        <w:rPr>
          <w:rFonts w:ascii="Times New Roman" w:eastAsia="Times New Roman" w:hAnsi="Times New Roman" w:cs="Times New Roman"/>
        </w:rPr>
        <w:t xml:space="preserve">, 65, 101034. </w:t>
      </w:r>
      <w:hyperlink r:id="rId66">
        <w:r w:rsidR="006F2F23">
          <w:rPr>
            <w:rFonts w:ascii="Times New Roman" w:eastAsia="Times New Roman" w:hAnsi="Times New Roman" w:cs="Times New Roman"/>
            <w:color w:val="467886"/>
            <w:u w:val="single"/>
          </w:rPr>
          <w:t>https://doi.org/10.1016/j.dr.2022.101034</w:t>
        </w:r>
      </w:hyperlink>
    </w:p>
    <w:p w14:paraId="034078E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(2023). But what is the mechanism?’: Demystifying the ever elusive ‘developmental mechanism.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32(6), e2355. </w:t>
      </w:r>
      <w:hyperlink r:id="rId67">
        <w:r w:rsidR="006F2F23">
          <w:rPr>
            <w:rFonts w:ascii="Times New Roman" w:eastAsia="Times New Roman" w:hAnsi="Times New Roman" w:cs="Times New Roman"/>
            <w:color w:val="467886"/>
            <w:u w:val="single"/>
          </w:rPr>
          <w:t>https://doi.org/10.1002/icd.2355</w:t>
        </w:r>
      </w:hyperlink>
    </w:p>
    <w:p w14:paraId="5B6A6D16" w14:textId="77777777" w:rsidR="006F2F23" w:rsidRDefault="00000000">
      <w:pPr>
        <w:spacing w:line="480" w:lineRule="auto"/>
        <w:ind w:hanging="720"/>
      </w:pPr>
      <w:r>
        <w:rPr>
          <w:rFonts w:ascii="Times New Roman" w:eastAsia="Times New Roman" w:hAnsi="Times New Roman" w:cs="Times New Roman"/>
        </w:rPr>
        <w:t xml:space="preserve">Benton, D. T. (2025). An associative-learning account of how infants learn about causal action in animates and </w:t>
      </w:r>
      <w:proofErr w:type="spellStart"/>
      <w:r>
        <w:rPr>
          <w:rFonts w:ascii="Times New Roman" w:eastAsia="Times New Roman" w:hAnsi="Times New Roman" w:cs="Times New Roman"/>
        </w:rPr>
        <w:t>inanimates</w:t>
      </w:r>
      <w:proofErr w:type="spellEnd"/>
      <w:r>
        <w:rPr>
          <w:rFonts w:ascii="Times New Roman" w:eastAsia="Times New Roman" w:hAnsi="Times New Roman" w:cs="Times New Roman"/>
        </w:rPr>
        <w:t>: A critical reexamination of four classic studies.</w:t>
      </w:r>
      <w:r>
        <w:rPr>
          <w:rFonts w:ascii="Times New Roman" w:eastAsia="Times New Roman" w:hAnsi="Times New Roman" w:cs="Times New Roman"/>
          <w:i/>
          <w:iCs/>
        </w:rPr>
        <w:t xml:space="preserve"> Journal of Experimental Psychology: General</w:t>
      </w:r>
      <w:r>
        <w:rPr>
          <w:rFonts w:ascii="Times New Roman" w:eastAsia="Times New Roman" w:hAnsi="Times New Roman" w:cs="Times New Roman"/>
        </w:rPr>
        <w:t xml:space="preserve">, 154(2), 497–521. </w:t>
      </w:r>
      <w:hyperlink r:id="rId68">
        <w:r w:rsidR="006F2F23">
          <w:rPr>
            <w:rFonts w:ascii="Times New Roman" w:eastAsia="Times New Roman" w:hAnsi="Times New Roman" w:cs="Times New Roman"/>
            <w:color w:val="467886"/>
            <w:u w:val="single"/>
          </w:rPr>
          <w:t>https://doi.org/10.1037/xge0001656</w:t>
        </w:r>
      </w:hyperlink>
    </w:p>
    <w:p w14:paraId="1CE7CF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D.T., &amp; Hoch, J.E. (2026). An associative learning account of how saliva becomes a cue for comfort. </w:t>
      </w:r>
      <w:r>
        <w:rPr>
          <w:rFonts w:ascii="Times New Roman" w:eastAsia="Times New Roman" w:hAnsi="Times New Roman" w:cs="Times New Roman"/>
          <w:i/>
          <w:iCs/>
        </w:rPr>
        <w:t>Child Development</w:t>
      </w:r>
      <w:r>
        <w:rPr>
          <w:rFonts w:ascii="Times New Roman" w:eastAsia="Times New Roman" w:hAnsi="Times New Roman" w:cs="Times New Roman"/>
        </w:rPr>
        <w:t>. 10.1093/</w:t>
      </w:r>
      <w:proofErr w:type="spellStart"/>
      <w:r>
        <w:rPr>
          <w:rFonts w:ascii="Times New Roman" w:eastAsia="Times New Roman" w:hAnsi="Times New Roman" w:cs="Times New Roman"/>
        </w:rPr>
        <w:t>chidev</w:t>
      </w:r>
      <w:proofErr w:type="spellEnd"/>
      <w:r>
        <w:rPr>
          <w:rFonts w:ascii="Times New Roman" w:eastAsia="Times New Roman" w:hAnsi="Times New Roman" w:cs="Times New Roman"/>
        </w:rPr>
        <w:t>/aacag119</w:t>
      </w:r>
    </w:p>
    <w:p w14:paraId="04203C9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Benton, D. T., &amp; Lapan, C. (2021). Moral masters or moral apprentices? A connectionist account of sociomoral evaluation in preverbal infants.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 101164. </w:t>
      </w:r>
      <w:hyperlink r:id="rId69">
        <w:r w:rsidR="006F2F23">
          <w:rPr>
            <w:rFonts w:ascii="Times New Roman" w:eastAsia="Times New Roman" w:hAnsi="Times New Roman" w:cs="Times New Roman"/>
            <w:color w:val="467886"/>
            <w:u w:val="single"/>
          </w:rPr>
          <w:t>https://doi.org/10.1016/j.cogdev.2022.101164</w:t>
        </w:r>
      </w:hyperlink>
    </w:p>
    <w:p w14:paraId="63C06A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(3), e13464. </w:t>
      </w:r>
      <w:hyperlink r:id="rId70">
        <w:r w:rsidR="006F2F23">
          <w:rPr>
            <w:rFonts w:ascii="Times New Roman" w:eastAsia="Times New Roman" w:hAnsi="Times New Roman" w:cs="Times New Roman"/>
            <w:color w:val="467886"/>
            <w:u w:val="single"/>
          </w:rPr>
          <w:t>https://doi.org/10.1111/desc.13464</w:t>
        </w:r>
      </w:hyperlink>
    </w:p>
    <w:p w14:paraId="67C1C86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Berthiaume, V. G., Shultz, T. R., &amp; Onishi, K. H. (2013). A constructivist connectionist model of transitions on false-belief tasks.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126</w:t>
      </w:r>
      <w:r>
        <w:rPr>
          <w:rFonts w:ascii="Times New Roman" w:eastAsia="Times New Roman" w:hAnsi="Times New Roman" w:cs="Times New Roman"/>
        </w:rPr>
        <w:t xml:space="preserve">(3), 441–458. </w:t>
      </w:r>
      <w:hyperlink r:id="rId71">
        <w:r w:rsidR="006F2F23">
          <w:rPr>
            <w:rFonts w:ascii="Times New Roman" w:eastAsia="Times New Roman" w:hAnsi="Times New Roman" w:cs="Times New Roman"/>
            <w:color w:val="467886"/>
            <w:u w:val="single"/>
          </w:rPr>
          <w:t>https://doi.org/10.1016/j.cognition.2012.11.007</w:t>
        </w:r>
      </w:hyperlink>
      <w:r>
        <w:rPr>
          <w:rFonts w:ascii="Times New Roman" w:eastAsia="Times New Roman" w:hAnsi="Times New Roman" w:cs="Times New Roman"/>
        </w:rPr>
        <w:t xml:space="preserve"> </w:t>
      </w:r>
    </w:p>
    <w:p w14:paraId="1032CBF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Blumberg, M. S., &amp; Adolph, K. E. (2023). Protracted development of motor cortex constrains rich interpretations of infant cognition.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(3), 233-245. </w:t>
      </w:r>
      <w:hyperlink r:id="rId72">
        <w:r w:rsidR="006F2F23">
          <w:rPr>
            <w:rFonts w:ascii="Times New Roman" w:eastAsia="Times New Roman" w:hAnsi="Times New Roman" w:cs="Times New Roman"/>
            <w:color w:val="467886"/>
            <w:u w:val="single"/>
          </w:rPr>
          <w:t>https://doi.org/10.1016/j.tics.2022.12.014</w:t>
        </w:r>
      </w:hyperlink>
    </w:p>
    <w:p w14:paraId="07C7E926"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Bogartz</w:t>
      </w:r>
      <w:proofErr w:type="spellEnd"/>
      <w:r>
        <w:rPr>
          <w:rFonts w:ascii="Times New Roman" w:eastAsia="Times New Roman" w:hAnsi="Times New Roman" w:cs="Times New Roman"/>
        </w:rPr>
        <w:t xml:space="preserve">, R. S., </w:t>
      </w:r>
      <w:proofErr w:type="spellStart"/>
      <w:r>
        <w:rPr>
          <w:rFonts w:ascii="Times New Roman" w:eastAsia="Times New Roman" w:hAnsi="Times New Roman" w:cs="Times New Roman"/>
        </w:rPr>
        <w:t>Shinskey</w:t>
      </w:r>
      <w:proofErr w:type="spellEnd"/>
      <w:r>
        <w:rPr>
          <w:rFonts w:ascii="Times New Roman" w:eastAsia="Times New Roman" w:hAnsi="Times New Roman" w:cs="Times New Roman"/>
        </w:rPr>
        <w:t xml:space="preserve">, J. L., &amp; Schilling, T. H. (2000). Object permanence in five‐and‐a‐half‐month‐old </w:t>
      </w:r>
      <w:proofErr w:type="gramStart"/>
      <w:r>
        <w:rPr>
          <w:rFonts w:ascii="Times New Roman" w:eastAsia="Times New Roman" w:hAnsi="Times New Roman" w:cs="Times New Roman"/>
        </w:rPr>
        <w:t>infants?.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(4), 403–428. </w:t>
      </w:r>
      <w:hyperlink r:id="rId73">
        <w:r w:rsidR="006F2F23">
          <w:rPr>
            <w:rFonts w:ascii="Times New Roman" w:eastAsia="Times New Roman" w:hAnsi="Times New Roman" w:cs="Times New Roman"/>
            <w:color w:val="467886"/>
            <w:u w:val="single"/>
          </w:rPr>
          <w:t>https://doi.org/10.1207/S15327078IN0104_3</w:t>
        </w:r>
      </w:hyperlink>
    </w:p>
    <w:p w14:paraId="1B481A8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Bomba, P. C., &amp; </w:t>
      </w:r>
      <w:proofErr w:type="spellStart"/>
      <w:r>
        <w:rPr>
          <w:rFonts w:ascii="Times New Roman" w:eastAsia="Times New Roman" w:hAnsi="Times New Roman" w:cs="Times New Roman"/>
        </w:rPr>
        <w:t>Siqueland</w:t>
      </w:r>
      <w:proofErr w:type="spellEnd"/>
      <w:r>
        <w:rPr>
          <w:rFonts w:ascii="Times New Roman" w:eastAsia="Times New Roman" w:hAnsi="Times New Roman" w:cs="Times New Roman"/>
        </w:rPr>
        <w:t xml:space="preserve">, E. R. (1983). The nature and structure of infant form categories.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w:t>
      </w:r>
      <w:r>
        <w:rPr>
          <w:rFonts w:ascii="Times New Roman" w:eastAsia="Times New Roman" w:hAnsi="Times New Roman" w:cs="Times New Roman"/>
          <w:i/>
          <w:iCs/>
        </w:rPr>
        <w:t>35</w:t>
      </w:r>
      <w:r>
        <w:rPr>
          <w:rFonts w:ascii="Times New Roman" w:eastAsia="Times New Roman" w:hAnsi="Times New Roman" w:cs="Times New Roman"/>
        </w:rPr>
        <w:t xml:space="preserve">(3), 294–328. </w:t>
      </w:r>
      <w:hyperlink r:id="rId74">
        <w:r w:rsidR="006F2F23">
          <w:rPr>
            <w:rFonts w:ascii="Times New Roman" w:eastAsia="Times New Roman" w:hAnsi="Times New Roman" w:cs="Times New Roman"/>
            <w:color w:val="467886"/>
            <w:u w:val="single"/>
          </w:rPr>
          <w:t>https://doi.org/10.1016/0022-0965(83)90085-3</w:t>
        </w:r>
      </w:hyperlink>
      <w:r>
        <w:rPr>
          <w:rFonts w:ascii="Times New Roman" w:eastAsia="Times New Roman" w:hAnsi="Times New Roman" w:cs="Times New Roman"/>
        </w:rPr>
        <w:t xml:space="preserve"> </w:t>
      </w:r>
    </w:p>
    <w:p w14:paraId="382F01C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Carey, S. (2009). The origin of concepts. Oxford University Press.</w:t>
      </w:r>
    </w:p>
    <w:p w14:paraId="7E6389AD" w14:textId="77777777" w:rsidR="006F2F23" w:rsidRDefault="00000000">
      <w:pPr>
        <w:spacing w:line="480" w:lineRule="auto"/>
        <w:ind w:hanging="720"/>
      </w:pPr>
      <w:r>
        <w:rPr>
          <w:rFonts w:ascii="Times New Roman" w:eastAsia="Times New Roman" w:hAnsi="Times New Roman" w:cs="Times New Roman"/>
        </w:rPr>
        <w:t xml:space="preserve">Christiansen, M. H., &amp; Curtin, S. (1999). Transfer of learning: Rule acquisition or statistical learning?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3</w:t>
      </w:r>
      <w:r>
        <w:rPr>
          <w:rFonts w:ascii="Times New Roman" w:eastAsia="Times New Roman" w:hAnsi="Times New Roman" w:cs="Times New Roman"/>
        </w:rPr>
        <w:t xml:space="preserve">(8), 289–290. </w:t>
      </w:r>
      <w:hyperlink r:id="rId75">
        <w:r w:rsidR="006F2F23">
          <w:rPr>
            <w:rFonts w:ascii="Times New Roman" w:eastAsia="Times New Roman" w:hAnsi="Times New Roman" w:cs="Times New Roman"/>
            <w:color w:val="467886"/>
            <w:u w:val="single"/>
          </w:rPr>
          <w:t>https://doi.org/10.1016/S1364-6613(99)01356-X</w:t>
        </w:r>
      </w:hyperlink>
    </w:p>
    <w:p w14:paraId="4BA5AB0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Clearfield, M. W., &amp; Mix, K. S. (1999). Number versus contour length in infants' discrimination of small visual sets. </w:t>
      </w:r>
      <w:r>
        <w:rPr>
          <w:rFonts w:ascii="Times New Roman" w:eastAsia="Times New Roman" w:hAnsi="Times New Roman" w:cs="Times New Roman"/>
          <w:i/>
          <w:iCs/>
        </w:rPr>
        <w:t>Psychological science</w:t>
      </w:r>
      <w:r>
        <w:rPr>
          <w:rFonts w:ascii="Times New Roman" w:eastAsia="Times New Roman" w:hAnsi="Times New Roman" w:cs="Times New Roman"/>
        </w:rPr>
        <w:t>, </w:t>
      </w:r>
      <w:r>
        <w:rPr>
          <w:rFonts w:ascii="Times New Roman" w:eastAsia="Times New Roman" w:hAnsi="Times New Roman" w:cs="Times New Roman"/>
          <w:i/>
          <w:iCs/>
        </w:rPr>
        <w:t>10</w:t>
      </w:r>
      <w:r>
        <w:rPr>
          <w:rFonts w:ascii="Times New Roman" w:eastAsia="Times New Roman" w:hAnsi="Times New Roman" w:cs="Times New Roman"/>
        </w:rPr>
        <w:t>(5), 408-411. https://doi.org/10.1111/1467-9280.00177</w:t>
      </w:r>
    </w:p>
    <w:p w14:paraId="2D9E3A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(1973). A two-process model of infant visual attention. </w:t>
      </w:r>
      <w:r>
        <w:rPr>
          <w:rFonts w:ascii="Times New Roman" w:eastAsia="Times New Roman" w:hAnsi="Times New Roman" w:cs="Times New Roman"/>
          <w:i/>
          <w:iCs/>
        </w:rPr>
        <w:t>Merrill-Palmer Quarterly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157–180. </w:t>
      </w:r>
    </w:p>
    <w:p w14:paraId="2A3BF03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Chaput, H. H., &amp; Cashon, C. H. (2002). A constructivist model of infant cognition.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17</w:t>
      </w:r>
      <w:r>
        <w:rPr>
          <w:rFonts w:ascii="Times New Roman" w:eastAsia="Times New Roman" w:hAnsi="Times New Roman" w:cs="Times New Roman"/>
        </w:rPr>
        <w:t xml:space="preserve">(3–4), 1323–1343. </w:t>
      </w:r>
      <w:hyperlink r:id="rId76">
        <w:r w:rsidR="006F2F23">
          <w:rPr>
            <w:rFonts w:ascii="Times New Roman" w:eastAsia="Times New Roman" w:hAnsi="Times New Roman" w:cs="Times New Roman"/>
            <w:color w:val="467886"/>
            <w:u w:val="single"/>
          </w:rPr>
          <w:t>https://doi.org/10.1016/S0885-2014(02)00124-7</w:t>
        </w:r>
      </w:hyperlink>
    </w:p>
    <w:p w14:paraId="587BD4A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Marks, K. S. (2002). How infants process addition and subtraction events.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xml:space="preserve">(2), 186–201. </w:t>
      </w:r>
      <w:hyperlink r:id="rId77">
        <w:r w:rsidR="006F2F23">
          <w:rPr>
            <w:rFonts w:ascii="Times New Roman" w:eastAsia="Times New Roman" w:hAnsi="Times New Roman" w:cs="Times New Roman"/>
            <w:color w:val="467886"/>
            <w:u w:val="single"/>
          </w:rPr>
          <w:t>https://doi.org/10.1111/1467-7687.00220</w:t>
        </w:r>
      </w:hyperlink>
    </w:p>
    <w:p w14:paraId="219B2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Cohen, L. B., &amp; Oakes, L. M. (1993). How infants perceive a simple causal event.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29</w:t>
      </w:r>
      <w:r>
        <w:rPr>
          <w:rFonts w:ascii="Times New Roman" w:eastAsia="Times New Roman" w:hAnsi="Times New Roman" w:cs="Times New Roman"/>
        </w:rPr>
        <w:t xml:space="preserve">(3), 421–433. </w:t>
      </w:r>
      <w:hyperlink r:id="rId78">
        <w:r w:rsidR="006F2F23">
          <w:rPr>
            <w:rFonts w:ascii="Times New Roman" w:eastAsia="Times New Roman" w:hAnsi="Times New Roman" w:cs="Times New Roman"/>
            <w:color w:val="467886"/>
            <w:u w:val="single"/>
          </w:rPr>
          <w:t>https://doi.org/10.1037/0012-1649.29.3.421</w:t>
        </w:r>
      </w:hyperlink>
    </w:p>
    <w:p w14:paraId="576D9D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Colunga, E., &amp; Smith, L. B. (2005). From the lexicon to expectations about kinds: A role for associative learning.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112</w:t>
      </w:r>
      <w:r>
        <w:rPr>
          <w:rFonts w:ascii="Times New Roman" w:eastAsia="Times New Roman" w:hAnsi="Times New Roman" w:cs="Times New Roman"/>
        </w:rPr>
        <w:t xml:space="preserve">(2), 347–382. </w:t>
      </w:r>
      <w:hyperlink r:id="rId79">
        <w:r w:rsidR="006F2F23">
          <w:rPr>
            <w:rFonts w:ascii="Times New Roman" w:eastAsia="Times New Roman" w:hAnsi="Times New Roman" w:cs="Times New Roman"/>
            <w:color w:val="467886"/>
            <w:u w:val="single"/>
          </w:rPr>
          <w:t>https://doi.org/10.1037/0033-295X.112.2.347</w:t>
        </w:r>
      </w:hyperlink>
    </w:p>
    <w:p w14:paraId="2334AF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&amp; Gergely, G. (1998). The teleological origins of mentalistic action explanations: A developmental hypothesis.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255–259. </w:t>
      </w:r>
      <w:hyperlink r:id="rId80">
        <w:r w:rsidR="006F2F23">
          <w:rPr>
            <w:rFonts w:ascii="Times New Roman" w:eastAsia="Times New Roman" w:hAnsi="Times New Roman" w:cs="Times New Roman"/>
            <w:color w:val="467886"/>
            <w:u w:val="single"/>
          </w:rPr>
          <w:t>https://doi.org/10.1111/1467-7687.00039</w:t>
        </w:r>
      </w:hyperlink>
    </w:p>
    <w:p w14:paraId="374D0C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Csibra, G., Bíró, S., Koós, O., &amp; Gergely, G. (2003). One‐year‐old infants use teleological representations of actions productively. Cognitive Science, </w:t>
      </w:r>
      <w:r>
        <w:rPr>
          <w:rFonts w:ascii="Times New Roman" w:eastAsia="Times New Roman" w:hAnsi="Times New Roman" w:cs="Times New Roman"/>
          <w:i/>
          <w:iCs/>
        </w:rPr>
        <w:t>27</w:t>
      </w:r>
      <w:r>
        <w:rPr>
          <w:rFonts w:ascii="Times New Roman" w:eastAsia="Times New Roman" w:hAnsi="Times New Roman" w:cs="Times New Roman"/>
        </w:rPr>
        <w:t xml:space="preserve">(1), 111–133. </w:t>
      </w:r>
      <w:hyperlink r:id="rId81">
        <w:r w:rsidR="006F2F23">
          <w:rPr>
            <w:rFonts w:ascii="Times New Roman" w:eastAsia="Times New Roman" w:hAnsi="Times New Roman" w:cs="Times New Roman"/>
            <w:color w:val="467886"/>
            <w:u w:val="single"/>
          </w:rPr>
          <w:t>https://doi.org/10.1207/s15516709cog2701_4</w:t>
        </w:r>
      </w:hyperlink>
    </w:p>
    <w:p w14:paraId="21F3028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Csibra, G., Gergely, G., Bíró, S., Koos, O., &amp; Brockbank, M. (1999). Goal attribution without agency cues: The perception of 'pure reason' in infancy.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72</w:t>
      </w:r>
      <w:r>
        <w:rPr>
          <w:rFonts w:ascii="Times New Roman" w:eastAsia="Times New Roman" w:hAnsi="Times New Roman" w:cs="Times New Roman"/>
        </w:rPr>
        <w:t xml:space="preserve">(3), 237–267. </w:t>
      </w:r>
      <w:hyperlink r:id="rId82">
        <w:r w:rsidR="006F2F23">
          <w:rPr>
            <w:rFonts w:ascii="Times New Roman" w:eastAsia="Times New Roman" w:hAnsi="Times New Roman" w:cs="Times New Roman"/>
            <w:color w:val="467886"/>
            <w:u w:val="single"/>
          </w:rPr>
          <w:t>https://doi.org/10.1016/S0010-0277(99)00039-6</w:t>
        </w:r>
      </w:hyperlink>
    </w:p>
    <w:p w14:paraId="02B4CE2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Elman, J. L. (1990). Finding structure in time.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(2), 179–211. </w:t>
      </w:r>
      <w:hyperlink r:id="rId83">
        <w:r w:rsidR="006F2F23">
          <w:rPr>
            <w:rFonts w:ascii="Times New Roman" w:eastAsia="Times New Roman" w:hAnsi="Times New Roman" w:cs="Times New Roman"/>
            <w:color w:val="467886"/>
            <w:u w:val="single"/>
          </w:rPr>
          <w:t>https://doi.org/10.1207/s15516709cog1402_1</w:t>
        </w:r>
      </w:hyperlink>
      <w:r>
        <w:rPr>
          <w:rFonts w:ascii="Times New Roman" w:eastAsia="Times New Roman" w:hAnsi="Times New Roman" w:cs="Times New Roman"/>
        </w:rPr>
        <w:t xml:space="preserve"> </w:t>
      </w:r>
    </w:p>
    <w:p w14:paraId="6D54C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Gelman, R. (1990). First principles organize attention to and learning about relevant data: Number and the animate‐inanimate distinction as examples.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(1), 79–106. </w:t>
      </w:r>
      <w:hyperlink r:id="rId84">
        <w:r w:rsidR="006F2F23">
          <w:rPr>
            <w:rFonts w:ascii="Times New Roman" w:eastAsia="Times New Roman" w:hAnsi="Times New Roman" w:cs="Times New Roman"/>
            <w:color w:val="467886"/>
            <w:u w:val="single"/>
          </w:rPr>
          <w:t>https://doi.org/10.1207/s15516709cog1401_5</w:t>
        </w:r>
      </w:hyperlink>
    </w:p>
    <w:p w14:paraId="6865B36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Geraci, A., &amp; Surian, L. (2011). The developmental roots of fairness: Infants' reactions to equal and unequal distributions of resources.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14</w:t>
      </w:r>
      <w:r>
        <w:rPr>
          <w:rFonts w:ascii="Times New Roman" w:eastAsia="Times New Roman" w:hAnsi="Times New Roman" w:cs="Times New Roman"/>
        </w:rPr>
        <w:t xml:space="preserve">(5), 1012–1020. </w:t>
      </w:r>
      <w:hyperlink r:id="rId85">
        <w:r w:rsidR="006F2F23">
          <w:rPr>
            <w:rFonts w:ascii="Times New Roman" w:eastAsia="Times New Roman" w:hAnsi="Times New Roman" w:cs="Times New Roman"/>
            <w:color w:val="467886"/>
            <w:u w:val="single"/>
          </w:rPr>
          <w:t>https://doi.org/10.1111/j.1467-7687.2011.01048.x</w:t>
        </w:r>
      </w:hyperlink>
    </w:p>
    <w:p w14:paraId="20A0CAFE" w14:textId="77777777" w:rsidR="006F2F23" w:rsidRDefault="00000000">
      <w:pPr>
        <w:spacing w:line="480" w:lineRule="auto"/>
        <w:ind w:hanging="720"/>
      </w:pPr>
      <w:r>
        <w:rPr>
          <w:rFonts w:ascii="Times New Roman" w:eastAsia="Times New Roman" w:hAnsi="Times New Roman" w:cs="Times New Roman"/>
        </w:rPr>
        <w:t xml:space="preserve">Geraci, A., Surian, L., Tina, L. G., et al. (2025). Human newborns spontaneously </w:t>
      </w:r>
      <w:proofErr w:type="gramStart"/>
      <w:r>
        <w:rPr>
          <w:rFonts w:ascii="Times New Roman" w:eastAsia="Times New Roman" w:hAnsi="Times New Roman" w:cs="Times New Roman"/>
        </w:rPr>
        <w:t>attend to</w:t>
      </w:r>
      <w:proofErr w:type="gramEnd"/>
      <w:r>
        <w:rPr>
          <w:rFonts w:ascii="Times New Roman" w:eastAsia="Times New Roman" w:hAnsi="Times New Roman" w:cs="Times New Roman"/>
        </w:rPr>
        <w:t xml:space="preserve"> prosocial interactions. </w:t>
      </w:r>
      <w:r>
        <w:rPr>
          <w:rFonts w:ascii="Times New Roman" w:eastAsia="Times New Roman" w:hAnsi="Times New Roman" w:cs="Times New Roman"/>
          <w:i/>
          <w:iCs/>
        </w:rPr>
        <w:t>Nature Communications</w:t>
      </w:r>
      <w:r>
        <w:rPr>
          <w:rFonts w:ascii="Times New Roman" w:eastAsia="Times New Roman" w:hAnsi="Times New Roman" w:cs="Times New Roman"/>
        </w:rPr>
        <w:t xml:space="preserve">, </w:t>
      </w:r>
      <w:r>
        <w:rPr>
          <w:rFonts w:ascii="Times New Roman" w:eastAsia="Times New Roman" w:hAnsi="Times New Roman" w:cs="Times New Roman"/>
          <w:i/>
          <w:iCs/>
        </w:rPr>
        <w:t>16</w:t>
      </w:r>
      <w:r>
        <w:rPr>
          <w:rFonts w:ascii="Times New Roman" w:eastAsia="Times New Roman" w:hAnsi="Times New Roman" w:cs="Times New Roman"/>
        </w:rPr>
        <w:t xml:space="preserve">, 6304. </w:t>
      </w:r>
      <w:hyperlink r:id="rId86">
        <w:r w:rsidR="006F2F23">
          <w:rPr>
            <w:rFonts w:ascii="Times New Roman" w:eastAsia="Times New Roman" w:hAnsi="Times New Roman" w:cs="Times New Roman"/>
            <w:color w:val="467886"/>
            <w:u w:val="single"/>
          </w:rPr>
          <w:t>https://doi.org/10.1038/s41467-025-61517-3</w:t>
        </w:r>
      </w:hyperlink>
    </w:p>
    <w:p w14:paraId="539831D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Bekkering, H., &amp; Király, I. (2002). Rational imitation in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415</w:t>
      </w:r>
      <w:r>
        <w:rPr>
          <w:rFonts w:ascii="Times New Roman" w:eastAsia="Times New Roman" w:hAnsi="Times New Roman" w:cs="Times New Roman"/>
        </w:rPr>
        <w:t xml:space="preserve">(6873), 755. </w:t>
      </w:r>
      <w:hyperlink r:id="rId87">
        <w:r w:rsidR="006F2F23">
          <w:rPr>
            <w:rFonts w:ascii="Times New Roman" w:eastAsia="Times New Roman" w:hAnsi="Times New Roman" w:cs="Times New Roman"/>
            <w:color w:val="467886"/>
            <w:u w:val="single"/>
          </w:rPr>
          <w:t>https://doi.org/10.1038/415755a</w:t>
        </w:r>
      </w:hyperlink>
    </w:p>
    <w:p w14:paraId="10BBD39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Gergely, G., &amp;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(2003). Teleological reasoning in infancy: The naïve theory of rational action.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(7), 287–292. </w:t>
      </w:r>
      <w:hyperlink r:id="rId88">
        <w:r w:rsidR="006F2F23">
          <w:rPr>
            <w:rFonts w:ascii="Times New Roman" w:eastAsia="Times New Roman" w:hAnsi="Times New Roman" w:cs="Times New Roman"/>
            <w:color w:val="467886"/>
            <w:u w:val="single"/>
          </w:rPr>
          <w:t>https://doi.org/10.1016/S1364-6613(03)00128-1</w:t>
        </w:r>
      </w:hyperlink>
    </w:p>
    <w:p w14:paraId="10B18906" w14:textId="77777777" w:rsidR="006F2F23" w:rsidRDefault="00000000">
      <w:pPr>
        <w:spacing w:line="480" w:lineRule="auto"/>
        <w:ind w:hanging="720"/>
      </w:pPr>
      <w:r>
        <w:rPr>
          <w:rFonts w:ascii="Times New Roman" w:eastAsia="Times New Roman" w:hAnsi="Times New Roman" w:cs="Times New Roman"/>
        </w:rPr>
        <w:t xml:space="preserve">Gergely, G., Nádasdy, Z.,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Bíró, S. (1995). Taking the intentional stance at 12 months of age.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(2), 165–193. </w:t>
      </w:r>
      <w:hyperlink r:id="rId89">
        <w:r w:rsidR="006F2F23">
          <w:rPr>
            <w:rFonts w:ascii="Times New Roman" w:eastAsia="Times New Roman" w:hAnsi="Times New Roman" w:cs="Times New Roman"/>
            <w:color w:val="467886"/>
            <w:u w:val="single"/>
          </w:rPr>
          <w:t>https://doi.org/10.1016/0010-0277(95)00661-H</w:t>
        </w:r>
      </w:hyperlink>
    </w:p>
    <w:p w14:paraId="05E2690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Gönül, G., &amp; Paulus, M. (2021). Children’s reasoning about the efficiency of others’ actions: The development of rational action prediction. </w:t>
      </w:r>
      <w:r>
        <w:rPr>
          <w:rFonts w:ascii="Times New Roman" w:eastAsia="Times New Roman" w:hAnsi="Times New Roman" w:cs="Times New Roman"/>
          <w:i/>
          <w:iCs/>
        </w:rPr>
        <w:t>Journal of Experimental Child Psychology</w:t>
      </w:r>
      <w:r>
        <w:rPr>
          <w:rFonts w:ascii="Times New Roman" w:eastAsia="Times New Roman" w:hAnsi="Times New Roman" w:cs="Times New Roman"/>
        </w:rPr>
        <w:t xml:space="preserve">, 204, 105035. </w:t>
      </w:r>
      <w:hyperlink r:id="rId90">
        <w:r w:rsidR="006F2F23">
          <w:rPr>
            <w:rFonts w:ascii="Times New Roman" w:eastAsia="Times New Roman" w:hAnsi="Times New Roman" w:cs="Times New Roman"/>
            <w:color w:val="467886"/>
            <w:u w:val="single"/>
          </w:rPr>
          <w:t>https://doi.org/10.1016/j.jecp.2020.105035</w:t>
        </w:r>
      </w:hyperlink>
    </w:p>
    <w:p w14:paraId="59E2D2D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Haith, M. M. (1998). Who put the cog in infant cognition? Is rich interpretation too costly?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21</w:t>
      </w:r>
      <w:r>
        <w:rPr>
          <w:rFonts w:ascii="Times New Roman" w:eastAsia="Times New Roman" w:hAnsi="Times New Roman" w:cs="Times New Roman"/>
        </w:rPr>
        <w:t xml:space="preserve">(2), 167–179. </w:t>
      </w:r>
      <w:hyperlink r:id="rId91">
        <w:r w:rsidR="006F2F23">
          <w:rPr>
            <w:rFonts w:ascii="Times New Roman" w:eastAsia="Times New Roman" w:hAnsi="Times New Roman" w:cs="Times New Roman"/>
            <w:color w:val="467886"/>
            <w:u w:val="single"/>
          </w:rPr>
          <w:t>https://doi.org/10.1016/S0163-6383(98)90001-7</w:t>
        </w:r>
      </w:hyperlink>
      <w:r>
        <w:rPr>
          <w:rFonts w:ascii="Times New Roman" w:eastAsia="Times New Roman" w:hAnsi="Times New Roman" w:cs="Times New Roman"/>
        </w:rPr>
        <w:t xml:space="preserve"> </w:t>
      </w:r>
    </w:p>
    <w:p w14:paraId="6DBFFBB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(2013). Moral judgment and action in preverbal infants and toddlers: Evidence for an innate moral core.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22</w:t>
      </w:r>
      <w:r>
        <w:rPr>
          <w:rFonts w:ascii="Times New Roman" w:eastAsia="Times New Roman" w:hAnsi="Times New Roman" w:cs="Times New Roman"/>
        </w:rPr>
        <w:t xml:space="preserve">(3), 186–193. </w:t>
      </w:r>
      <w:hyperlink r:id="rId92">
        <w:r w:rsidR="006F2F23">
          <w:rPr>
            <w:rFonts w:ascii="Times New Roman" w:eastAsia="Times New Roman" w:hAnsi="Times New Roman" w:cs="Times New Roman"/>
            <w:color w:val="467886"/>
            <w:u w:val="single"/>
          </w:rPr>
          <w:t>https://doi.org/10.1177/0963721412470687</w:t>
        </w:r>
      </w:hyperlink>
    </w:p>
    <w:p w14:paraId="792790D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Hamlin, J. K., &amp; Wynn, K. (2011). Young infants prefer prosocial to antisocial others.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26</w:t>
      </w:r>
      <w:r>
        <w:rPr>
          <w:rFonts w:ascii="Times New Roman" w:eastAsia="Times New Roman" w:hAnsi="Times New Roman" w:cs="Times New Roman"/>
        </w:rPr>
        <w:t xml:space="preserve">(1), 30–39. </w:t>
      </w:r>
      <w:hyperlink r:id="rId93">
        <w:r w:rsidR="006F2F23">
          <w:rPr>
            <w:rFonts w:ascii="Times New Roman" w:eastAsia="Times New Roman" w:hAnsi="Times New Roman" w:cs="Times New Roman"/>
            <w:color w:val="467886"/>
            <w:u w:val="single"/>
          </w:rPr>
          <w:t>https://doi.org/10.1016/j.cogdev.2010.09.001</w:t>
        </w:r>
      </w:hyperlink>
    </w:p>
    <w:p w14:paraId="7DED46EC" w14:textId="77777777" w:rsidR="006F2F23" w:rsidRDefault="00000000">
      <w:pPr>
        <w:spacing w:line="480" w:lineRule="auto"/>
        <w:ind w:hanging="720"/>
      </w:pPr>
      <w:r>
        <w:rPr>
          <w:rFonts w:ascii="Times New Roman" w:eastAsia="Times New Roman" w:hAnsi="Times New Roman" w:cs="Times New Roman"/>
        </w:rPr>
        <w:t xml:space="preserve">Hamlin, J. K., Wynn, K., &amp; Bloom, P. (2007). Social evaluation by preverbal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450</w:t>
      </w:r>
      <w:r>
        <w:rPr>
          <w:rFonts w:ascii="Times New Roman" w:eastAsia="Times New Roman" w:hAnsi="Times New Roman" w:cs="Times New Roman"/>
        </w:rPr>
        <w:t xml:space="preserve">(7169), 557–559. </w:t>
      </w:r>
      <w:hyperlink r:id="rId94">
        <w:r w:rsidR="006F2F23">
          <w:rPr>
            <w:rFonts w:ascii="Times New Roman" w:eastAsia="Times New Roman" w:hAnsi="Times New Roman" w:cs="Times New Roman"/>
            <w:color w:val="467886"/>
            <w:u w:val="single"/>
          </w:rPr>
          <w:t>https://doi.org/10.1038/nature06288</w:t>
        </w:r>
      </w:hyperlink>
    </w:p>
    <w:p w14:paraId="12C6C77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(2018). </w:t>
      </w:r>
      <w:r>
        <w:rPr>
          <w:rFonts w:ascii="Times New Roman" w:eastAsia="Times New Roman" w:hAnsi="Times New Roman" w:cs="Times New Roman"/>
          <w:i/>
          <w:iCs/>
        </w:rPr>
        <w:t>Cognitive gadgets: The cultural evolution of thinking.</w:t>
      </w:r>
      <w:r>
        <w:rPr>
          <w:rFonts w:ascii="Times New Roman" w:eastAsia="Times New Roman" w:hAnsi="Times New Roman" w:cs="Times New Roman"/>
        </w:rPr>
        <w:t xml:space="preserve"> Harvard University Press.</w:t>
      </w:r>
    </w:p>
    <w:p w14:paraId="6EDE0FB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Heyes, C. (2001). Causes and consequences of imitation.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5</w:t>
      </w:r>
      <w:r>
        <w:rPr>
          <w:rFonts w:ascii="Times New Roman" w:eastAsia="Times New Roman" w:hAnsi="Times New Roman" w:cs="Times New Roman"/>
        </w:rPr>
        <w:t>(6), 253-261. https://doi.org/10.1016/S1364-6613(00)01661-2</w:t>
      </w:r>
    </w:p>
    <w:p w14:paraId="580CEABE" w14:textId="77777777" w:rsidR="006F2F23" w:rsidRDefault="00000000">
      <w:pPr>
        <w:spacing w:line="480" w:lineRule="auto"/>
        <w:ind w:hanging="720"/>
      </w:pPr>
      <w:r>
        <w:rPr>
          <w:rFonts w:ascii="Times New Roman" w:eastAsia="Times New Roman" w:hAnsi="Times New Roman" w:cs="Times New Roman"/>
        </w:rPr>
        <w:t>Heyes, C. (2024). Rethinking norm psychology. </w:t>
      </w:r>
      <w:r>
        <w:rPr>
          <w:rFonts w:ascii="Times New Roman" w:eastAsia="Times New Roman" w:hAnsi="Times New Roman" w:cs="Times New Roman"/>
          <w:i/>
          <w:iCs/>
        </w:rPr>
        <w:t>Perspectives on Psychological Science</w:t>
      </w:r>
      <w:r>
        <w:rPr>
          <w:rFonts w:ascii="Times New Roman" w:eastAsia="Times New Roman" w:hAnsi="Times New Roman" w:cs="Times New Roman"/>
        </w:rPr>
        <w:t>, </w:t>
      </w:r>
      <w:r>
        <w:rPr>
          <w:rFonts w:ascii="Times New Roman" w:eastAsia="Times New Roman" w:hAnsi="Times New Roman" w:cs="Times New Roman"/>
          <w:i/>
          <w:iCs/>
        </w:rPr>
        <w:t>19</w:t>
      </w:r>
      <w:r>
        <w:rPr>
          <w:rFonts w:ascii="Times New Roman" w:eastAsia="Times New Roman" w:hAnsi="Times New Roman" w:cs="Times New Roman"/>
        </w:rPr>
        <w:t xml:space="preserve">(1), 12-38. </w:t>
      </w:r>
      <w:hyperlink r:id="rId95">
        <w:r w:rsidR="006F2F23">
          <w:rPr>
            <w:rFonts w:ascii="Times New Roman" w:eastAsia="Times New Roman" w:hAnsi="Times New Roman" w:cs="Times New Roman"/>
            <w:color w:val="467886"/>
            <w:u w:val="single"/>
          </w:rPr>
          <w:t>https://doi.org/10.1177/17456916221112075</w:t>
        </w:r>
      </w:hyperlink>
    </w:p>
    <w:p w14:paraId="0296552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Heyes, C. M., &amp; Ray, E. D. (2000). What is the significance of imitation in </w:t>
      </w:r>
      <w:proofErr w:type="gramStart"/>
      <w:r>
        <w:rPr>
          <w:rFonts w:ascii="Times New Roman" w:eastAsia="Times New Roman" w:hAnsi="Times New Roman" w:cs="Times New Roman"/>
        </w:rPr>
        <w:t>animals?.</w:t>
      </w:r>
      <w:proofErr w:type="gramEnd"/>
      <w:r>
        <w:rPr>
          <w:rFonts w:ascii="Times New Roman" w:eastAsia="Times New Roman" w:hAnsi="Times New Roman" w:cs="Times New Roman"/>
        </w:rPr>
        <w:t xml:space="preserve"> In </w:t>
      </w:r>
      <w:r>
        <w:rPr>
          <w:rFonts w:ascii="Times New Roman" w:eastAsia="Times New Roman" w:hAnsi="Times New Roman" w:cs="Times New Roman"/>
          <w:i/>
          <w:iCs/>
        </w:rPr>
        <w:t>Advances in the Study of Behavior</w:t>
      </w:r>
      <w:r>
        <w:rPr>
          <w:rFonts w:ascii="Times New Roman" w:eastAsia="Times New Roman" w:hAnsi="Times New Roman" w:cs="Times New Roman"/>
        </w:rPr>
        <w:t> (Vol. 29, pp. 215-245). Academic Press. https://doi.org/10.1016/S0065-3454(08)60106-0</w:t>
      </w:r>
    </w:p>
    <w:p w14:paraId="5C4DF37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Hinton, G. E. (1984). Distributed representations (Technical Report CMU-CS-84-157). Carnegie-Mellon University, Department of Computer Science. </w:t>
      </w:r>
    </w:p>
    <w:p w14:paraId="3580FEF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Hinton, G. E. (1989). Deterministic Boltzmann learning performs steepest descent in weight-space. </w:t>
      </w:r>
      <w:r>
        <w:rPr>
          <w:rFonts w:ascii="Times New Roman" w:eastAsia="Times New Roman" w:hAnsi="Times New Roman" w:cs="Times New Roman"/>
          <w:i/>
          <w:iCs/>
        </w:rPr>
        <w:t>Neural Computation</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143–150. </w:t>
      </w:r>
      <w:hyperlink r:id="rId96">
        <w:r w:rsidR="006F2F23">
          <w:rPr>
            <w:rFonts w:ascii="Times New Roman" w:eastAsia="Times New Roman" w:hAnsi="Times New Roman" w:cs="Times New Roman"/>
            <w:color w:val="467886"/>
            <w:u w:val="single"/>
          </w:rPr>
          <w:t>https://doi.org/10.1162/neco.1989.1.1.143</w:t>
        </w:r>
      </w:hyperlink>
    </w:p>
    <w:p w14:paraId="30C1E3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&amp; Ames, E. W. (1988). A multifactor model of infant preferences for novel and familiar stimuli. </w:t>
      </w:r>
      <w:r>
        <w:rPr>
          <w:rFonts w:ascii="Times New Roman" w:eastAsia="Times New Roman" w:hAnsi="Times New Roman" w:cs="Times New Roman"/>
          <w:i/>
          <w:iCs/>
        </w:rPr>
        <w:t>Advances in Infancy Research</w:t>
      </w:r>
      <w:r>
        <w:rPr>
          <w:rFonts w:ascii="Times New Roman" w:eastAsia="Times New Roman" w:hAnsi="Times New Roman" w:cs="Times New Roman"/>
        </w:rPr>
        <w:t xml:space="preserve">, </w:t>
      </w:r>
      <w:r>
        <w:rPr>
          <w:rFonts w:ascii="Times New Roman" w:eastAsia="Times New Roman" w:hAnsi="Times New Roman" w:cs="Times New Roman"/>
          <w:i/>
          <w:iCs/>
        </w:rPr>
        <w:t>5</w:t>
      </w:r>
      <w:r>
        <w:rPr>
          <w:rFonts w:ascii="Times New Roman" w:eastAsia="Times New Roman" w:hAnsi="Times New Roman" w:cs="Times New Roman"/>
        </w:rPr>
        <w:t>, 69–95.</w:t>
      </w:r>
    </w:p>
    <w:p w14:paraId="194A57E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Hunter, M. A., Ames, E. W., &amp; Koopman, R. (1983). Effects of stimulus complexity and familiarization time on infant preferences for novel and familiar stimuli.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19</w:t>
      </w:r>
      <w:r>
        <w:rPr>
          <w:rFonts w:ascii="Times New Roman" w:eastAsia="Times New Roman" w:hAnsi="Times New Roman" w:cs="Times New Roman"/>
        </w:rPr>
        <w:t xml:space="preserve">(3), 338–352. </w:t>
      </w:r>
      <w:hyperlink r:id="rId97">
        <w:r w:rsidR="006F2F23">
          <w:rPr>
            <w:rFonts w:ascii="Times New Roman" w:eastAsia="Times New Roman" w:hAnsi="Times New Roman" w:cs="Times New Roman"/>
            <w:color w:val="467886"/>
            <w:u w:val="single"/>
          </w:rPr>
          <w:t>https://doi.org/10.1037/0012-1649.19.3.338</w:t>
        </w:r>
      </w:hyperlink>
    </w:p>
    <w:p w14:paraId="541AD9A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Schulz, L. E., &amp; Tenenbaum, J. B. (2016). The naïve utility calculus: Computational principles underlying commonsense psychology.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(8), 589–604. </w:t>
      </w:r>
      <w:hyperlink r:id="rId98">
        <w:r w:rsidR="006F2F23">
          <w:rPr>
            <w:rFonts w:ascii="Times New Roman" w:eastAsia="Times New Roman" w:hAnsi="Times New Roman" w:cs="Times New Roman"/>
            <w:color w:val="467886"/>
            <w:u w:val="single"/>
          </w:rPr>
          <w:t>https://doi.org/10.1016/j.tics.2016.05.011</w:t>
        </w:r>
      </w:hyperlink>
      <w:r>
        <w:rPr>
          <w:rFonts w:ascii="Times New Roman" w:eastAsia="Times New Roman" w:hAnsi="Times New Roman" w:cs="Times New Roman"/>
        </w:rPr>
        <w:t xml:space="preserve"> </w:t>
      </w:r>
    </w:p>
    <w:p w14:paraId="251D10B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Gweon, H., Tenenbaum, J. B., &amp; Schulz, L. E. (2015). Children’s understanding of the costs and rewards underlying rational action. </w:t>
      </w:r>
      <w:r>
        <w:rPr>
          <w:rFonts w:ascii="Times New Roman" w:eastAsia="Times New Roman" w:hAnsi="Times New Roman" w:cs="Times New Roman"/>
          <w:i/>
          <w:iCs/>
        </w:rPr>
        <w:t>Cognition</w:t>
      </w:r>
      <w:r>
        <w:rPr>
          <w:rFonts w:ascii="Times New Roman" w:eastAsia="Times New Roman" w:hAnsi="Times New Roman" w:cs="Times New Roman"/>
        </w:rPr>
        <w:t xml:space="preserve">, 140, 14-23. </w:t>
      </w:r>
      <w:hyperlink r:id="rId99">
        <w:r w:rsidR="006F2F23">
          <w:rPr>
            <w:rFonts w:ascii="Times New Roman" w:eastAsia="Times New Roman" w:hAnsi="Times New Roman" w:cs="Times New Roman"/>
            <w:color w:val="467886"/>
            <w:u w:val="single"/>
          </w:rPr>
          <w:t>https://doi.org/10.1016/j.cognition.2015.03.006</w:t>
        </w:r>
      </w:hyperlink>
    </w:p>
    <w:p w14:paraId="6716508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Schulz, L. E., &amp; Tenenbaum, J. B. (2020). The naive utility calculus </w:t>
      </w:r>
      <w:proofErr w:type="gramStart"/>
      <w:r>
        <w:rPr>
          <w:rFonts w:ascii="Times New Roman" w:eastAsia="Times New Roman" w:hAnsi="Times New Roman" w:cs="Times New Roman"/>
        </w:rPr>
        <w:t>as</w:t>
      </w:r>
      <w:proofErr w:type="gramEnd"/>
      <w:r>
        <w:rPr>
          <w:rFonts w:ascii="Times New Roman" w:eastAsia="Times New Roman" w:hAnsi="Times New Roman" w:cs="Times New Roman"/>
        </w:rPr>
        <w:t xml:space="preserve"> a unified, quantitative framework for action understanding.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123</w:t>
      </w:r>
      <w:r>
        <w:rPr>
          <w:rFonts w:ascii="Times New Roman" w:eastAsia="Times New Roman" w:hAnsi="Times New Roman" w:cs="Times New Roman"/>
        </w:rPr>
        <w:t xml:space="preserve">, 101334. </w:t>
      </w:r>
      <w:hyperlink r:id="rId100">
        <w:r w:rsidR="006F2F23">
          <w:rPr>
            <w:rFonts w:ascii="Times New Roman" w:eastAsia="Times New Roman" w:hAnsi="Times New Roman" w:cs="Times New Roman"/>
            <w:color w:val="467886"/>
            <w:u w:val="single"/>
          </w:rPr>
          <w:t>https://doi.org/10.1016/j.cogpsych.2020.101334</w:t>
        </w:r>
      </w:hyperlink>
      <w:r>
        <w:rPr>
          <w:rFonts w:ascii="Times New Roman" w:eastAsia="Times New Roman" w:hAnsi="Times New Roman" w:cs="Times New Roman"/>
        </w:rPr>
        <w:t xml:space="preserve"> </w:t>
      </w:r>
    </w:p>
    <w:p w14:paraId="5E1B6EE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Jara-Ettinger, J., Tenenbaum, J. B., &amp; Schulz, L. E. (2015). Not so innocent: Toddlers’ inferences about costs and culpability.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26(5), 633-640. </w:t>
      </w:r>
      <w:hyperlink r:id="rId101">
        <w:r w:rsidR="006F2F23">
          <w:rPr>
            <w:rFonts w:ascii="Times New Roman" w:eastAsia="Times New Roman" w:hAnsi="Times New Roman" w:cs="Times New Roman"/>
            <w:color w:val="467886"/>
            <w:u w:val="single"/>
          </w:rPr>
          <w:t>https://doi.org/10.1177/0956797615572806</w:t>
        </w:r>
      </w:hyperlink>
    </w:p>
    <w:p w14:paraId="5D799DE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Jones, S. S., &amp; Smith, L. B. (1993). The place of perception in children's concepts.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8</w:t>
      </w:r>
      <w:r>
        <w:rPr>
          <w:rFonts w:ascii="Times New Roman" w:eastAsia="Times New Roman" w:hAnsi="Times New Roman" w:cs="Times New Roman"/>
        </w:rPr>
        <w:t xml:space="preserve">(2), 113–139. </w:t>
      </w:r>
      <w:hyperlink r:id="rId102">
        <w:r w:rsidR="006F2F23">
          <w:rPr>
            <w:rFonts w:ascii="Times New Roman" w:eastAsia="Times New Roman" w:hAnsi="Times New Roman" w:cs="Times New Roman"/>
            <w:color w:val="467886"/>
            <w:u w:val="single"/>
          </w:rPr>
          <w:t>https://doi.org/10.1016/0885-2014(93)90008-S</w:t>
        </w:r>
      </w:hyperlink>
    </w:p>
    <w:p w14:paraId="1DABA3E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Kamewari</w:t>
      </w:r>
      <w:proofErr w:type="spellEnd"/>
      <w:r>
        <w:rPr>
          <w:rFonts w:ascii="Times New Roman" w:eastAsia="Times New Roman" w:hAnsi="Times New Roman" w:cs="Times New Roman"/>
        </w:rPr>
        <w:t xml:space="preserve">, K., Kato, M., Kanda, T., Ishiguro, H., &amp; Hiraki, K. (2005). Six-and-a-half-month-old children positively attribute goals to human action and to humanoid-robot motion.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20</w:t>
      </w:r>
      <w:r>
        <w:rPr>
          <w:rFonts w:ascii="Times New Roman" w:eastAsia="Times New Roman" w:hAnsi="Times New Roman" w:cs="Times New Roman"/>
        </w:rPr>
        <w:t xml:space="preserve">(2), 303–320. </w:t>
      </w:r>
      <w:hyperlink r:id="rId103">
        <w:r w:rsidR="006F2F23">
          <w:rPr>
            <w:rFonts w:ascii="Times New Roman" w:eastAsia="Times New Roman" w:hAnsi="Times New Roman" w:cs="Times New Roman"/>
            <w:color w:val="467886"/>
            <w:u w:val="single"/>
          </w:rPr>
          <w:t>https://doi.org/10.1016/j.cogdev.2005.04.004</w:t>
        </w:r>
      </w:hyperlink>
    </w:p>
    <w:p w14:paraId="5CBB877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Kellman, P.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(1983). Perception of partly occluded objects in infancy. </w:t>
      </w:r>
      <w:r>
        <w:rPr>
          <w:rFonts w:ascii="Times New Roman" w:eastAsia="Times New Roman" w:hAnsi="Times New Roman" w:cs="Times New Roman"/>
          <w:i/>
          <w:iCs/>
        </w:rPr>
        <w:t>Cognitive Psychology</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483–524. </w:t>
      </w:r>
      <w:hyperlink r:id="rId104">
        <w:r w:rsidR="006F2F23">
          <w:rPr>
            <w:rFonts w:ascii="Times New Roman" w:eastAsia="Times New Roman" w:hAnsi="Times New Roman" w:cs="Times New Roman"/>
            <w:color w:val="467886"/>
            <w:u w:val="single"/>
          </w:rPr>
          <w:t>https://doi.org/10.1016/0010-0285(83)90017-8</w:t>
        </w:r>
      </w:hyperlink>
    </w:p>
    <w:p w14:paraId="2149DDE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Kim, I. K.,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(1992). Infants' sensitivity to effects of gravity on visible object motion. </w:t>
      </w:r>
      <w:r>
        <w:rPr>
          <w:rFonts w:ascii="Times New Roman" w:eastAsia="Times New Roman" w:hAnsi="Times New Roman" w:cs="Times New Roman"/>
          <w:i/>
          <w:iCs/>
        </w:rPr>
        <w:t>Journal of Experimental Psychology: Human Perception and Performance</w:t>
      </w:r>
      <w:r>
        <w:rPr>
          <w:rFonts w:ascii="Times New Roman" w:eastAsia="Times New Roman" w:hAnsi="Times New Roman" w:cs="Times New Roman"/>
        </w:rPr>
        <w:t xml:space="preserve">, </w:t>
      </w:r>
      <w:r>
        <w:rPr>
          <w:rFonts w:ascii="Times New Roman" w:eastAsia="Times New Roman" w:hAnsi="Times New Roman" w:cs="Times New Roman"/>
          <w:i/>
          <w:iCs/>
        </w:rPr>
        <w:t>18</w:t>
      </w:r>
      <w:r>
        <w:rPr>
          <w:rFonts w:ascii="Times New Roman" w:eastAsia="Times New Roman" w:hAnsi="Times New Roman" w:cs="Times New Roman"/>
        </w:rPr>
        <w:t xml:space="preserve">(2), 385–393. </w:t>
      </w:r>
      <w:hyperlink r:id="rId105">
        <w:r w:rsidR="006F2F23">
          <w:rPr>
            <w:rFonts w:ascii="Times New Roman" w:eastAsia="Times New Roman" w:hAnsi="Times New Roman" w:cs="Times New Roman"/>
            <w:color w:val="467886"/>
            <w:u w:val="single"/>
          </w:rPr>
          <w:t>https://doi.org/10.1037/0096-1523.18.2.385</w:t>
        </w:r>
      </w:hyperlink>
    </w:p>
    <w:p w14:paraId="29D33E7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Kotovsky, L., &amp; Baillargeon, R. (1998). The development of calibration-based reasoning about collision events in young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67</w:t>
      </w:r>
      <w:r>
        <w:rPr>
          <w:rFonts w:ascii="Times New Roman" w:eastAsia="Times New Roman" w:hAnsi="Times New Roman" w:cs="Times New Roman"/>
        </w:rPr>
        <w:t xml:space="preserve">(3), 311–351. </w:t>
      </w:r>
      <w:hyperlink r:id="rId106">
        <w:r w:rsidR="006F2F23">
          <w:rPr>
            <w:rFonts w:ascii="Times New Roman" w:eastAsia="Times New Roman" w:hAnsi="Times New Roman" w:cs="Times New Roman"/>
            <w:color w:val="467886"/>
            <w:u w:val="single"/>
          </w:rPr>
          <w:t>https://doi.org/10.1016/S0010-0277(98)00036-5</w:t>
        </w:r>
      </w:hyperlink>
    </w:p>
    <w:p w14:paraId="28110B2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Leslie, A. M. (1995). A theory of agency. In D. Sperber, D. Premack, &amp; A. J. Premack (Eds.), Causal cognition: A multidisciplinary debate (pp. 121–141). Clarendon Press.</w:t>
      </w:r>
    </w:p>
    <w:p w14:paraId="30E533B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Leslie, A. M., &amp; Keeble, S. (1987). Do six-month-old infants perceive </w:t>
      </w:r>
      <w:proofErr w:type="gramStart"/>
      <w:r>
        <w:rPr>
          <w:rFonts w:ascii="Times New Roman" w:eastAsia="Times New Roman" w:hAnsi="Times New Roman" w:cs="Times New Roman"/>
        </w:rPr>
        <w:t>causality?.</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265–288. </w:t>
      </w:r>
      <w:hyperlink r:id="rId107">
        <w:r w:rsidR="006F2F23">
          <w:rPr>
            <w:rFonts w:ascii="Times New Roman" w:eastAsia="Times New Roman" w:hAnsi="Times New Roman" w:cs="Times New Roman"/>
            <w:color w:val="467886"/>
            <w:u w:val="single"/>
          </w:rPr>
          <w:t>https://doi.org/10.1016/S0010-0277(87)80006-9</w:t>
        </w:r>
      </w:hyperlink>
    </w:p>
    <w:p w14:paraId="63FE43A1"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Liu, S., Brooks, N. B.,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(2019). Origins of the concepts cause, cost, and goal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116(36), 17747–17752. </w:t>
      </w:r>
      <w:hyperlink r:id="rId108">
        <w:r w:rsidR="006F2F23">
          <w:rPr>
            <w:rFonts w:ascii="Times New Roman" w:eastAsia="Times New Roman" w:hAnsi="Times New Roman" w:cs="Times New Roman"/>
            <w:color w:val="467886"/>
            <w:u w:val="single"/>
          </w:rPr>
          <w:t>https://doi.org/10.1073/pnas.1904786116</w:t>
        </w:r>
      </w:hyperlink>
      <w:r>
        <w:rPr>
          <w:rFonts w:ascii="Times New Roman" w:eastAsia="Times New Roman" w:hAnsi="Times New Roman" w:cs="Times New Roman"/>
        </w:rPr>
        <w:t xml:space="preserve"> </w:t>
      </w:r>
    </w:p>
    <w:p w14:paraId="2C75684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Liu, S.,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(2017). Six-month-old infants expect agents to minimize the cost of their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160</w:t>
      </w:r>
      <w:r>
        <w:rPr>
          <w:rFonts w:ascii="Times New Roman" w:eastAsia="Times New Roman" w:hAnsi="Times New Roman" w:cs="Times New Roman"/>
        </w:rPr>
        <w:t xml:space="preserve">, 35–42. </w:t>
      </w:r>
      <w:hyperlink r:id="rId109">
        <w:r w:rsidR="006F2F23">
          <w:rPr>
            <w:rFonts w:ascii="Times New Roman" w:eastAsia="Times New Roman" w:hAnsi="Times New Roman" w:cs="Times New Roman"/>
            <w:color w:val="467886"/>
            <w:u w:val="single"/>
          </w:rPr>
          <w:t>https://doi.org/10.1016/j.cognition.2016.12.007</w:t>
        </w:r>
      </w:hyperlink>
    </w:p>
    <w:p w14:paraId="2F2D6D9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Lucca, K., Yuen, F., Wang, Y., Alessandroni, N., Allison, O., Alvarez, M., ... &amp; Hamlin, J. K. (2025). Infants' social evaluation of helpers and hinderers: A large‐scale, multi‐lab, coordinated replication study.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28</w:t>
      </w:r>
      <w:r>
        <w:rPr>
          <w:rFonts w:ascii="Times New Roman" w:eastAsia="Times New Roman" w:hAnsi="Times New Roman" w:cs="Times New Roman"/>
        </w:rPr>
        <w:t xml:space="preserve">(1), e13581. </w:t>
      </w:r>
      <w:hyperlink r:id="rId110">
        <w:r w:rsidR="006F2F23">
          <w:rPr>
            <w:rFonts w:ascii="Times New Roman" w:eastAsia="Times New Roman" w:hAnsi="Times New Roman" w:cs="Times New Roman"/>
            <w:color w:val="467886"/>
            <w:u w:val="single"/>
          </w:rPr>
          <w:t>https://doi.org/10.1111/desc.13581</w:t>
        </w:r>
      </w:hyperlink>
    </w:p>
    <w:p w14:paraId="7CD2FE5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Marr, D. (1982). Vision: A computational investigation into </w:t>
      </w:r>
      <w:proofErr w:type="gramStart"/>
      <w:r>
        <w:rPr>
          <w:rFonts w:ascii="Times New Roman" w:eastAsia="Times New Roman" w:hAnsi="Times New Roman" w:cs="Times New Roman"/>
        </w:rPr>
        <w:t>the human</w:t>
      </w:r>
      <w:proofErr w:type="gramEnd"/>
      <w:r>
        <w:rPr>
          <w:rFonts w:ascii="Times New Roman" w:eastAsia="Times New Roman" w:hAnsi="Times New Roman" w:cs="Times New Roman"/>
        </w:rPr>
        <w:t xml:space="preserve"> representation and processing of visual information. W. H. Freeman. </w:t>
      </w:r>
    </w:p>
    <w:p w14:paraId="4575504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French, R. M., &amp; Quinn, P. C. (2000). A connectionist account of asymmetric category learning in early infancy. </w:t>
      </w:r>
      <w:r>
        <w:rPr>
          <w:rFonts w:ascii="Times New Roman" w:eastAsia="Times New Roman" w:hAnsi="Times New Roman" w:cs="Times New Roman"/>
          <w:i/>
          <w:iCs/>
        </w:rPr>
        <w:t>Developmental Psychology</w:t>
      </w:r>
      <w:r>
        <w:rPr>
          <w:rFonts w:ascii="Times New Roman" w:eastAsia="Times New Roman" w:hAnsi="Times New Roman" w:cs="Times New Roman"/>
        </w:rPr>
        <w:t xml:space="preserve">, </w:t>
      </w:r>
      <w:r>
        <w:rPr>
          <w:rFonts w:ascii="Times New Roman" w:eastAsia="Times New Roman" w:hAnsi="Times New Roman" w:cs="Times New Roman"/>
          <w:i/>
          <w:iCs/>
        </w:rPr>
        <w:t>36</w:t>
      </w:r>
      <w:r>
        <w:rPr>
          <w:rFonts w:ascii="Times New Roman" w:eastAsia="Times New Roman" w:hAnsi="Times New Roman" w:cs="Times New Roman"/>
        </w:rPr>
        <w:t xml:space="preserve">(5), 635–645. </w:t>
      </w:r>
      <w:hyperlink r:id="rId111">
        <w:r w:rsidR="006F2F23">
          <w:rPr>
            <w:rFonts w:ascii="Times New Roman" w:eastAsia="Times New Roman" w:hAnsi="Times New Roman" w:cs="Times New Roman"/>
            <w:color w:val="467886"/>
            <w:u w:val="single"/>
          </w:rPr>
          <w:t>https://doi.org/10.1037/0012-1649.36.5.635</w:t>
        </w:r>
      </w:hyperlink>
    </w:p>
    <w:p w14:paraId="4095EF5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Mareschal, D., &amp; Shultz, T. R. (1999). Development of children's seriation: A connectionist approach.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(2), 149–186. </w:t>
      </w:r>
      <w:hyperlink r:id="rId112">
        <w:r w:rsidR="006F2F23">
          <w:rPr>
            <w:rFonts w:ascii="Times New Roman" w:eastAsia="Times New Roman" w:hAnsi="Times New Roman" w:cs="Times New Roman"/>
            <w:color w:val="467886"/>
            <w:u w:val="single"/>
          </w:rPr>
          <w:t>https://doi.org/10.1080/095400999116322</w:t>
        </w:r>
      </w:hyperlink>
    </w:p>
    <w:p w14:paraId="530BA8E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McClelland, J. L., &amp; Thompson, R. M. (2007). Using domain-general principles to explain children's causal reasoning abilities.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10</w:t>
      </w:r>
      <w:r>
        <w:rPr>
          <w:rFonts w:ascii="Times New Roman" w:eastAsia="Times New Roman" w:hAnsi="Times New Roman" w:cs="Times New Roman"/>
        </w:rPr>
        <w:t xml:space="preserve">(3), 333–356. </w:t>
      </w:r>
      <w:hyperlink r:id="rId113">
        <w:r w:rsidR="006F2F23">
          <w:rPr>
            <w:rFonts w:ascii="Times New Roman" w:eastAsia="Times New Roman" w:hAnsi="Times New Roman" w:cs="Times New Roman"/>
            <w:color w:val="467886"/>
            <w:u w:val="single"/>
          </w:rPr>
          <w:t>https://doi.org/10.1111/j.1467-7687.2007.00586.x</w:t>
        </w:r>
      </w:hyperlink>
      <w:r>
        <w:rPr>
          <w:rFonts w:ascii="Times New Roman" w:eastAsia="Times New Roman" w:hAnsi="Times New Roman" w:cs="Times New Roman"/>
        </w:rPr>
        <w:t xml:space="preserve"> </w:t>
      </w:r>
    </w:p>
    <w:p w14:paraId="015ABC7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McCrink, K., &amp; Wynn, K. (2004). Large-number addition and subtraction by 9-month-old infants.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(11), 776–781. </w:t>
      </w:r>
      <w:hyperlink r:id="rId114">
        <w:r w:rsidR="006F2F23">
          <w:rPr>
            <w:rFonts w:ascii="Times New Roman" w:eastAsia="Times New Roman" w:hAnsi="Times New Roman" w:cs="Times New Roman"/>
            <w:color w:val="467886"/>
            <w:u w:val="single"/>
          </w:rPr>
          <w:t>https://doi.org/10.1111/j.0956-7976.2004.00755.x</w:t>
        </w:r>
      </w:hyperlink>
    </w:p>
    <w:p w14:paraId="10FE182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McMahon, E., &amp; Isik, L. (2023). Seeing social interactions. </w:t>
      </w:r>
      <w:r>
        <w:rPr>
          <w:rFonts w:ascii="Times New Roman" w:eastAsia="Times New Roman" w:hAnsi="Times New Roman" w:cs="Times New Roman"/>
          <w:i/>
          <w:iCs/>
        </w:rPr>
        <w:t>Trends in cognitive sciences</w:t>
      </w:r>
      <w:r>
        <w:rPr>
          <w:rFonts w:ascii="Times New Roman" w:eastAsia="Times New Roman" w:hAnsi="Times New Roman" w:cs="Times New Roman"/>
        </w:rPr>
        <w:t>, </w:t>
      </w:r>
      <w:r>
        <w:rPr>
          <w:rFonts w:ascii="Times New Roman" w:eastAsia="Times New Roman" w:hAnsi="Times New Roman" w:cs="Times New Roman"/>
          <w:i/>
          <w:iCs/>
        </w:rPr>
        <w:t>27</w:t>
      </w:r>
      <w:r>
        <w:rPr>
          <w:rFonts w:ascii="Times New Roman" w:eastAsia="Times New Roman" w:hAnsi="Times New Roman" w:cs="Times New Roman"/>
        </w:rPr>
        <w:t xml:space="preserve">(12), 1165-1179. </w:t>
      </w:r>
      <w:hyperlink r:id="rId115">
        <w:r w:rsidR="006F2F23">
          <w:rPr>
            <w:rFonts w:ascii="Times New Roman" w:eastAsia="Times New Roman" w:hAnsi="Times New Roman" w:cs="Times New Roman"/>
            <w:color w:val="467886"/>
            <w:u w:val="single"/>
          </w:rPr>
          <w:t>https://doi.org/10.1016/j.tics.2023.09.001</w:t>
        </w:r>
      </w:hyperlink>
    </w:p>
    <w:p w14:paraId="7EF2272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Meltzoff, A. N., &amp; Moore, M. K. (1997). Explaining facial imitation: A theoretical model. </w:t>
      </w:r>
      <w:r>
        <w:rPr>
          <w:rFonts w:ascii="Times New Roman" w:eastAsia="Times New Roman" w:hAnsi="Times New Roman" w:cs="Times New Roman"/>
          <w:i/>
          <w:iCs/>
        </w:rPr>
        <w:t>Infant and child development</w:t>
      </w:r>
      <w:r>
        <w:rPr>
          <w:rFonts w:ascii="Times New Roman" w:eastAsia="Times New Roman" w:hAnsi="Times New Roman" w:cs="Times New Roman"/>
        </w:rPr>
        <w:t>, </w:t>
      </w:r>
      <w:r>
        <w:rPr>
          <w:rFonts w:ascii="Times New Roman" w:eastAsia="Times New Roman" w:hAnsi="Times New Roman" w:cs="Times New Roman"/>
          <w:i/>
          <w:iCs/>
        </w:rPr>
        <w:t>6</w:t>
      </w:r>
      <w:r>
        <w:rPr>
          <w:rFonts w:ascii="Times New Roman" w:eastAsia="Times New Roman" w:hAnsi="Times New Roman" w:cs="Times New Roman"/>
        </w:rPr>
        <w:t>(3‐4), 179-192. https://doi.org/10.1002/(SICI)1099-0917(199709/12)6:3/4%3C179::AID-EDP157%3E3.0.CO;2-R</w:t>
      </w:r>
    </w:p>
    <w:p w14:paraId="2AD3E57C"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Muentener</w:t>
      </w:r>
      <w:proofErr w:type="spellEnd"/>
      <w:r>
        <w:rPr>
          <w:rFonts w:ascii="Times New Roman" w:eastAsia="Times New Roman" w:hAnsi="Times New Roman" w:cs="Times New Roman"/>
        </w:rPr>
        <w:t xml:space="preserve">, P., &amp; Carey, S. (2010). Infants' causal representations of state change events. </w:t>
      </w:r>
      <w:r>
        <w:rPr>
          <w:rFonts w:ascii="Times New Roman" w:eastAsia="Times New Roman" w:hAnsi="Times New Roman" w:cs="Times New Roman"/>
          <w:i/>
          <w:iCs/>
        </w:rPr>
        <w:t>Cognitive Psychology, 61</w:t>
      </w:r>
      <w:r>
        <w:rPr>
          <w:rFonts w:ascii="Times New Roman" w:eastAsia="Times New Roman" w:hAnsi="Times New Roman" w:cs="Times New Roman"/>
        </w:rPr>
        <w:t xml:space="preserve">(2), 63–86. </w:t>
      </w:r>
      <w:hyperlink r:id="rId116">
        <w:r w:rsidR="006F2F23">
          <w:rPr>
            <w:rFonts w:ascii="Times New Roman" w:eastAsia="Times New Roman" w:hAnsi="Times New Roman" w:cs="Times New Roman"/>
            <w:color w:val="467886"/>
            <w:u w:val="single"/>
          </w:rPr>
          <w:t>https://doi.org/10.1016/j.cogpsych.2010.02.001</w:t>
        </w:r>
      </w:hyperlink>
    </w:p>
    <w:p w14:paraId="1E1782A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(1998). Infant perseveration and implications for object permanence theories: A PDP model of the AB task.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(2), 161–184. </w:t>
      </w:r>
      <w:hyperlink r:id="rId117">
        <w:r w:rsidR="006F2F23">
          <w:rPr>
            <w:rFonts w:ascii="Times New Roman" w:eastAsia="Times New Roman" w:hAnsi="Times New Roman" w:cs="Times New Roman"/>
            <w:color w:val="467886"/>
            <w:u w:val="single"/>
          </w:rPr>
          <w:t>https://doi.org/10.1111/1467-7687.00021</w:t>
        </w:r>
      </w:hyperlink>
      <w:r>
        <w:rPr>
          <w:rFonts w:ascii="Times New Roman" w:eastAsia="Times New Roman" w:hAnsi="Times New Roman" w:cs="Times New Roman"/>
        </w:rPr>
        <w:t xml:space="preserve"> </w:t>
      </w:r>
    </w:p>
    <w:p w14:paraId="06FC8B9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Pr>
          <w:rFonts w:ascii="Times New Roman" w:eastAsia="Times New Roman" w:hAnsi="Times New Roman" w:cs="Times New Roman"/>
          <w:i/>
          <w:iCs/>
        </w:rPr>
        <w:t>104</w:t>
      </w:r>
      <w:r>
        <w:rPr>
          <w:rFonts w:ascii="Times New Roman" w:eastAsia="Times New Roman" w:hAnsi="Times New Roman" w:cs="Times New Roman"/>
        </w:rPr>
        <w:t xml:space="preserve">(4), 686–713. </w:t>
      </w:r>
      <w:hyperlink r:id="rId118">
        <w:r w:rsidR="006F2F23">
          <w:rPr>
            <w:rFonts w:ascii="Times New Roman" w:eastAsia="Times New Roman" w:hAnsi="Times New Roman" w:cs="Times New Roman"/>
            <w:color w:val="467886"/>
            <w:u w:val="single"/>
          </w:rPr>
          <w:t>https://doi.org/10.1037/0033-295X.104.4.686</w:t>
        </w:r>
      </w:hyperlink>
      <w:r>
        <w:rPr>
          <w:rFonts w:ascii="Times New Roman" w:eastAsia="Times New Roman" w:hAnsi="Times New Roman" w:cs="Times New Roman"/>
        </w:rPr>
        <w:t xml:space="preserve"> </w:t>
      </w:r>
    </w:p>
    <w:p w14:paraId="21835BB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Nair, V., &amp; Hinton, G. E. (2010). Rectified linear units improve restricted </w:t>
      </w:r>
      <w:proofErr w:type="spellStart"/>
      <w:r>
        <w:rPr>
          <w:rFonts w:ascii="Times New Roman" w:eastAsia="Times New Roman" w:hAnsi="Times New Roman" w:cs="Times New Roman"/>
        </w:rPr>
        <w:t>boltzmann</w:t>
      </w:r>
      <w:proofErr w:type="spellEnd"/>
      <w:r>
        <w:rPr>
          <w:rFonts w:ascii="Times New Roman" w:eastAsia="Times New Roman" w:hAnsi="Times New Roman" w:cs="Times New Roman"/>
        </w:rPr>
        <w:t xml:space="preserve"> machines. In </w:t>
      </w:r>
      <w:r>
        <w:rPr>
          <w:rFonts w:ascii="Times New Roman" w:eastAsia="Times New Roman" w:hAnsi="Times New Roman" w:cs="Times New Roman"/>
          <w:i/>
          <w:iCs/>
        </w:rPr>
        <w:t>Proceedings of the 27th international conference on machine learning (ICML-10)</w:t>
      </w:r>
      <w:r>
        <w:rPr>
          <w:rFonts w:ascii="Times New Roman" w:eastAsia="Times New Roman" w:hAnsi="Times New Roman" w:cs="Times New Roman"/>
        </w:rPr>
        <w:t> (pp. 807-814).</w:t>
      </w:r>
    </w:p>
    <w:p w14:paraId="476383F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&amp; Baillargeon, R. (1997). Object segregation in 8-month-old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62</w:t>
      </w:r>
      <w:r>
        <w:rPr>
          <w:rFonts w:ascii="Times New Roman" w:eastAsia="Times New Roman" w:hAnsi="Times New Roman" w:cs="Times New Roman"/>
        </w:rPr>
        <w:t xml:space="preserve">(2), 121–149. </w:t>
      </w:r>
      <w:hyperlink r:id="rId119">
        <w:r w:rsidR="006F2F23">
          <w:rPr>
            <w:rFonts w:ascii="Times New Roman" w:eastAsia="Times New Roman" w:hAnsi="Times New Roman" w:cs="Times New Roman"/>
            <w:color w:val="467886"/>
            <w:u w:val="single"/>
          </w:rPr>
          <w:t>https://doi.org/10.1016/S0010-0277(96)00727-5</w:t>
        </w:r>
      </w:hyperlink>
    </w:p>
    <w:p w14:paraId="4FCA121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(3), 279–295. </w:t>
      </w:r>
      <w:hyperlink r:id="rId120">
        <w:r w:rsidR="006F2F23">
          <w:rPr>
            <w:rFonts w:ascii="Times New Roman" w:eastAsia="Times New Roman" w:hAnsi="Times New Roman" w:cs="Times New Roman"/>
            <w:color w:val="467886"/>
            <w:u w:val="single"/>
          </w:rPr>
          <w:t>https://doi.org/10.1016/S0163-6383(02)00097-8</w:t>
        </w:r>
      </w:hyperlink>
      <w:r>
        <w:rPr>
          <w:rFonts w:ascii="Times New Roman" w:eastAsia="Times New Roman" w:hAnsi="Times New Roman" w:cs="Times New Roman"/>
        </w:rPr>
        <w:t xml:space="preserve"> </w:t>
      </w:r>
    </w:p>
    <w:p w14:paraId="1625C0A6" w14:textId="77777777" w:rsidR="006F2F23" w:rsidRDefault="00000000">
      <w:pPr>
        <w:spacing w:line="480" w:lineRule="auto"/>
        <w:ind w:hanging="720"/>
      </w:pPr>
      <w:r>
        <w:rPr>
          <w:rFonts w:ascii="Times New Roman" w:eastAsia="Times New Roman" w:hAnsi="Times New Roman" w:cs="Times New Roman"/>
        </w:rPr>
        <w:lastRenderedPageBreak/>
        <w:t xml:space="preserve">Onishi, K. H., &amp; Baillargeon, R. (2005). Do 15-month-old infants understand false </w:t>
      </w:r>
      <w:proofErr w:type="gramStart"/>
      <w:r>
        <w:rPr>
          <w:rFonts w:ascii="Times New Roman" w:eastAsia="Times New Roman" w:hAnsi="Times New Roman" w:cs="Times New Roman"/>
        </w:rPr>
        <w:t>beliefs?.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255–258. </w:t>
      </w:r>
      <w:hyperlink r:id="rId121">
        <w:r w:rsidR="006F2F23">
          <w:rPr>
            <w:rFonts w:ascii="Times New Roman" w:eastAsia="Times New Roman" w:hAnsi="Times New Roman" w:cs="Times New Roman"/>
            <w:color w:val="467886"/>
            <w:u w:val="single"/>
          </w:rPr>
          <w:t>https://doi.org/10.1126/science.1107621</w:t>
        </w:r>
      </w:hyperlink>
    </w:p>
    <w:p w14:paraId="415C592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Ossmy</w:t>
      </w:r>
      <w:proofErr w:type="spellEnd"/>
      <w:r>
        <w:rPr>
          <w:rFonts w:ascii="Times New Roman" w:eastAsia="Times New Roman" w:hAnsi="Times New Roman" w:cs="Times New Roman"/>
        </w:rPr>
        <w:t xml:space="preserve">, O., Han, D., Kaplan, B. E., Xu, M., Bianco, C., Mukamel, R., &amp; Adolph, K. E. (2021). Children do not distinguish </w:t>
      </w:r>
      <w:proofErr w:type="gramStart"/>
      <w:r>
        <w:rPr>
          <w:rFonts w:ascii="Times New Roman" w:eastAsia="Times New Roman" w:hAnsi="Times New Roman" w:cs="Times New Roman"/>
        </w:rPr>
        <w:t>efficient</w:t>
      </w:r>
      <w:proofErr w:type="gramEnd"/>
      <w:r>
        <w:rPr>
          <w:rFonts w:ascii="Times New Roman" w:eastAsia="Times New Roman" w:hAnsi="Times New Roman" w:cs="Times New Roman"/>
        </w:rPr>
        <w:t xml:space="preserve"> from inefficient actions during observation. </w:t>
      </w:r>
      <w:r>
        <w:rPr>
          <w:rFonts w:ascii="Times New Roman" w:eastAsia="Times New Roman" w:hAnsi="Times New Roman" w:cs="Times New Roman"/>
          <w:i/>
          <w:iCs/>
        </w:rPr>
        <w:t>Scientific Reports</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18106. </w:t>
      </w:r>
      <w:hyperlink r:id="rId122">
        <w:r w:rsidR="006F2F23">
          <w:rPr>
            <w:rFonts w:ascii="Times New Roman" w:eastAsia="Times New Roman" w:hAnsi="Times New Roman" w:cs="Times New Roman"/>
            <w:color w:val="467886"/>
            <w:u w:val="single"/>
          </w:rPr>
          <w:t>https://doi.org/10.1038/s41598-021-97354-9</w:t>
        </w:r>
      </w:hyperlink>
    </w:p>
    <w:p w14:paraId="0ED5E80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Perner, J., &amp; Ruffman, T. (2005). Infants' insight into the mind: How </w:t>
      </w:r>
      <w:proofErr w:type="gramStart"/>
      <w:r>
        <w:rPr>
          <w:rFonts w:ascii="Times New Roman" w:eastAsia="Times New Roman" w:hAnsi="Times New Roman" w:cs="Times New Roman"/>
        </w:rPr>
        <w:t>deep?.</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Science</w:t>
      </w:r>
      <w:r>
        <w:rPr>
          <w:rFonts w:ascii="Times New Roman" w:eastAsia="Times New Roman" w:hAnsi="Times New Roman" w:cs="Times New Roman"/>
        </w:rPr>
        <w:t xml:space="preserve">, </w:t>
      </w:r>
      <w:r>
        <w:rPr>
          <w:rFonts w:ascii="Times New Roman" w:eastAsia="Times New Roman" w:hAnsi="Times New Roman" w:cs="Times New Roman"/>
          <w:i/>
          <w:iCs/>
        </w:rPr>
        <w:t>308</w:t>
      </w:r>
      <w:r>
        <w:rPr>
          <w:rFonts w:ascii="Times New Roman" w:eastAsia="Times New Roman" w:hAnsi="Times New Roman" w:cs="Times New Roman"/>
        </w:rPr>
        <w:t xml:space="preserve">(5719), 214–216. </w:t>
      </w:r>
      <w:hyperlink r:id="rId123">
        <w:r w:rsidR="006F2F23">
          <w:rPr>
            <w:rFonts w:ascii="Times New Roman" w:eastAsia="Times New Roman" w:hAnsi="Times New Roman" w:cs="Times New Roman"/>
            <w:color w:val="467886"/>
            <w:u w:val="single"/>
          </w:rPr>
          <w:t>https://doi.org/10.1126/science.1111656</w:t>
        </w:r>
      </w:hyperlink>
    </w:p>
    <w:p w14:paraId="3F32C5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Phillips, A. T., &amp; Wellman, H. M. (2005). Infants' understanding of object-directed action.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98</w:t>
      </w:r>
      <w:r>
        <w:rPr>
          <w:rFonts w:ascii="Times New Roman" w:eastAsia="Times New Roman" w:hAnsi="Times New Roman" w:cs="Times New Roman"/>
        </w:rPr>
        <w:t xml:space="preserve">(2), 137–155. </w:t>
      </w:r>
      <w:hyperlink r:id="rId124">
        <w:r w:rsidR="006F2F23">
          <w:rPr>
            <w:rFonts w:ascii="Times New Roman" w:eastAsia="Times New Roman" w:hAnsi="Times New Roman" w:cs="Times New Roman"/>
            <w:color w:val="467886"/>
            <w:u w:val="single"/>
          </w:rPr>
          <w:t>https://doi.org/10.1016/j.cognition.2004.11.005</w:t>
        </w:r>
      </w:hyperlink>
    </w:p>
    <w:p w14:paraId="19BDAD1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Plaut, D. C., &amp; Vande Velde, A. K. (2017). Statistical learning of parts and wholes: A neural network approach. </w:t>
      </w:r>
      <w:r>
        <w:rPr>
          <w:rFonts w:ascii="Times New Roman" w:eastAsia="Times New Roman" w:hAnsi="Times New Roman" w:cs="Times New Roman"/>
          <w:i/>
          <w:iCs/>
        </w:rPr>
        <w:t>Journal of Experimental Psychology: General</w:t>
      </w:r>
      <w:r>
        <w:rPr>
          <w:rFonts w:ascii="Times New Roman" w:eastAsia="Times New Roman" w:hAnsi="Times New Roman" w:cs="Times New Roman"/>
        </w:rPr>
        <w:t xml:space="preserve">, </w:t>
      </w:r>
      <w:r>
        <w:rPr>
          <w:rFonts w:ascii="Times New Roman" w:eastAsia="Times New Roman" w:hAnsi="Times New Roman" w:cs="Times New Roman"/>
          <w:i/>
          <w:iCs/>
        </w:rPr>
        <w:t>146</w:t>
      </w:r>
      <w:r>
        <w:rPr>
          <w:rFonts w:ascii="Times New Roman" w:eastAsia="Times New Roman" w:hAnsi="Times New Roman" w:cs="Times New Roman"/>
        </w:rPr>
        <w:t xml:space="preserve">(3), 318–336. </w:t>
      </w:r>
      <w:hyperlink r:id="rId125">
        <w:r w:rsidR="006F2F23">
          <w:rPr>
            <w:rFonts w:ascii="Times New Roman" w:eastAsia="Times New Roman" w:hAnsi="Times New Roman" w:cs="Times New Roman"/>
            <w:color w:val="467886"/>
            <w:u w:val="single"/>
          </w:rPr>
          <w:t>https://doi.org/10.1037/xge0000260</w:t>
        </w:r>
      </w:hyperlink>
      <w:r>
        <w:rPr>
          <w:rFonts w:ascii="Times New Roman" w:eastAsia="Times New Roman" w:hAnsi="Times New Roman" w:cs="Times New Roman"/>
        </w:rPr>
        <w:t xml:space="preserve"> </w:t>
      </w:r>
    </w:p>
    <w:p w14:paraId="1CA6BF8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Powell, L. J.,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(2018). Human infants' understanding of social imitation: Inferences of affiliation from third party observations.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170</w:t>
      </w:r>
      <w:r>
        <w:rPr>
          <w:rFonts w:ascii="Times New Roman" w:eastAsia="Times New Roman" w:hAnsi="Times New Roman" w:cs="Times New Roman"/>
        </w:rPr>
        <w:t xml:space="preserve">, 31–48. </w:t>
      </w:r>
      <w:hyperlink r:id="rId126">
        <w:r w:rsidR="006F2F23">
          <w:rPr>
            <w:rFonts w:ascii="Times New Roman" w:eastAsia="Times New Roman" w:hAnsi="Times New Roman" w:cs="Times New Roman"/>
            <w:color w:val="467886"/>
            <w:u w:val="single"/>
          </w:rPr>
          <w:t>https://doi.org/10.1016/j.cognition.2017.09.007</w:t>
        </w:r>
      </w:hyperlink>
    </w:p>
    <w:p w14:paraId="440F366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w:t>
      </w:r>
      <w:proofErr w:type="spellStart"/>
      <w:r>
        <w:rPr>
          <w:rFonts w:ascii="Times New Roman" w:eastAsia="Times New Roman" w:hAnsi="Times New Roman" w:cs="Times New Roman"/>
        </w:rPr>
        <w:t>Eimas</w:t>
      </w:r>
      <w:proofErr w:type="spellEnd"/>
      <w:r>
        <w:rPr>
          <w:rFonts w:ascii="Times New Roman" w:eastAsia="Times New Roman" w:hAnsi="Times New Roman" w:cs="Times New Roman"/>
        </w:rPr>
        <w:t xml:space="preserve">, P. D. (1997). A reexamination of the perceptual-to-conceptual shift in mental representations. </w:t>
      </w:r>
      <w:r>
        <w:rPr>
          <w:rFonts w:ascii="Times New Roman" w:eastAsia="Times New Roman" w:hAnsi="Times New Roman" w:cs="Times New Roman"/>
          <w:i/>
          <w:iCs/>
        </w:rPr>
        <w:t>Review of General Psychology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(3), 271–287. </w:t>
      </w:r>
      <w:hyperlink r:id="rId127">
        <w:r w:rsidR="006F2F23">
          <w:rPr>
            <w:rFonts w:ascii="Times New Roman" w:eastAsia="Times New Roman" w:hAnsi="Times New Roman" w:cs="Times New Roman"/>
            <w:color w:val="467886"/>
            <w:u w:val="single"/>
          </w:rPr>
          <w:t>https://doi.org/10.1037/1089-2680.1.3.271</w:t>
        </w:r>
      </w:hyperlink>
    </w:p>
    <w:p w14:paraId="16A7C1E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Quinn, P. C., &amp; Johnson, M. H. (2000). Global-before-basic object categorization in connectionist networks and 2-month-old infants.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1</w:t>
      </w:r>
      <w:r>
        <w:rPr>
          <w:rFonts w:ascii="Times New Roman" w:eastAsia="Times New Roman" w:hAnsi="Times New Roman" w:cs="Times New Roman"/>
        </w:rPr>
        <w:t xml:space="preserve">(1), 31–46. </w:t>
      </w:r>
      <w:hyperlink r:id="rId128">
        <w:r w:rsidR="006F2F23">
          <w:rPr>
            <w:rFonts w:ascii="Times New Roman" w:eastAsia="Times New Roman" w:hAnsi="Times New Roman" w:cs="Times New Roman"/>
            <w:color w:val="467886"/>
            <w:u w:val="single"/>
          </w:rPr>
          <w:t>https://doi.org/10.1207/S15327078IN0101_04</w:t>
        </w:r>
      </w:hyperlink>
      <w:r>
        <w:rPr>
          <w:rFonts w:ascii="Times New Roman" w:eastAsia="Times New Roman" w:hAnsi="Times New Roman" w:cs="Times New Roman"/>
        </w:rPr>
        <w:t xml:space="preserve"> </w:t>
      </w:r>
    </w:p>
    <w:p w14:paraId="3CC6674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Rakison, D. H., &amp; </w:t>
      </w:r>
      <w:proofErr w:type="spellStart"/>
      <w:r>
        <w:rPr>
          <w:rFonts w:ascii="Times New Roman" w:eastAsia="Times New Roman" w:hAnsi="Times New Roman" w:cs="Times New Roman"/>
        </w:rPr>
        <w:t>Lupyan</w:t>
      </w:r>
      <w:proofErr w:type="spellEnd"/>
      <w:r>
        <w:rPr>
          <w:rFonts w:ascii="Times New Roman" w:eastAsia="Times New Roman" w:hAnsi="Times New Roman" w:cs="Times New Roman"/>
        </w:rPr>
        <w:t xml:space="preserve">, G. (2008). Developing object concepts in infancy: An associative learning perspective. </w:t>
      </w:r>
      <w:r>
        <w:rPr>
          <w:rFonts w:ascii="Times New Roman" w:eastAsia="Times New Roman" w:hAnsi="Times New Roman" w:cs="Times New Roman"/>
          <w:i/>
          <w:iCs/>
        </w:rPr>
        <w:t>Monographs of the Society for Research in Child Development</w:t>
      </w:r>
      <w:r>
        <w:rPr>
          <w:rFonts w:ascii="Times New Roman" w:eastAsia="Times New Roman" w:hAnsi="Times New Roman" w:cs="Times New Roman"/>
        </w:rPr>
        <w:t xml:space="preserve">, </w:t>
      </w:r>
      <w:r>
        <w:rPr>
          <w:rFonts w:ascii="Times New Roman" w:eastAsia="Times New Roman" w:hAnsi="Times New Roman" w:cs="Times New Roman"/>
          <w:i/>
          <w:iCs/>
        </w:rPr>
        <w:t>73</w:t>
      </w:r>
      <w:r>
        <w:rPr>
          <w:rFonts w:ascii="Times New Roman" w:eastAsia="Times New Roman" w:hAnsi="Times New Roman" w:cs="Times New Roman"/>
        </w:rPr>
        <w:t xml:space="preserve">(1), 1–110. </w:t>
      </w:r>
      <w:hyperlink r:id="rId129">
        <w:r w:rsidR="006F2F23">
          <w:rPr>
            <w:rFonts w:ascii="Times New Roman" w:eastAsia="Times New Roman" w:hAnsi="Times New Roman" w:cs="Times New Roman"/>
            <w:color w:val="467886"/>
            <w:u w:val="single"/>
          </w:rPr>
          <w:t>https://doi.org/10.1111/j.1540-5834.2008.00469.x</w:t>
        </w:r>
      </w:hyperlink>
    </w:p>
    <w:p w14:paraId="2274D6A7"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Rohde, D. L. T. (1999). LENS: The light, efficient network simulator (Technical Report CMU-CS-99-164). Carnegie Mellon University. </w:t>
      </w:r>
    </w:p>
    <w:p w14:paraId="775B7F8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Rogers, T. T., &amp; McClelland, J. L. (2004). </w:t>
      </w:r>
      <w:r>
        <w:rPr>
          <w:rFonts w:ascii="Times New Roman" w:eastAsia="Times New Roman" w:hAnsi="Times New Roman" w:cs="Times New Roman"/>
          <w:i/>
          <w:iCs/>
        </w:rPr>
        <w:t>Semantic cognition: A parallel distributed processing approach</w:t>
      </w:r>
      <w:r>
        <w:rPr>
          <w:rFonts w:ascii="Times New Roman" w:eastAsia="Times New Roman" w:hAnsi="Times New Roman" w:cs="Times New Roman"/>
        </w:rPr>
        <w:t xml:space="preserve">. MIT press. </w:t>
      </w:r>
    </w:p>
    <w:p w14:paraId="0C39885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Rumelhart, D. E., Hinton, G. E., &amp; Williams, R. J. (1986). Learning representations by back-propagating errors.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323</w:t>
      </w:r>
      <w:r>
        <w:rPr>
          <w:rFonts w:ascii="Times New Roman" w:eastAsia="Times New Roman" w:hAnsi="Times New Roman" w:cs="Times New Roman"/>
        </w:rPr>
        <w:t xml:space="preserve">(6088), 533–536. </w:t>
      </w:r>
      <w:hyperlink r:id="rId130">
        <w:r w:rsidR="006F2F23">
          <w:rPr>
            <w:rFonts w:ascii="Times New Roman" w:eastAsia="Times New Roman" w:hAnsi="Times New Roman" w:cs="Times New Roman"/>
            <w:color w:val="467886"/>
            <w:u w:val="single"/>
          </w:rPr>
          <w:t>https://doi.org/10.1038/323533a0</w:t>
        </w:r>
      </w:hyperlink>
      <w:r>
        <w:rPr>
          <w:rFonts w:ascii="Times New Roman" w:eastAsia="Times New Roman" w:hAnsi="Times New Roman" w:cs="Times New Roman"/>
        </w:rPr>
        <w:t xml:space="preserve"> </w:t>
      </w:r>
    </w:p>
    <w:p w14:paraId="162F262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(2012a). Golden Rule or </w:t>
      </w:r>
      <w:proofErr w:type="gramStart"/>
      <w:r>
        <w:rPr>
          <w:rFonts w:ascii="Times New Roman" w:eastAsia="Times New Roman" w:hAnsi="Times New Roman" w:cs="Times New Roman"/>
        </w:rPr>
        <w:t>valence</w:t>
      </w:r>
      <w:proofErr w:type="gramEnd"/>
      <w:r>
        <w:rPr>
          <w:rFonts w:ascii="Times New Roman" w:eastAsia="Times New Roman" w:hAnsi="Times New Roman" w:cs="Times New Roman"/>
        </w:rPr>
        <w:t xml:space="preserve"> matching? Methodological problems in Hamlin et al.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w:t>
      </w:r>
      <w:r>
        <w:rPr>
          <w:rFonts w:ascii="Times New Roman" w:eastAsia="Times New Roman" w:hAnsi="Times New Roman" w:cs="Times New Roman"/>
          <w:i/>
          <w:iCs/>
        </w:rPr>
        <w:t>109</w:t>
      </w:r>
      <w:r>
        <w:rPr>
          <w:rFonts w:ascii="Times New Roman" w:eastAsia="Times New Roman" w:hAnsi="Times New Roman" w:cs="Times New Roman"/>
        </w:rPr>
        <w:t>(22), E1426-E1426. https://doi.org/10.1073/pnas.1204123109</w:t>
      </w:r>
    </w:p>
    <w:p w14:paraId="29D86045" w14:textId="77777777" w:rsidR="006F2F23" w:rsidRDefault="00000000">
      <w:pPr>
        <w:spacing w:line="480" w:lineRule="auto"/>
        <w:ind w:hanging="720"/>
      </w:pPr>
      <w:r>
        <w:rPr>
          <w:rFonts w:ascii="Times New Roman" w:eastAsia="Times New Roman" w:hAnsi="Times New Roman" w:cs="Times New Roman"/>
        </w:rPr>
        <w:t xml:space="preserve">Scarf, D., </w:t>
      </w:r>
      <w:proofErr w:type="spellStart"/>
      <w:r>
        <w:rPr>
          <w:rFonts w:ascii="Times New Roman" w:eastAsia="Times New Roman" w:hAnsi="Times New Roman" w:cs="Times New Roman"/>
        </w:rPr>
        <w:t>Imuta</w:t>
      </w:r>
      <w:proofErr w:type="spellEnd"/>
      <w:r>
        <w:rPr>
          <w:rFonts w:ascii="Times New Roman" w:eastAsia="Times New Roman" w:hAnsi="Times New Roman" w:cs="Times New Roman"/>
        </w:rPr>
        <w:t xml:space="preserve">, K., Colombo, M., &amp; Hayne, H. (2012b). Social evaluation or simple association? Simple associations may explain moral reasoning in infants. </w:t>
      </w:r>
      <w:r>
        <w:rPr>
          <w:rFonts w:ascii="Times New Roman" w:eastAsia="Times New Roman" w:hAnsi="Times New Roman" w:cs="Times New Roman"/>
          <w:i/>
          <w:iCs/>
        </w:rPr>
        <w:t>PLOS ONE</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(8), e42698. </w:t>
      </w:r>
      <w:hyperlink r:id="rId131">
        <w:r w:rsidR="006F2F23">
          <w:rPr>
            <w:rFonts w:ascii="Times New Roman" w:eastAsia="Times New Roman" w:hAnsi="Times New Roman" w:cs="Times New Roman"/>
            <w:color w:val="467886"/>
            <w:u w:val="single"/>
          </w:rPr>
          <w:t>https://doi.org/10.1371/journal.pone.0042698</w:t>
        </w:r>
      </w:hyperlink>
    </w:p>
    <w:p w14:paraId="6CF1FB53"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w:t>
      </w:r>
      <w:proofErr w:type="spellStart"/>
      <w:r>
        <w:rPr>
          <w:rFonts w:ascii="Times New Roman" w:eastAsia="Times New Roman" w:hAnsi="Times New Roman" w:cs="Times New Roman"/>
        </w:rPr>
        <w:t>Amso</w:t>
      </w:r>
      <w:proofErr w:type="spellEnd"/>
      <w:r>
        <w:rPr>
          <w:rFonts w:ascii="Times New Roman" w:eastAsia="Times New Roman" w:hAnsi="Times New Roman" w:cs="Times New Roman"/>
        </w:rPr>
        <w:t xml:space="preserve">, D., &amp; Johnson, S. P. (2012). Simulating the role of visual selective attention during the development of perceptual completion. </w:t>
      </w:r>
      <w:r>
        <w:rPr>
          <w:rFonts w:ascii="Times New Roman" w:eastAsia="Times New Roman" w:hAnsi="Times New Roman" w:cs="Times New Roman"/>
          <w:i/>
          <w:iCs/>
        </w:rPr>
        <w:t>Developmental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(6), 739-752. </w:t>
      </w:r>
      <w:hyperlink r:id="rId132">
        <w:r w:rsidR="006F2F23">
          <w:rPr>
            <w:rFonts w:ascii="Times New Roman" w:eastAsia="Times New Roman" w:hAnsi="Times New Roman" w:cs="Times New Roman"/>
            <w:color w:val="467886"/>
            <w:u w:val="single"/>
          </w:rPr>
          <w:t>https://doi.org/10.1111/j.1467-7687.2012.01177.x</w:t>
        </w:r>
      </w:hyperlink>
    </w:p>
    <w:p w14:paraId="1A438B34"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Schlesinger, M., &amp; Casey, P. (2003). Where infants look when impossible things happen: Simulating and testing a gaze-direction model. </w:t>
      </w:r>
      <w:r>
        <w:rPr>
          <w:rFonts w:ascii="Times New Roman" w:eastAsia="Times New Roman" w:hAnsi="Times New Roman" w:cs="Times New Roman"/>
          <w:i/>
          <w:iCs/>
        </w:rPr>
        <w:t>Connection Science</w:t>
      </w:r>
      <w:r>
        <w:rPr>
          <w:rFonts w:ascii="Times New Roman" w:eastAsia="Times New Roman" w:hAnsi="Times New Roman" w:cs="Times New Roman"/>
        </w:rPr>
        <w:t xml:space="preserve">, </w:t>
      </w:r>
      <w:r>
        <w:rPr>
          <w:rFonts w:ascii="Times New Roman" w:eastAsia="Times New Roman" w:hAnsi="Times New Roman" w:cs="Times New Roman"/>
          <w:i/>
          <w:iCs/>
        </w:rPr>
        <w:t>15</w:t>
      </w:r>
      <w:r>
        <w:rPr>
          <w:rFonts w:ascii="Times New Roman" w:eastAsia="Times New Roman" w:hAnsi="Times New Roman" w:cs="Times New Roman"/>
        </w:rPr>
        <w:t xml:space="preserve">(4), 271–280. </w:t>
      </w:r>
      <w:hyperlink r:id="rId133">
        <w:r w:rsidR="006F2F23">
          <w:rPr>
            <w:rFonts w:ascii="Times New Roman" w:eastAsia="Times New Roman" w:hAnsi="Times New Roman" w:cs="Times New Roman"/>
            <w:color w:val="467886"/>
            <w:u w:val="single"/>
          </w:rPr>
          <w:t>https://doi.org/10.1080/09540090310001655093</w:t>
        </w:r>
      </w:hyperlink>
    </w:p>
    <w:p w14:paraId="2C3FFA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Schlingloff, L., </w:t>
      </w:r>
      <w:proofErr w:type="spellStart"/>
      <w:r>
        <w:rPr>
          <w:rFonts w:ascii="Times New Roman" w:eastAsia="Times New Roman" w:hAnsi="Times New Roman" w:cs="Times New Roman"/>
        </w:rPr>
        <w:t>Csibra</w:t>
      </w:r>
      <w:proofErr w:type="spellEnd"/>
      <w:r>
        <w:rPr>
          <w:rFonts w:ascii="Times New Roman" w:eastAsia="Times New Roman" w:hAnsi="Times New Roman" w:cs="Times New Roman"/>
        </w:rPr>
        <w:t xml:space="preserve">, G., &amp; Tatone, D. (2020). Do 15-month-old infants prefer helpers? A replication of Hamlin et al. (2007). Royal Society Open Science, </w:t>
      </w:r>
      <w:r>
        <w:rPr>
          <w:rFonts w:ascii="Times New Roman" w:eastAsia="Times New Roman" w:hAnsi="Times New Roman" w:cs="Times New Roman"/>
          <w:i/>
          <w:iCs/>
        </w:rPr>
        <w:t>7</w:t>
      </w:r>
      <w:r>
        <w:rPr>
          <w:rFonts w:ascii="Times New Roman" w:eastAsia="Times New Roman" w:hAnsi="Times New Roman" w:cs="Times New Roman"/>
        </w:rPr>
        <w:t xml:space="preserve">(4), 191795. </w:t>
      </w:r>
      <w:hyperlink r:id="rId134">
        <w:r w:rsidR="006F2F23">
          <w:rPr>
            <w:rFonts w:ascii="Times New Roman" w:eastAsia="Times New Roman" w:hAnsi="Times New Roman" w:cs="Times New Roman"/>
            <w:color w:val="467886"/>
            <w:u w:val="single"/>
          </w:rPr>
          <w:t>https://doi.org/10.1098/rsos.191795</w:t>
        </w:r>
      </w:hyperlink>
    </w:p>
    <w:p w14:paraId="2D80557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Schmidt, M. F., &amp; Sommerville, J. A. (2011). Fairness expectations and altruistic sharing in 15-month-old human infants. </w:t>
      </w:r>
      <w:proofErr w:type="spellStart"/>
      <w:r>
        <w:rPr>
          <w:rFonts w:ascii="Times New Roman" w:eastAsia="Times New Roman" w:hAnsi="Times New Roman" w:cs="Times New Roman"/>
          <w:i/>
          <w:iCs/>
        </w:rPr>
        <w:t>PLoS</w:t>
      </w:r>
      <w:proofErr w:type="spellEnd"/>
      <w:r>
        <w:rPr>
          <w:rFonts w:ascii="Times New Roman" w:eastAsia="Times New Roman" w:hAnsi="Times New Roman" w:cs="Times New Roman"/>
          <w:i/>
          <w:iCs/>
        </w:rPr>
        <w:t xml:space="preserve"> ONE</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(10), e23223. </w:t>
      </w:r>
      <w:hyperlink r:id="rId135">
        <w:r w:rsidR="006F2F23">
          <w:rPr>
            <w:rFonts w:ascii="Times New Roman" w:eastAsia="Times New Roman" w:hAnsi="Times New Roman" w:cs="Times New Roman"/>
            <w:color w:val="467886"/>
            <w:u w:val="single"/>
          </w:rPr>
          <w:t>https://doi.org/10.1371/journal.pone.0023223</w:t>
        </w:r>
      </w:hyperlink>
    </w:p>
    <w:p w14:paraId="2F5BFD9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Schwier, C., Van Maanen, C., Carpenter, M., &amp; Tomasello, M. (2006). Rational imitation in 12-month-old infants. Infancy, </w:t>
      </w:r>
      <w:r>
        <w:rPr>
          <w:rFonts w:ascii="Times New Roman" w:eastAsia="Times New Roman" w:hAnsi="Times New Roman" w:cs="Times New Roman"/>
          <w:i/>
          <w:iCs/>
        </w:rPr>
        <w:t>10</w:t>
      </w:r>
      <w:r>
        <w:rPr>
          <w:rFonts w:ascii="Times New Roman" w:eastAsia="Times New Roman" w:hAnsi="Times New Roman" w:cs="Times New Roman"/>
        </w:rPr>
        <w:t xml:space="preserve">(3), 303–311. </w:t>
      </w:r>
      <w:hyperlink r:id="rId136">
        <w:r w:rsidR="006F2F23">
          <w:rPr>
            <w:rFonts w:ascii="Times New Roman" w:eastAsia="Times New Roman" w:hAnsi="Times New Roman" w:cs="Times New Roman"/>
            <w:color w:val="467886"/>
            <w:u w:val="single"/>
          </w:rPr>
          <w:t>https://doi.org/10.1207/s15327078in1003_6</w:t>
        </w:r>
      </w:hyperlink>
    </w:p>
    <w:p w14:paraId="771D5722"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Scott, L. S., &amp; Arcaro, M. J. (2023). A domain-relevant framework for the development of face processing. </w:t>
      </w:r>
      <w:r>
        <w:rPr>
          <w:rFonts w:ascii="Times New Roman" w:eastAsia="Times New Roman" w:hAnsi="Times New Roman" w:cs="Times New Roman"/>
          <w:i/>
          <w:iCs/>
        </w:rPr>
        <w:t>Nature Reviews Psychology</w:t>
      </w:r>
      <w:r>
        <w:rPr>
          <w:rFonts w:ascii="Times New Roman" w:eastAsia="Times New Roman" w:hAnsi="Times New Roman" w:cs="Times New Roman"/>
        </w:rPr>
        <w:t xml:space="preserve">, </w:t>
      </w:r>
      <w:r>
        <w:rPr>
          <w:rFonts w:ascii="Times New Roman" w:eastAsia="Times New Roman" w:hAnsi="Times New Roman" w:cs="Times New Roman"/>
          <w:i/>
          <w:iCs/>
        </w:rPr>
        <w:t>2</w:t>
      </w:r>
      <w:r>
        <w:rPr>
          <w:rFonts w:ascii="Times New Roman" w:eastAsia="Times New Roman" w:hAnsi="Times New Roman" w:cs="Times New Roman"/>
        </w:rPr>
        <w:t xml:space="preserve">(3), 183–195. </w:t>
      </w:r>
      <w:hyperlink r:id="rId137">
        <w:r w:rsidR="006F2F23">
          <w:rPr>
            <w:rFonts w:ascii="Times New Roman" w:eastAsia="Times New Roman" w:hAnsi="Times New Roman" w:cs="Times New Roman"/>
            <w:color w:val="467886"/>
            <w:u w:val="single"/>
          </w:rPr>
          <w:t>https://doi.org/10.1038/s44159-023-00152-5</w:t>
        </w:r>
      </w:hyperlink>
      <w:r>
        <w:rPr>
          <w:rFonts w:ascii="Times New Roman" w:eastAsia="Times New Roman" w:hAnsi="Times New Roman" w:cs="Times New Roman"/>
        </w:rPr>
        <w:t xml:space="preserve"> </w:t>
      </w:r>
    </w:p>
    <w:p w14:paraId="3BA4B12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Simon, T. J. (1997). Reconceptualizing the origins of number knowledge: A “non-numerical” account. </w:t>
      </w:r>
      <w:r>
        <w:rPr>
          <w:rFonts w:ascii="Times New Roman" w:eastAsia="Times New Roman" w:hAnsi="Times New Roman" w:cs="Times New Roman"/>
          <w:i/>
          <w:iCs/>
        </w:rPr>
        <w:t>Cognitive development</w:t>
      </w:r>
      <w:r>
        <w:rPr>
          <w:rFonts w:ascii="Times New Roman" w:eastAsia="Times New Roman" w:hAnsi="Times New Roman" w:cs="Times New Roman"/>
        </w:rPr>
        <w:t>, </w:t>
      </w:r>
      <w:r>
        <w:rPr>
          <w:rFonts w:ascii="Times New Roman" w:eastAsia="Times New Roman" w:hAnsi="Times New Roman" w:cs="Times New Roman"/>
          <w:i/>
          <w:iCs/>
        </w:rPr>
        <w:t>12</w:t>
      </w:r>
      <w:r>
        <w:rPr>
          <w:rFonts w:ascii="Times New Roman" w:eastAsia="Times New Roman" w:hAnsi="Times New Roman" w:cs="Times New Roman"/>
        </w:rPr>
        <w:t xml:space="preserve">(3), 349-372. </w:t>
      </w:r>
      <w:hyperlink r:id="rId138">
        <w:r w:rsidR="006F2F23">
          <w:rPr>
            <w:rFonts w:ascii="Times New Roman" w:eastAsia="Times New Roman" w:hAnsi="Times New Roman" w:cs="Times New Roman"/>
            <w:color w:val="467886"/>
            <w:u w:val="single"/>
          </w:rPr>
          <w:t>https://doi.org/10.1016/S0885-2014(97)90008-3</w:t>
        </w:r>
      </w:hyperlink>
    </w:p>
    <w:p w14:paraId="382D247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Singh, S. E., Benton, D. T., &amp; Lei, R. F. (2025). Using artificial neural networks to simulate social category learning: A tutorial. </w:t>
      </w:r>
      <w:r>
        <w:rPr>
          <w:rFonts w:ascii="Times New Roman" w:eastAsia="Times New Roman" w:hAnsi="Times New Roman" w:cs="Times New Roman"/>
          <w:i/>
          <w:iCs/>
        </w:rPr>
        <w:t>Social Cognition</w:t>
      </w:r>
      <w:r>
        <w:rPr>
          <w:rFonts w:ascii="Times New Roman" w:eastAsia="Times New Roman" w:hAnsi="Times New Roman" w:cs="Times New Roman"/>
        </w:rPr>
        <w:t xml:space="preserve">, </w:t>
      </w:r>
      <w:r>
        <w:rPr>
          <w:rFonts w:ascii="Times New Roman" w:eastAsia="Times New Roman" w:hAnsi="Times New Roman" w:cs="Times New Roman"/>
          <w:i/>
          <w:iCs/>
        </w:rPr>
        <w:t>43</w:t>
      </w:r>
      <w:r>
        <w:rPr>
          <w:rFonts w:ascii="Times New Roman" w:eastAsia="Times New Roman" w:hAnsi="Times New Roman" w:cs="Times New Roman"/>
        </w:rPr>
        <w:t xml:space="preserve">(3), 152–166. </w:t>
      </w:r>
      <w:hyperlink r:id="rId139">
        <w:r w:rsidR="006F2F23">
          <w:rPr>
            <w:rFonts w:ascii="Times New Roman" w:eastAsia="Times New Roman" w:hAnsi="Times New Roman" w:cs="Times New Roman"/>
            <w:color w:val="467886"/>
            <w:u w:val="single"/>
          </w:rPr>
          <w:t>https://doi.org/10.1521/soco.2025.43.3.152</w:t>
        </w:r>
      </w:hyperlink>
    </w:p>
    <w:p w14:paraId="36DD00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Sirois, S., &amp; Mareschal, D. (2002). Models of habituation in infancy. </w:t>
      </w:r>
      <w:r>
        <w:rPr>
          <w:rFonts w:ascii="Times New Roman" w:eastAsia="Times New Roman" w:hAnsi="Times New Roman" w:cs="Times New Roman"/>
          <w:i/>
          <w:iCs/>
        </w:rPr>
        <w:t>Trends in Cognitive Sciences</w:t>
      </w:r>
      <w:r>
        <w:rPr>
          <w:rFonts w:ascii="Times New Roman" w:eastAsia="Times New Roman" w:hAnsi="Times New Roman" w:cs="Times New Roman"/>
        </w:rPr>
        <w:t xml:space="preserve">, </w:t>
      </w:r>
      <w:r>
        <w:rPr>
          <w:rFonts w:ascii="Times New Roman" w:eastAsia="Times New Roman" w:hAnsi="Times New Roman" w:cs="Times New Roman"/>
          <w:i/>
          <w:iCs/>
        </w:rPr>
        <w:t>6</w:t>
      </w:r>
      <w:r>
        <w:rPr>
          <w:rFonts w:ascii="Times New Roman" w:eastAsia="Times New Roman" w:hAnsi="Times New Roman" w:cs="Times New Roman"/>
        </w:rPr>
        <w:t xml:space="preserve">(7), 293–298. </w:t>
      </w:r>
      <w:hyperlink r:id="rId140">
        <w:r w:rsidR="006F2F23">
          <w:rPr>
            <w:rFonts w:ascii="Times New Roman" w:eastAsia="Times New Roman" w:hAnsi="Times New Roman" w:cs="Times New Roman"/>
            <w:color w:val="467886"/>
            <w:u w:val="single"/>
          </w:rPr>
          <w:t>https://doi.org/10.1016/S1364-6613(02)01926-5</w:t>
        </w:r>
      </w:hyperlink>
    </w:p>
    <w:p w14:paraId="577210C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Skerry, A. E., Carey, S. E., &amp; </w:t>
      </w: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(2013). First-person action experience reveals sensitivity to action efficiency in </w:t>
      </w:r>
      <w:proofErr w:type="spellStart"/>
      <w:r>
        <w:rPr>
          <w:rFonts w:ascii="Times New Roman" w:eastAsia="Times New Roman" w:hAnsi="Times New Roman" w:cs="Times New Roman"/>
        </w:rPr>
        <w:t>prereaching</w:t>
      </w:r>
      <w:proofErr w:type="spellEnd"/>
      <w:r>
        <w:rPr>
          <w:rFonts w:ascii="Times New Roman" w:eastAsia="Times New Roman" w:hAnsi="Times New Roman" w:cs="Times New Roman"/>
        </w:rPr>
        <w:t xml:space="preserve"> infants. </w:t>
      </w:r>
      <w:r>
        <w:rPr>
          <w:rFonts w:ascii="Times New Roman" w:eastAsia="Times New Roman" w:hAnsi="Times New Roman" w:cs="Times New Roman"/>
          <w:i/>
          <w:iCs/>
        </w:rPr>
        <w:t>Proceedings of the National Academy of Sciences</w:t>
      </w:r>
      <w:r>
        <w:rPr>
          <w:rFonts w:ascii="Times New Roman" w:eastAsia="Times New Roman" w:hAnsi="Times New Roman" w:cs="Times New Roman"/>
        </w:rPr>
        <w:t xml:space="preserve">, </w:t>
      </w:r>
      <w:r>
        <w:rPr>
          <w:rFonts w:ascii="Times New Roman" w:eastAsia="Times New Roman" w:hAnsi="Times New Roman" w:cs="Times New Roman"/>
          <w:i/>
          <w:iCs/>
        </w:rPr>
        <w:t>110</w:t>
      </w:r>
      <w:r>
        <w:rPr>
          <w:rFonts w:ascii="Times New Roman" w:eastAsia="Times New Roman" w:hAnsi="Times New Roman" w:cs="Times New Roman"/>
        </w:rPr>
        <w:t xml:space="preserve">(46), 18728–18733. </w:t>
      </w:r>
      <w:hyperlink r:id="rId141">
        <w:r w:rsidR="006F2F23">
          <w:rPr>
            <w:rFonts w:ascii="Times New Roman" w:eastAsia="Times New Roman" w:hAnsi="Times New Roman" w:cs="Times New Roman"/>
            <w:color w:val="467886"/>
            <w:u w:val="single"/>
          </w:rPr>
          <w:t>https://doi.org/10.1073/pnas.1318053110</w:t>
        </w:r>
      </w:hyperlink>
      <w:r>
        <w:rPr>
          <w:rFonts w:ascii="Times New Roman" w:eastAsia="Times New Roman" w:hAnsi="Times New Roman" w:cs="Times New Roman"/>
        </w:rPr>
        <w:t xml:space="preserve"> </w:t>
      </w:r>
    </w:p>
    <w:p w14:paraId="4DFA6C0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Slater, A. (1989). Visual memory and perception in early infancy. In A. Slater &amp; G. Bremner (Eds.), Infant development (pp. 43–71). Erlbaum.</w:t>
      </w:r>
    </w:p>
    <w:p w14:paraId="1B0EF1D5"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Sloutsky, V. M. (2010). From perceptual categories to concepts: What </w:t>
      </w:r>
      <w:proofErr w:type="gramStart"/>
      <w:r>
        <w:rPr>
          <w:rFonts w:ascii="Times New Roman" w:eastAsia="Times New Roman" w:hAnsi="Times New Roman" w:cs="Times New Roman"/>
        </w:rPr>
        <w:t>develops?.</w:t>
      </w:r>
      <w:proofErr w:type="gramEnd"/>
      <w:r>
        <w:rPr>
          <w:rFonts w:ascii="Times New Roman" w:eastAsia="Times New Roman" w:hAnsi="Times New Roman" w:cs="Times New Roman"/>
        </w:rPr>
        <w:t xml:space="preserve"> </w:t>
      </w:r>
      <w:r>
        <w:rPr>
          <w:rFonts w:ascii="Times New Roman" w:eastAsia="Times New Roman" w:hAnsi="Times New Roman" w:cs="Times New Roman"/>
          <w:i/>
          <w:iCs/>
        </w:rPr>
        <w:t>Cognitive Science</w:t>
      </w:r>
      <w:r>
        <w:rPr>
          <w:rFonts w:ascii="Times New Roman" w:eastAsia="Times New Roman" w:hAnsi="Times New Roman" w:cs="Times New Roman"/>
        </w:rPr>
        <w:t xml:space="preserve">, </w:t>
      </w:r>
      <w:r>
        <w:rPr>
          <w:rFonts w:ascii="Times New Roman" w:eastAsia="Times New Roman" w:hAnsi="Times New Roman" w:cs="Times New Roman"/>
          <w:i/>
          <w:iCs/>
        </w:rPr>
        <w:t>34</w:t>
      </w:r>
      <w:r>
        <w:rPr>
          <w:rFonts w:ascii="Times New Roman" w:eastAsia="Times New Roman" w:hAnsi="Times New Roman" w:cs="Times New Roman"/>
        </w:rPr>
        <w:t xml:space="preserve">(7), 1244–1286. </w:t>
      </w:r>
      <w:hyperlink r:id="rId142">
        <w:r w:rsidR="006F2F23">
          <w:rPr>
            <w:rFonts w:ascii="Times New Roman" w:eastAsia="Times New Roman" w:hAnsi="Times New Roman" w:cs="Times New Roman"/>
            <w:color w:val="467886"/>
            <w:u w:val="single"/>
          </w:rPr>
          <w:t>https://doi.org/10.1111/j.1551-6709.2010.01129.x</w:t>
        </w:r>
      </w:hyperlink>
    </w:p>
    <w:p w14:paraId="27602F14"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Sodian</w:t>
      </w:r>
      <w:proofErr w:type="spellEnd"/>
      <w:r>
        <w:rPr>
          <w:rFonts w:ascii="Times New Roman" w:eastAsia="Times New Roman" w:hAnsi="Times New Roman" w:cs="Times New Roman"/>
        </w:rPr>
        <w:t xml:space="preserve">, B., Schoeppner, B., &amp; Metz, U. (2004). Do infants apply the principle of rational action to human agents? </w:t>
      </w:r>
      <w:r>
        <w:rPr>
          <w:rFonts w:ascii="Times New Roman" w:eastAsia="Times New Roman" w:hAnsi="Times New Roman" w:cs="Times New Roman"/>
          <w:i/>
          <w:iCs/>
        </w:rPr>
        <w:t>Infant Behavior and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(1), 31–41. </w:t>
      </w:r>
      <w:hyperlink r:id="rId143">
        <w:r w:rsidR="006F2F23">
          <w:rPr>
            <w:rFonts w:ascii="Times New Roman" w:eastAsia="Times New Roman" w:hAnsi="Times New Roman" w:cs="Times New Roman"/>
            <w:color w:val="467886"/>
            <w:u w:val="single"/>
          </w:rPr>
          <w:t>https://doi.org/10.1016/j.infbeh.2003.05.006</w:t>
        </w:r>
      </w:hyperlink>
    </w:p>
    <w:p w14:paraId="2FFADCA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Sokolov, E. N. (1963). Higher nervous functions: The orienting reflex. </w:t>
      </w:r>
      <w:r>
        <w:rPr>
          <w:rFonts w:ascii="Times New Roman" w:eastAsia="Times New Roman" w:hAnsi="Times New Roman" w:cs="Times New Roman"/>
          <w:i/>
          <w:iCs/>
        </w:rPr>
        <w:t>Annual Review of Physiology</w:t>
      </w:r>
      <w:r>
        <w:rPr>
          <w:rFonts w:ascii="Times New Roman" w:eastAsia="Times New Roman" w:hAnsi="Times New Roman" w:cs="Times New Roman"/>
        </w:rPr>
        <w:t xml:space="preserve">, </w:t>
      </w:r>
      <w:r>
        <w:rPr>
          <w:rFonts w:ascii="Times New Roman" w:eastAsia="Times New Roman" w:hAnsi="Times New Roman" w:cs="Times New Roman"/>
          <w:i/>
          <w:iCs/>
        </w:rPr>
        <w:t>25</w:t>
      </w:r>
      <w:r>
        <w:rPr>
          <w:rFonts w:ascii="Times New Roman" w:eastAsia="Times New Roman" w:hAnsi="Times New Roman" w:cs="Times New Roman"/>
        </w:rPr>
        <w:t xml:space="preserve">(1), 545–580. </w:t>
      </w:r>
      <w:hyperlink r:id="rId144">
        <w:r w:rsidR="006F2F23">
          <w:rPr>
            <w:rFonts w:ascii="Times New Roman" w:eastAsia="Times New Roman" w:hAnsi="Times New Roman" w:cs="Times New Roman"/>
            <w:color w:val="467886"/>
            <w:u w:val="single"/>
          </w:rPr>
          <w:t>https://doi.org/10.1146/annurev.ph.25.030163.002553</w:t>
        </w:r>
      </w:hyperlink>
    </w:p>
    <w:p w14:paraId="45F0741F"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Sommerville, J. A., Woodward, A. L., &amp; Needham, A. (2005). Action experience alters 3-month-old infants' perception of others' actions.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96</w:t>
      </w:r>
      <w:r>
        <w:rPr>
          <w:rFonts w:ascii="Times New Roman" w:eastAsia="Times New Roman" w:hAnsi="Times New Roman" w:cs="Times New Roman"/>
        </w:rPr>
        <w:t xml:space="preserve">(1), B1–B11. </w:t>
      </w:r>
      <w:hyperlink r:id="rId145">
        <w:r w:rsidR="006F2F23">
          <w:rPr>
            <w:rFonts w:ascii="Times New Roman" w:eastAsia="Times New Roman" w:hAnsi="Times New Roman" w:cs="Times New Roman"/>
            <w:color w:val="467886"/>
            <w:u w:val="single"/>
          </w:rPr>
          <w:t>https://doi.org/10.1016/j.cognition.2004.07.004</w:t>
        </w:r>
      </w:hyperlink>
      <w:r>
        <w:rPr>
          <w:rFonts w:ascii="Times New Roman" w:eastAsia="Times New Roman" w:hAnsi="Times New Roman" w:cs="Times New Roman"/>
        </w:rPr>
        <w:t xml:space="preserve"> </w:t>
      </w:r>
    </w:p>
    <w:p w14:paraId="34A3A799"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E. S. (2022). What babies know: Core knowledge and composition (Vol. 1). Oxford University Press.</w:t>
      </w:r>
    </w:p>
    <w:p w14:paraId="0561665D"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t>Spelke</w:t>
      </w:r>
      <w:proofErr w:type="spellEnd"/>
      <w:r>
        <w:rPr>
          <w:rFonts w:ascii="Times New Roman" w:eastAsia="Times New Roman" w:hAnsi="Times New Roman" w:cs="Times New Roman"/>
        </w:rPr>
        <w:t xml:space="preserve">, E. S., </w:t>
      </w:r>
      <w:proofErr w:type="spellStart"/>
      <w:r>
        <w:rPr>
          <w:rFonts w:ascii="Times New Roman" w:eastAsia="Times New Roman" w:hAnsi="Times New Roman" w:cs="Times New Roman"/>
        </w:rPr>
        <w:t>Breinlinger</w:t>
      </w:r>
      <w:proofErr w:type="spellEnd"/>
      <w:r>
        <w:rPr>
          <w:rFonts w:ascii="Times New Roman" w:eastAsia="Times New Roman" w:hAnsi="Times New Roman" w:cs="Times New Roman"/>
        </w:rPr>
        <w:t xml:space="preserve">, K., Macomber, J., &amp; Jacobson, K. (1992). Origins of knowledge. </w:t>
      </w:r>
      <w:r>
        <w:rPr>
          <w:rFonts w:ascii="Times New Roman" w:eastAsia="Times New Roman" w:hAnsi="Times New Roman" w:cs="Times New Roman"/>
          <w:i/>
          <w:iCs/>
        </w:rPr>
        <w:t>Psychological Review</w:t>
      </w:r>
      <w:r>
        <w:rPr>
          <w:rFonts w:ascii="Times New Roman" w:eastAsia="Times New Roman" w:hAnsi="Times New Roman" w:cs="Times New Roman"/>
        </w:rPr>
        <w:t xml:space="preserve">, </w:t>
      </w:r>
      <w:r>
        <w:rPr>
          <w:rFonts w:ascii="Times New Roman" w:eastAsia="Times New Roman" w:hAnsi="Times New Roman" w:cs="Times New Roman"/>
          <w:i/>
          <w:iCs/>
        </w:rPr>
        <w:t>99</w:t>
      </w:r>
      <w:r>
        <w:rPr>
          <w:rFonts w:ascii="Times New Roman" w:eastAsia="Times New Roman" w:hAnsi="Times New Roman" w:cs="Times New Roman"/>
        </w:rPr>
        <w:t xml:space="preserve">(4), 605–632. </w:t>
      </w:r>
      <w:hyperlink r:id="rId146">
        <w:r w:rsidR="006F2F23">
          <w:rPr>
            <w:rFonts w:ascii="Times New Roman" w:eastAsia="Times New Roman" w:hAnsi="Times New Roman" w:cs="Times New Roman"/>
            <w:color w:val="467886"/>
            <w:u w:val="single"/>
          </w:rPr>
          <w:t>https://doi.org/10.1037/0033-295X.99.4.605</w:t>
        </w:r>
      </w:hyperlink>
    </w:p>
    <w:p w14:paraId="04A09FBB"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Stahl, A. E., &amp; Kibbe, M. M. (2022). Great expectations: The construct validity of the violation‐of‐expectation method for studying infant cognition. </w:t>
      </w:r>
      <w:r>
        <w:rPr>
          <w:rFonts w:ascii="Times New Roman" w:eastAsia="Times New Roman" w:hAnsi="Times New Roman" w:cs="Times New Roman"/>
          <w:i/>
          <w:iCs/>
        </w:rPr>
        <w:t>Infant and Child Development</w:t>
      </w:r>
      <w:r>
        <w:rPr>
          <w:rFonts w:ascii="Times New Roman" w:eastAsia="Times New Roman" w:hAnsi="Times New Roman" w:cs="Times New Roman"/>
        </w:rPr>
        <w:t xml:space="preserve">, </w:t>
      </w:r>
      <w:r>
        <w:rPr>
          <w:rFonts w:ascii="Times New Roman" w:eastAsia="Times New Roman" w:hAnsi="Times New Roman" w:cs="Times New Roman"/>
          <w:i/>
          <w:iCs/>
        </w:rPr>
        <w:t>31</w:t>
      </w:r>
      <w:r>
        <w:rPr>
          <w:rFonts w:ascii="Times New Roman" w:eastAsia="Times New Roman" w:hAnsi="Times New Roman" w:cs="Times New Roman"/>
        </w:rPr>
        <w:t xml:space="preserve">(6), e2359. </w:t>
      </w:r>
      <w:hyperlink r:id="rId147">
        <w:r w:rsidR="006F2F23">
          <w:rPr>
            <w:rFonts w:ascii="Times New Roman" w:eastAsia="Times New Roman" w:hAnsi="Times New Roman" w:cs="Times New Roman"/>
            <w:color w:val="467886"/>
            <w:u w:val="single"/>
          </w:rPr>
          <w:t>https://doi.org/10.1002/icd.2359</w:t>
        </w:r>
      </w:hyperlink>
    </w:p>
    <w:p w14:paraId="211C8747" w14:textId="77777777" w:rsidR="006F2F23" w:rsidRDefault="00000000">
      <w:pPr>
        <w:spacing w:line="480" w:lineRule="auto"/>
        <w:ind w:hanging="720"/>
        <w:rPr>
          <w:rFonts w:ascii="Times New Roman" w:eastAsia="Times New Roman" w:hAnsi="Times New Roman" w:cs="Times New Roman"/>
        </w:rPr>
      </w:pPr>
      <w:proofErr w:type="spellStart"/>
      <w:r>
        <w:rPr>
          <w:rFonts w:ascii="Times New Roman" w:eastAsia="Times New Roman" w:hAnsi="Times New Roman" w:cs="Times New Roman"/>
        </w:rPr>
        <w:lastRenderedPageBreak/>
        <w:t>Vallortigara</w:t>
      </w:r>
      <w:proofErr w:type="spellEnd"/>
      <w:r>
        <w:rPr>
          <w:rFonts w:ascii="Times New Roman" w:eastAsia="Times New Roman" w:hAnsi="Times New Roman" w:cs="Times New Roman"/>
        </w:rPr>
        <w:t xml:space="preserve">, G., </w:t>
      </w:r>
      <w:proofErr w:type="spellStart"/>
      <w:r>
        <w:rPr>
          <w:rFonts w:ascii="Times New Roman" w:eastAsia="Times New Roman" w:hAnsi="Times New Roman" w:cs="Times New Roman"/>
        </w:rPr>
        <w:t>Regolin</w:t>
      </w:r>
      <w:proofErr w:type="spellEnd"/>
      <w:r>
        <w:rPr>
          <w:rFonts w:ascii="Times New Roman" w:eastAsia="Times New Roman" w:hAnsi="Times New Roman" w:cs="Times New Roman"/>
        </w:rPr>
        <w:t xml:space="preserve">, L., &amp; </w:t>
      </w:r>
      <w:proofErr w:type="spellStart"/>
      <w:r>
        <w:rPr>
          <w:rFonts w:ascii="Times New Roman" w:eastAsia="Times New Roman" w:hAnsi="Times New Roman" w:cs="Times New Roman"/>
        </w:rPr>
        <w:t>Marconato</w:t>
      </w:r>
      <w:proofErr w:type="spellEnd"/>
      <w:r>
        <w:rPr>
          <w:rFonts w:ascii="Times New Roman" w:eastAsia="Times New Roman" w:hAnsi="Times New Roman" w:cs="Times New Roman"/>
        </w:rPr>
        <w:t xml:space="preserve">, F. (2005). Visually inexperienced chicks exhibit spontaneous preference for biological motion patterns. </w:t>
      </w:r>
      <w:proofErr w:type="spellStart"/>
      <w:r>
        <w:rPr>
          <w:rFonts w:ascii="Times New Roman" w:eastAsia="Times New Roman" w:hAnsi="Times New Roman" w:cs="Times New Roman"/>
        </w:rPr>
        <w:t>PLoS</w:t>
      </w:r>
      <w:proofErr w:type="spellEnd"/>
      <w:r>
        <w:rPr>
          <w:rFonts w:ascii="Times New Roman" w:eastAsia="Times New Roman" w:hAnsi="Times New Roman" w:cs="Times New Roman"/>
        </w:rPr>
        <w:t xml:space="preserve"> Biology, </w:t>
      </w:r>
      <w:r>
        <w:rPr>
          <w:rFonts w:ascii="Times New Roman" w:eastAsia="Times New Roman" w:hAnsi="Times New Roman" w:cs="Times New Roman"/>
          <w:i/>
          <w:iCs/>
        </w:rPr>
        <w:t>3</w:t>
      </w:r>
      <w:r>
        <w:rPr>
          <w:rFonts w:ascii="Times New Roman" w:eastAsia="Times New Roman" w:hAnsi="Times New Roman" w:cs="Times New Roman"/>
        </w:rPr>
        <w:t xml:space="preserve">(7), e208. </w:t>
      </w:r>
      <w:hyperlink r:id="rId148">
        <w:r w:rsidR="006F2F23">
          <w:rPr>
            <w:rFonts w:ascii="Times New Roman" w:eastAsia="Times New Roman" w:hAnsi="Times New Roman" w:cs="Times New Roman"/>
            <w:color w:val="467886"/>
            <w:u w:val="single"/>
          </w:rPr>
          <w:t>https://doi.org/10.1371/journal.pbio.0030208</w:t>
        </w:r>
      </w:hyperlink>
    </w:p>
    <w:p w14:paraId="5E7E6710"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Van </w:t>
      </w:r>
      <w:proofErr w:type="spellStart"/>
      <w:r>
        <w:rPr>
          <w:rFonts w:ascii="Times New Roman" w:eastAsia="Times New Roman" w:hAnsi="Times New Roman" w:cs="Times New Roman"/>
        </w:rPr>
        <w:t>Overwalle</w:t>
      </w:r>
      <w:proofErr w:type="spellEnd"/>
      <w:r>
        <w:rPr>
          <w:rFonts w:ascii="Times New Roman" w:eastAsia="Times New Roman" w:hAnsi="Times New Roman" w:cs="Times New Roman"/>
        </w:rPr>
        <w:t xml:space="preserve">, F. (2010). Infants' teleological and belief inference: A recurrent connectionist approach to their minimal representational and computational requirements. </w:t>
      </w:r>
      <w:proofErr w:type="spellStart"/>
      <w:r>
        <w:rPr>
          <w:rFonts w:ascii="Times New Roman" w:eastAsia="Times New Roman" w:hAnsi="Times New Roman" w:cs="Times New Roman"/>
          <w:i/>
          <w:iCs/>
        </w:rPr>
        <w:t>NeuroImage</w:t>
      </w:r>
      <w:proofErr w:type="spellEnd"/>
      <w:r>
        <w:rPr>
          <w:rFonts w:ascii="Times New Roman" w:eastAsia="Times New Roman" w:hAnsi="Times New Roman" w:cs="Times New Roman"/>
        </w:rPr>
        <w:t xml:space="preserve">, </w:t>
      </w:r>
      <w:r>
        <w:rPr>
          <w:rFonts w:ascii="Times New Roman" w:eastAsia="Times New Roman" w:hAnsi="Times New Roman" w:cs="Times New Roman"/>
          <w:i/>
          <w:iCs/>
        </w:rPr>
        <w:t>52</w:t>
      </w:r>
      <w:r>
        <w:rPr>
          <w:rFonts w:ascii="Times New Roman" w:eastAsia="Times New Roman" w:hAnsi="Times New Roman" w:cs="Times New Roman"/>
        </w:rPr>
        <w:t xml:space="preserve">(3), 1095–1108. </w:t>
      </w:r>
      <w:hyperlink r:id="rId149">
        <w:r w:rsidR="006F2F23">
          <w:rPr>
            <w:rFonts w:ascii="Times New Roman" w:eastAsia="Times New Roman" w:hAnsi="Times New Roman" w:cs="Times New Roman"/>
            <w:color w:val="467886"/>
            <w:u w:val="single"/>
          </w:rPr>
          <w:t>https://doi.org/10.1016/j.neuroimage.2010.05.028</w:t>
        </w:r>
      </w:hyperlink>
      <w:r>
        <w:rPr>
          <w:rFonts w:ascii="Times New Roman" w:eastAsia="Times New Roman" w:hAnsi="Times New Roman" w:cs="Times New Roman"/>
        </w:rPr>
        <w:t xml:space="preserve"> </w:t>
      </w:r>
    </w:p>
    <w:p w14:paraId="3244BA7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Wagner, L., &amp; Carey, S. (2005). 12-month-old infants represent probable endings of motion events. </w:t>
      </w:r>
      <w:r>
        <w:rPr>
          <w:rFonts w:ascii="Times New Roman" w:eastAsia="Times New Roman" w:hAnsi="Times New Roman" w:cs="Times New Roman"/>
          <w:i/>
          <w:iCs/>
        </w:rPr>
        <w:t>Infancy</w:t>
      </w:r>
      <w:r>
        <w:rPr>
          <w:rFonts w:ascii="Times New Roman" w:eastAsia="Times New Roman" w:hAnsi="Times New Roman" w:cs="Times New Roman"/>
        </w:rPr>
        <w:t xml:space="preserve">, </w:t>
      </w:r>
      <w:r>
        <w:rPr>
          <w:rFonts w:ascii="Times New Roman" w:eastAsia="Times New Roman" w:hAnsi="Times New Roman" w:cs="Times New Roman"/>
          <w:i/>
          <w:iCs/>
        </w:rPr>
        <w:t>7</w:t>
      </w:r>
      <w:r>
        <w:rPr>
          <w:rFonts w:ascii="Times New Roman" w:eastAsia="Times New Roman" w:hAnsi="Times New Roman" w:cs="Times New Roman"/>
        </w:rPr>
        <w:t xml:space="preserve">(1), 73–83. </w:t>
      </w:r>
      <w:hyperlink r:id="rId150">
        <w:r w:rsidR="006F2F23">
          <w:rPr>
            <w:rFonts w:ascii="Times New Roman" w:eastAsia="Times New Roman" w:hAnsi="Times New Roman" w:cs="Times New Roman"/>
            <w:color w:val="467886"/>
            <w:u w:val="single"/>
          </w:rPr>
          <w:t>https://doi.org/10.1207/s15327078in0701_6</w:t>
        </w:r>
      </w:hyperlink>
      <w:r>
        <w:rPr>
          <w:rFonts w:ascii="Times New Roman" w:eastAsia="Times New Roman" w:hAnsi="Times New Roman" w:cs="Times New Roman"/>
        </w:rPr>
        <w:t xml:space="preserve"> </w:t>
      </w:r>
    </w:p>
    <w:p w14:paraId="11B21F0E"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Westermann, G., &amp; Mareschal, D. (2012). Mechanisms of developmental change in infant categorization. </w:t>
      </w:r>
      <w:r>
        <w:rPr>
          <w:rFonts w:ascii="Times New Roman" w:eastAsia="Times New Roman" w:hAnsi="Times New Roman" w:cs="Times New Roman"/>
          <w:i/>
          <w:iCs/>
        </w:rPr>
        <w:t>Cognitive Development</w:t>
      </w:r>
      <w:r>
        <w:rPr>
          <w:rFonts w:ascii="Times New Roman" w:eastAsia="Times New Roman" w:hAnsi="Times New Roman" w:cs="Times New Roman"/>
        </w:rPr>
        <w:t xml:space="preserve">, </w:t>
      </w:r>
      <w:r>
        <w:rPr>
          <w:rFonts w:ascii="Times New Roman" w:eastAsia="Times New Roman" w:hAnsi="Times New Roman" w:cs="Times New Roman"/>
          <w:i/>
          <w:iCs/>
        </w:rPr>
        <w:t>27</w:t>
      </w:r>
      <w:r>
        <w:rPr>
          <w:rFonts w:ascii="Times New Roman" w:eastAsia="Times New Roman" w:hAnsi="Times New Roman" w:cs="Times New Roman"/>
        </w:rPr>
        <w:t xml:space="preserve">(4), 367–382. </w:t>
      </w:r>
      <w:hyperlink r:id="rId151">
        <w:r w:rsidR="006F2F23">
          <w:rPr>
            <w:rFonts w:ascii="Times New Roman" w:eastAsia="Times New Roman" w:hAnsi="Times New Roman" w:cs="Times New Roman"/>
            <w:color w:val="467886"/>
            <w:u w:val="single"/>
          </w:rPr>
          <w:t>https://doi.org/10.1016/j.cogdev.2012.08.004</w:t>
        </w:r>
      </w:hyperlink>
    </w:p>
    <w:p w14:paraId="795E1BEC"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Williams, R. J., &amp; Zipser, D. (1995). Gradient-based learning algorithms for recurrent networks and their computational complexity. In Y. Chauvin &amp; D. E. Rumelhart (Eds.), Back-propagation: Theory, architectures and applications (pp. 433–486). Erlbaum. </w:t>
      </w:r>
    </w:p>
    <w:p w14:paraId="2A6223A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 B. M., Steckler, C. M., Le, D. T., &amp; Hamlin, J. K. (2017). Social evaluation of intentional, truly accidental, and </w:t>
      </w:r>
      <w:proofErr w:type="gramStart"/>
      <w:r>
        <w:rPr>
          <w:rFonts w:ascii="Times New Roman" w:eastAsia="Times New Roman" w:hAnsi="Times New Roman" w:cs="Times New Roman"/>
        </w:rPr>
        <w:t>negligently</w:t>
      </w:r>
      <w:proofErr w:type="gramEnd"/>
      <w:r>
        <w:rPr>
          <w:rFonts w:ascii="Times New Roman" w:eastAsia="Times New Roman" w:hAnsi="Times New Roman" w:cs="Times New Roman"/>
        </w:rPr>
        <w:t xml:space="preserve"> accidental helpers and harmers by 10-month-old infants.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168</w:t>
      </w:r>
      <w:r>
        <w:rPr>
          <w:rFonts w:ascii="Times New Roman" w:eastAsia="Times New Roman" w:hAnsi="Times New Roman" w:cs="Times New Roman"/>
        </w:rPr>
        <w:t xml:space="preserve">, 154–163. </w:t>
      </w:r>
      <w:hyperlink r:id="rId152">
        <w:r w:rsidR="006F2F23">
          <w:rPr>
            <w:rFonts w:ascii="Times New Roman" w:eastAsia="Times New Roman" w:hAnsi="Times New Roman" w:cs="Times New Roman"/>
            <w:color w:val="467886"/>
            <w:u w:val="single"/>
          </w:rPr>
          <w:t>https://doi.org/10.1016/j.cognition.2017.06.029</w:t>
        </w:r>
      </w:hyperlink>
    </w:p>
    <w:p w14:paraId="11FE54F9"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(1998). Infants selectively encode the goal object of an actor's reach. </w:t>
      </w:r>
      <w:r>
        <w:rPr>
          <w:rFonts w:ascii="Times New Roman" w:eastAsia="Times New Roman" w:hAnsi="Times New Roman" w:cs="Times New Roman"/>
          <w:i/>
          <w:iCs/>
        </w:rPr>
        <w:t>Cognition</w:t>
      </w:r>
      <w:r>
        <w:rPr>
          <w:rFonts w:ascii="Times New Roman" w:eastAsia="Times New Roman" w:hAnsi="Times New Roman" w:cs="Times New Roman"/>
        </w:rPr>
        <w:t xml:space="preserve">, </w:t>
      </w:r>
      <w:r>
        <w:rPr>
          <w:rFonts w:ascii="Times New Roman" w:eastAsia="Times New Roman" w:hAnsi="Times New Roman" w:cs="Times New Roman"/>
          <w:i/>
          <w:iCs/>
        </w:rPr>
        <w:t>69</w:t>
      </w:r>
      <w:r>
        <w:rPr>
          <w:rFonts w:ascii="Times New Roman" w:eastAsia="Times New Roman" w:hAnsi="Times New Roman" w:cs="Times New Roman"/>
        </w:rPr>
        <w:t xml:space="preserve">(1), 1–34. </w:t>
      </w:r>
      <w:hyperlink r:id="rId153">
        <w:r w:rsidR="006F2F23">
          <w:rPr>
            <w:rFonts w:ascii="Times New Roman" w:eastAsia="Times New Roman" w:hAnsi="Times New Roman" w:cs="Times New Roman"/>
            <w:color w:val="467886"/>
            <w:u w:val="single"/>
          </w:rPr>
          <w:t>https://doi.org/10.1016/S0010-0277(98)00058-4</w:t>
        </w:r>
      </w:hyperlink>
      <w:r>
        <w:rPr>
          <w:rFonts w:ascii="Times New Roman" w:eastAsia="Times New Roman" w:hAnsi="Times New Roman" w:cs="Times New Roman"/>
        </w:rPr>
        <w:t xml:space="preserve"> </w:t>
      </w:r>
    </w:p>
    <w:p w14:paraId="650E9ABD"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Woodward, A. L., &amp; Sommerville, J. A. (2000). Twelve-month-old infants interpret action in context. </w:t>
      </w:r>
      <w:r>
        <w:rPr>
          <w:rFonts w:ascii="Times New Roman" w:eastAsia="Times New Roman" w:hAnsi="Times New Roman" w:cs="Times New Roman"/>
          <w:i/>
          <w:iCs/>
        </w:rPr>
        <w:t>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11</w:t>
      </w:r>
      <w:r>
        <w:rPr>
          <w:rFonts w:ascii="Times New Roman" w:eastAsia="Times New Roman" w:hAnsi="Times New Roman" w:cs="Times New Roman"/>
        </w:rPr>
        <w:t xml:space="preserve">(1), 73–77. </w:t>
      </w:r>
      <w:hyperlink r:id="rId154">
        <w:r w:rsidR="006F2F23">
          <w:rPr>
            <w:rFonts w:ascii="Times New Roman" w:eastAsia="Times New Roman" w:hAnsi="Times New Roman" w:cs="Times New Roman"/>
            <w:color w:val="467886"/>
            <w:u w:val="single"/>
          </w:rPr>
          <w:t>https://doi.org/10.1111/1467-9280.00218</w:t>
        </w:r>
      </w:hyperlink>
    </w:p>
    <w:p w14:paraId="7C532D08"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lastRenderedPageBreak/>
        <w:t xml:space="preserve">Wynn, K. (1992). Addition and subtraction by human infants. </w:t>
      </w:r>
      <w:r>
        <w:rPr>
          <w:rFonts w:ascii="Times New Roman" w:eastAsia="Times New Roman" w:hAnsi="Times New Roman" w:cs="Times New Roman"/>
          <w:i/>
          <w:iCs/>
        </w:rPr>
        <w:t>Nature</w:t>
      </w:r>
      <w:r>
        <w:rPr>
          <w:rFonts w:ascii="Times New Roman" w:eastAsia="Times New Roman" w:hAnsi="Times New Roman" w:cs="Times New Roman"/>
        </w:rPr>
        <w:t xml:space="preserve">, </w:t>
      </w:r>
      <w:r>
        <w:rPr>
          <w:rFonts w:ascii="Times New Roman" w:eastAsia="Times New Roman" w:hAnsi="Times New Roman" w:cs="Times New Roman"/>
          <w:i/>
          <w:iCs/>
        </w:rPr>
        <w:t>358</w:t>
      </w:r>
      <w:r>
        <w:rPr>
          <w:rFonts w:ascii="Times New Roman" w:eastAsia="Times New Roman" w:hAnsi="Times New Roman" w:cs="Times New Roman"/>
        </w:rPr>
        <w:t xml:space="preserve">(6389), 749–750. </w:t>
      </w:r>
      <w:hyperlink r:id="rId155">
        <w:r w:rsidR="006F2F23">
          <w:rPr>
            <w:rFonts w:ascii="Times New Roman" w:eastAsia="Times New Roman" w:hAnsi="Times New Roman" w:cs="Times New Roman"/>
            <w:color w:val="467886"/>
            <w:u w:val="single"/>
          </w:rPr>
          <w:t>https://doi.org/10.1038/358749a0</w:t>
        </w:r>
      </w:hyperlink>
    </w:p>
    <w:p w14:paraId="1DF38D16"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Wynn, K. (1995). Infants possess a system of numerical knowledge. </w:t>
      </w:r>
      <w:r>
        <w:rPr>
          <w:rFonts w:ascii="Times New Roman" w:eastAsia="Times New Roman" w:hAnsi="Times New Roman" w:cs="Times New Roman"/>
          <w:i/>
          <w:iCs/>
        </w:rPr>
        <w:t>Current Directions in Psychological Science</w:t>
      </w:r>
      <w:r>
        <w:rPr>
          <w:rFonts w:ascii="Times New Roman" w:eastAsia="Times New Roman" w:hAnsi="Times New Roman" w:cs="Times New Roman"/>
        </w:rPr>
        <w:t xml:space="preserve">, </w:t>
      </w:r>
      <w:r>
        <w:rPr>
          <w:rFonts w:ascii="Times New Roman" w:eastAsia="Times New Roman" w:hAnsi="Times New Roman" w:cs="Times New Roman"/>
          <w:i/>
          <w:iCs/>
        </w:rPr>
        <w:t>4</w:t>
      </w:r>
      <w:r>
        <w:rPr>
          <w:rFonts w:ascii="Times New Roman" w:eastAsia="Times New Roman" w:hAnsi="Times New Roman" w:cs="Times New Roman"/>
        </w:rPr>
        <w:t xml:space="preserve">(6), 172–177. </w:t>
      </w:r>
      <w:hyperlink r:id="rId156">
        <w:r w:rsidR="006F2F23">
          <w:rPr>
            <w:rFonts w:ascii="Times New Roman" w:eastAsia="Times New Roman" w:hAnsi="Times New Roman" w:cs="Times New Roman"/>
            <w:color w:val="467886"/>
            <w:u w:val="single"/>
          </w:rPr>
          <w:t>https://doi.org/10.1111/1467-8721.ep10772615</w:t>
        </w:r>
      </w:hyperlink>
      <w:r>
        <w:rPr>
          <w:rFonts w:ascii="Times New Roman" w:eastAsia="Times New Roman" w:hAnsi="Times New Roman" w:cs="Times New Roman"/>
        </w:rPr>
        <w:t xml:space="preserve"> </w:t>
      </w:r>
    </w:p>
    <w:p w14:paraId="23783E2A" w14:textId="77777777" w:rsidR="006F2F23" w:rsidRDefault="00000000">
      <w:pPr>
        <w:spacing w:line="480" w:lineRule="auto"/>
        <w:ind w:hanging="720"/>
        <w:rPr>
          <w:rFonts w:ascii="Times New Roman" w:eastAsia="Times New Roman" w:hAnsi="Times New Roman" w:cs="Times New Roman"/>
        </w:rPr>
      </w:pPr>
      <w:r>
        <w:rPr>
          <w:rFonts w:ascii="Times New Roman" w:eastAsia="Times New Roman" w:hAnsi="Times New Roman" w:cs="Times New Roman"/>
        </w:rPr>
        <w:t xml:space="preserve">Younger, B. A. (1985). The segregation of items into categories by ten-month-old infants. </w:t>
      </w:r>
      <w:r>
        <w:rPr>
          <w:rFonts w:ascii="Times New Roman" w:eastAsia="Times New Roman" w:hAnsi="Times New Roman" w:cs="Times New Roman"/>
          <w:i/>
          <w:iCs/>
        </w:rPr>
        <w:t>Child Development</w:t>
      </w:r>
      <w:r>
        <w:rPr>
          <w:rFonts w:ascii="Times New Roman" w:eastAsia="Times New Roman" w:hAnsi="Times New Roman" w:cs="Times New Roman"/>
        </w:rPr>
        <w:t xml:space="preserve">, </w:t>
      </w:r>
      <w:r>
        <w:rPr>
          <w:rFonts w:ascii="Times New Roman" w:eastAsia="Times New Roman" w:hAnsi="Times New Roman" w:cs="Times New Roman"/>
          <w:i/>
          <w:iCs/>
        </w:rPr>
        <w:t>56</w:t>
      </w:r>
      <w:r>
        <w:rPr>
          <w:rFonts w:ascii="Times New Roman" w:eastAsia="Times New Roman" w:hAnsi="Times New Roman" w:cs="Times New Roman"/>
        </w:rPr>
        <w:t xml:space="preserve">(6), 1574–1583. </w:t>
      </w:r>
      <w:hyperlink r:id="rId157">
        <w:r w:rsidR="006F2F23">
          <w:rPr>
            <w:rFonts w:ascii="Times New Roman" w:eastAsia="Times New Roman" w:hAnsi="Times New Roman" w:cs="Times New Roman"/>
            <w:color w:val="467886"/>
            <w:u w:val="single"/>
          </w:rPr>
          <w:t>https://doi.org/10.2307/1130473</w:t>
        </w:r>
      </w:hyperlink>
    </w:p>
    <w:p w14:paraId="56F59B70" w14:textId="77777777" w:rsidR="006F2F23" w:rsidRDefault="006F2F23">
      <w:pPr>
        <w:spacing w:after="0" w:line="480" w:lineRule="auto"/>
        <w:ind w:firstLine="720"/>
        <w:rPr>
          <w:rFonts w:ascii="Times New Roman" w:eastAsia="Times New Roman" w:hAnsi="Times New Roman" w:cs="Times New Roman"/>
        </w:rPr>
      </w:pPr>
    </w:p>
    <w:p w14:paraId="2758EAC9" w14:textId="77777777" w:rsidR="006F2F23" w:rsidRDefault="006F2F23">
      <w:pPr>
        <w:spacing w:line="480" w:lineRule="auto"/>
        <w:ind w:firstLine="720"/>
        <w:rPr>
          <w:rFonts w:ascii="Times New Roman" w:eastAsia="Times New Roman" w:hAnsi="Times New Roman" w:cs="Times New Roman"/>
        </w:rPr>
      </w:pPr>
    </w:p>
    <w:sectPr w:rsidR="006F2F23">
      <w:headerReference w:type="even" r:id="rId158"/>
      <w:headerReference w:type="default" r:id="rId159"/>
      <w:footerReference w:type="even" r:id="rId160"/>
      <w:footerReference w:type="default" r:id="rId161"/>
      <w:headerReference w:type="first" r:id="rId162"/>
      <w:footerReference w:type="first" r:id="rId16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22EF7" w14:textId="77777777" w:rsidR="00062A94" w:rsidRDefault="00062A94">
      <w:pPr>
        <w:spacing w:after="0" w:line="240" w:lineRule="auto"/>
      </w:pPr>
      <w:r>
        <w:separator/>
      </w:r>
    </w:p>
  </w:endnote>
  <w:endnote w:type="continuationSeparator" w:id="0">
    <w:p w14:paraId="079BD111" w14:textId="77777777" w:rsidR="00062A94" w:rsidRDefault="00062A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AF912E1B-5155-4435-A971-86DB055DC3F9}"/>
    <w:embedItalic r:id="rId2" w:fontKey="{6A40E78B-3DD5-4045-9B56-29844B3512D3}"/>
  </w:font>
  <w:font w:name="Play">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3" w:fontKey="{CF008062-95C9-48C7-9D2D-050E96745116}"/>
    <w:embedItalic r:id="rId4" w:fontKey="{25640D77-96D4-42E8-9E33-43F921774E9D}"/>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6342802F-ED4D-4278-A61D-E9CC374D674B}"/>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0EC01B50-F391-41C0-837F-54885E4553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0E1E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BAE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557BA"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E5DFB" w14:textId="77777777" w:rsidR="00062A94" w:rsidRDefault="00062A94">
      <w:pPr>
        <w:spacing w:after="0" w:line="240" w:lineRule="auto"/>
      </w:pPr>
      <w:r>
        <w:separator/>
      </w:r>
    </w:p>
  </w:footnote>
  <w:footnote w:type="continuationSeparator" w:id="0">
    <w:p w14:paraId="10DAF5C9" w14:textId="77777777" w:rsidR="00062A94" w:rsidRDefault="00062A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457C" w14:textId="77777777" w:rsidR="006F2F23" w:rsidRDefault="006F2F2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449E4"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Action efficiency understanding via associative learning </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D039C53"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4F0CF" w14:textId="77777777" w:rsidR="006F2F23" w:rsidRDefault="00000000">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Action efficiency understanding via 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591A74">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6AB71E06" w14:textId="77777777" w:rsidR="006F2F23" w:rsidRDefault="006F2F23">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F6E2D"/>
    <w:multiLevelType w:val="multilevel"/>
    <w:tmpl w:val="EE1C2A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C057EF7"/>
    <w:multiLevelType w:val="multilevel"/>
    <w:tmpl w:val="425426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679087249">
    <w:abstractNumId w:val="0"/>
  </w:num>
  <w:num w:numId="2" w16cid:durableId="2895574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2F23"/>
    <w:rsid w:val="00062A94"/>
    <w:rsid w:val="00075D5E"/>
    <w:rsid w:val="00093283"/>
    <w:rsid w:val="000F519A"/>
    <w:rsid w:val="001210AD"/>
    <w:rsid w:val="001823E7"/>
    <w:rsid w:val="0018493C"/>
    <w:rsid w:val="001B5B10"/>
    <w:rsid w:val="002069A3"/>
    <w:rsid w:val="0021679C"/>
    <w:rsid w:val="002E3D4E"/>
    <w:rsid w:val="003142D3"/>
    <w:rsid w:val="00334473"/>
    <w:rsid w:val="003E1AD7"/>
    <w:rsid w:val="0050035E"/>
    <w:rsid w:val="00571F1F"/>
    <w:rsid w:val="00591A74"/>
    <w:rsid w:val="005A5F23"/>
    <w:rsid w:val="006B1527"/>
    <w:rsid w:val="006F2F23"/>
    <w:rsid w:val="006F4CBC"/>
    <w:rsid w:val="007373DF"/>
    <w:rsid w:val="00775855"/>
    <w:rsid w:val="007A1544"/>
    <w:rsid w:val="007B6549"/>
    <w:rsid w:val="007E60D9"/>
    <w:rsid w:val="00841EA0"/>
    <w:rsid w:val="00874297"/>
    <w:rsid w:val="00875845"/>
    <w:rsid w:val="008F2839"/>
    <w:rsid w:val="00933C4E"/>
    <w:rsid w:val="009D32CE"/>
    <w:rsid w:val="00A14809"/>
    <w:rsid w:val="00A24A0D"/>
    <w:rsid w:val="00A55E1A"/>
    <w:rsid w:val="00AB76C2"/>
    <w:rsid w:val="00AD33F5"/>
    <w:rsid w:val="00B31621"/>
    <w:rsid w:val="00B34A9D"/>
    <w:rsid w:val="00B71F1A"/>
    <w:rsid w:val="00BD0B90"/>
    <w:rsid w:val="00CD3B1B"/>
    <w:rsid w:val="00D56B0E"/>
    <w:rsid w:val="00DA46DE"/>
    <w:rsid w:val="00E807F1"/>
    <w:rsid w:val="00F050E1"/>
    <w:rsid w:val="00F233C3"/>
    <w:rsid w:val="00F3185B"/>
    <w:rsid w:val="00F472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3E8DF"/>
  <w15:docId w15:val="{34990D55-FA82-4DF2-82CC-A891546B4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ja-JP"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Revision">
    <w:name w:val="Revision"/>
    <w:hidden/>
    <w:uiPriority w:val="99"/>
    <w:semiHidden/>
    <w:rsid w:val="00B34A9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1111/1467-7687.00021%20" TargetMode="External"/><Relationship Id="rId21" Type="http://schemas.openxmlformats.org/officeDocument/2006/relationships/image" Target="media/image12.png"/><Relationship Id="rId42" Type="http://schemas.openxmlformats.org/officeDocument/2006/relationships/image" Target="media/image34.png"/><Relationship Id="rId63" Type="http://schemas.openxmlformats.org/officeDocument/2006/relationships/hyperlink" Target="https://doi.org/10.1016/0010-0277(86)90052-1" TargetMode="External"/><Relationship Id="rId84" Type="http://schemas.openxmlformats.org/officeDocument/2006/relationships/hyperlink" Target="https://doi.org/10.1207/s15516709cog1401_5" TargetMode="External"/><Relationship Id="rId138" Type="http://schemas.openxmlformats.org/officeDocument/2006/relationships/hyperlink" Target="https://doi.org/10.1016/S0885-2014(97)90008-3" TargetMode="External"/><Relationship Id="rId159" Type="http://schemas.openxmlformats.org/officeDocument/2006/relationships/header" Target="header2.xml"/><Relationship Id="rId107" Type="http://schemas.openxmlformats.org/officeDocument/2006/relationships/hyperlink" Target="https://doi.org/10.1016/S0010-0277(87)80006-9" TargetMode="External"/><Relationship Id="rId11" Type="http://schemas.openxmlformats.org/officeDocument/2006/relationships/image" Target="media/image4.png"/><Relationship Id="rId32" Type="http://schemas.openxmlformats.org/officeDocument/2006/relationships/image" Target="media/image23.png"/><Relationship Id="rId53" Type="http://schemas.openxmlformats.org/officeDocument/2006/relationships/image" Target="media/image45.png"/><Relationship Id="rId74" Type="http://schemas.openxmlformats.org/officeDocument/2006/relationships/hyperlink" Target="https://doi.org/10.1016/0022-0965(83)90085-3%20" TargetMode="External"/><Relationship Id="rId128" Type="http://schemas.openxmlformats.org/officeDocument/2006/relationships/hyperlink" Target="https://doi.org/10.1207/S15327078IN0101_04%20" TargetMode="External"/><Relationship Id="rId149" Type="http://schemas.openxmlformats.org/officeDocument/2006/relationships/hyperlink" Target="https://doi.org/10.1016/j.neuroimage.2010.05.028" TargetMode="External"/><Relationship Id="rId5" Type="http://schemas.openxmlformats.org/officeDocument/2006/relationships/footnotes" Target="footnotes.xml"/><Relationship Id="rId95" Type="http://schemas.openxmlformats.org/officeDocument/2006/relationships/hyperlink" Target="https://doi.org/10.1177/17456916221112075" TargetMode="External"/><Relationship Id="rId160" Type="http://schemas.openxmlformats.org/officeDocument/2006/relationships/footer" Target="footer1.xml"/><Relationship Id="rId22" Type="http://schemas.openxmlformats.org/officeDocument/2006/relationships/image" Target="media/image13.png"/><Relationship Id="rId43" Type="http://schemas.openxmlformats.org/officeDocument/2006/relationships/image" Target="media/image35.png"/><Relationship Id="rId64" Type="http://schemas.openxmlformats.org/officeDocument/2006/relationships/hyperlink" Target="https://doi.org/10.1111/j.1467-8624.1991.tb01602.x" TargetMode="External"/><Relationship Id="rId118" Type="http://schemas.openxmlformats.org/officeDocument/2006/relationships/hyperlink" Target="https://doi.org/10.1037/0033-295X.104.4.686%20" TargetMode="External"/><Relationship Id="rId139" Type="http://schemas.openxmlformats.org/officeDocument/2006/relationships/hyperlink" Target="https://doi.org/10.1521/soco.2025.43.3.152" TargetMode="External"/><Relationship Id="rId85" Type="http://schemas.openxmlformats.org/officeDocument/2006/relationships/hyperlink" Target="https://doi.org/10.1111/j.1467-7687.2011.01048.x" TargetMode="External"/><Relationship Id="rId150" Type="http://schemas.openxmlformats.org/officeDocument/2006/relationships/hyperlink" Target="https://doi.org/10.1207/s15327078in0701_6%20"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1.png"/><Relationship Id="rId103" Type="http://schemas.openxmlformats.org/officeDocument/2006/relationships/hyperlink" Target="https://doi.org/10.1016/j.cogdev.2005.04.004" TargetMode="External"/><Relationship Id="rId108" Type="http://schemas.openxmlformats.org/officeDocument/2006/relationships/hyperlink" Target="https://doi.org/10.1073/pnas.1904786116%20" TargetMode="External"/><Relationship Id="rId124" Type="http://schemas.openxmlformats.org/officeDocument/2006/relationships/hyperlink" Target="https://doi.org/10.1016/j.cognition.2004.11.005" TargetMode="External"/><Relationship Id="rId129" Type="http://schemas.openxmlformats.org/officeDocument/2006/relationships/hyperlink" Target="https://doi.org/10.1111/j.1540-5834.2008.00469.x" TargetMode="External"/><Relationship Id="rId54" Type="http://schemas.openxmlformats.org/officeDocument/2006/relationships/image" Target="media/image46.png"/><Relationship Id="rId70" Type="http://schemas.openxmlformats.org/officeDocument/2006/relationships/hyperlink" Target="https://doi.org/10.1111/desc.13464" TargetMode="External"/><Relationship Id="rId75" Type="http://schemas.openxmlformats.org/officeDocument/2006/relationships/hyperlink" Target="https://doi.org/10.1016/S1364-6613(99)01356-X" TargetMode="External"/><Relationship Id="rId91" Type="http://schemas.openxmlformats.org/officeDocument/2006/relationships/hyperlink" Target="https://doi.org/10.1016/S0163-6383(98)90001-7%20" TargetMode="External"/><Relationship Id="rId96" Type="http://schemas.openxmlformats.org/officeDocument/2006/relationships/hyperlink" Target="https://doi.org/10.1162/neco.1989.1.1.143" TargetMode="External"/><Relationship Id="rId140" Type="http://schemas.openxmlformats.org/officeDocument/2006/relationships/hyperlink" Target="https://doi.org/10.1016/S1364-6613(02)01926-5" TargetMode="External"/><Relationship Id="rId145" Type="http://schemas.openxmlformats.org/officeDocument/2006/relationships/hyperlink" Target="https://doi.org/10.1016/j.cognition.2004.07.004%20" TargetMode="External"/><Relationship Id="rId16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1.png"/><Relationship Id="rId114" Type="http://schemas.openxmlformats.org/officeDocument/2006/relationships/hyperlink" Target="https://doi.org/10.1111/j.0956-7976.2004.00755.x" TargetMode="External"/><Relationship Id="rId119" Type="http://schemas.openxmlformats.org/officeDocument/2006/relationships/hyperlink" Target="https://doi.org/10.1016/S0010-0277(96)00727-5" TargetMode="Externa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hyperlink" Target="https://doi.org/10.1016/0010-0277(85)90008-3" TargetMode="External"/><Relationship Id="rId81" Type="http://schemas.openxmlformats.org/officeDocument/2006/relationships/hyperlink" Target="https://doi.org/10.1207/s15516709cog2701_4" TargetMode="External"/><Relationship Id="rId86" Type="http://schemas.openxmlformats.org/officeDocument/2006/relationships/hyperlink" Target="https://doi.org/10.1038/s41467-025-61517-3" TargetMode="External"/><Relationship Id="rId130" Type="http://schemas.openxmlformats.org/officeDocument/2006/relationships/hyperlink" Target="https://doi.org/10.1038/323533a0" TargetMode="External"/><Relationship Id="rId135" Type="http://schemas.openxmlformats.org/officeDocument/2006/relationships/hyperlink" Target="https://doi.org/10.1371/journal.pone.0023223" TargetMode="External"/><Relationship Id="rId151" Type="http://schemas.openxmlformats.org/officeDocument/2006/relationships/hyperlink" Target="https://doi.org/10.1016/j.cogdev.2012.08.004" TargetMode="External"/><Relationship Id="rId156" Type="http://schemas.openxmlformats.org/officeDocument/2006/relationships/hyperlink" Target="https://doi.org/10.1111/1467-8721.ep10772615"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hyperlink" Target="https://doi.org/10.1016/j.cognition.2016.12.007" TargetMode="External"/><Relationship Id="rId34" Type="http://schemas.openxmlformats.org/officeDocument/2006/relationships/image" Target="media/image25.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doi.org/10.1016/S0885-2014(02)00124-7" TargetMode="External"/><Relationship Id="rId97" Type="http://schemas.openxmlformats.org/officeDocument/2006/relationships/hyperlink" Target="https://doi.org/10.1037/0012-1649.19.3.338" TargetMode="External"/><Relationship Id="rId104" Type="http://schemas.openxmlformats.org/officeDocument/2006/relationships/hyperlink" Target="https://doi.org/10.1016/0010-0285(83)90017-8" TargetMode="External"/><Relationship Id="rId120" Type="http://schemas.openxmlformats.org/officeDocument/2006/relationships/hyperlink" Target="https://doi.org/10.1016/S0163-6383(02)00097-8%20" TargetMode="External"/><Relationship Id="rId125" Type="http://schemas.openxmlformats.org/officeDocument/2006/relationships/hyperlink" Target="https://doi.org/10.1037/xge0000260%20" TargetMode="External"/><Relationship Id="rId141" Type="http://schemas.openxmlformats.org/officeDocument/2006/relationships/hyperlink" Target="https://doi.org/10.1073/pnas.1318053110%20" TargetMode="External"/><Relationship Id="rId146" Type="http://schemas.openxmlformats.org/officeDocument/2006/relationships/hyperlink" Target="https://doi.org/10.1037/0033-295X.99.4.605" TargetMode="External"/><Relationship Id="rId7" Type="http://schemas.openxmlformats.org/officeDocument/2006/relationships/hyperlink" Target="https://osf.io/9eqpf/?view_only=62f752417a9141c7b0509a998039ad13" TargetMode="External"/><Relationship Id="rId71" Type="http://schemas.openxmlformats.org/officeDocument/2006/relationships/hyperlink" Target="https://doi.org/10.1016/j.cognition.2012.11.007%20" TargetMode="External"/><Relationship Id="rId92" Type="http://schemas.openxmlformats.org/officeDocument/2006/relationships/hyperlink" Target="https://doi.org/10.1177/0963721412470687" TargetMode="External"/><Relationship Id="rId162" Type="http://schemas.openxmlformats.org/officeDocument/2006/relationships/header" Target="header3.xml"/><Relationship Id="rId2" Type="http://schemas.openxmlformats.org/officeDocument/2006/relationships/styles" Target="styles.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hyperlink" Target="https://doi.org/10.1016/j.dr.2022.101034" TargetMode="External"/><Relationship Id="rId87" Type="http://schemas.openxmlformats.org/officeDocument/2006/relationships/hyperlink" Target="https://doi.org/10.1038/415755a%20" TargetMode="External"/><Relationship Id="rId110" Type="http://schemas.openxmlformats.org/officeDocument/2006/relationships/hyperlink" Target="https://doi.org/10.1111/desc.13581" TargetMode="External"/><Relationship Id="rId115" Type="http://schemas.openxmlformats.org/officeDocument/2006/relationships/hyperlink" Target="https://doi.org/10.1016/j.tics.2023.09.001" TargetMode="External"/><Relationship Id="rId131" Type="http://schemas.openxmlformats.org/officeDocument/2006/relationships/hyperlink" Target="https://doi.org/10.1371/journal.pone.0042698" TargetMode="External"/><Relationship Id="rId136" Type="http://schemas.openxmlformats.org/officeDocument/2006/relationships/hyperlink" Target="https://doi.org/10.1207/s15327078in1003_6" TargetMode="External"/><Relationship Id="rId157" Type="http://schemas.openxmlformats.org/officeDocument/2006/relationships/hyperlink" Target="https://doi.org/10.2307/1130473" TargetMode="External"/><Relationship Id="rId61" Type="http://schemas.openxmlformats.org/officeDocument/2006/relationships/image" Target="media/image53.png"/><Relationship Id="rId82" Type="http://schemas.openxmlformats.org/officeDocument/2006/relationships/hyperlink" Target="https://doi.org/10.1016/S0010-0277(99)00039-6" TargetMode="External"/><Relationship Id="rId152" Type="http://schemas.openxmlformats.org/officeDocument/2006/relationships/hyperlink" Target="https://doi.org/10.1016/j.cognition.2017.06.029" TargetMode="External"/><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8.png"/><Relationship Id="rId77" Type="http://schemas.openxmlformats.org/officeDocument/2006/relationships/hyperlink" Target="https://doi.org/10.1111/1467-7687.00220"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37/0096-1523.18.2.385" TargetMode="External"/><Relationship Id="rId126" Type="http://schemas.openxmlformats.org/officeDocument/2006/relationships/hyperlink" Target="https://doi.org/10.1016/j.cognition.2017.09.007" TargetMode="External"/><Relationship Id="rId147" Type="http://schemas.openxmlformats.org/officeDocument/2006/relationships/hyperlink" Target="https://doi.org/10.1002/icd.2359"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doi.org/10.1016/j.tics.2022.12.014" TargetMode="External"/><Relationship Id="rId93" Type="http://schemas.openxmlformats.org/officeDocument/2006/relationships/hyperlink" Target="https://doi.org/10.1016/j.cogdev.2010.09.001" TargetMode="External"/><Relationship Id="rId98" Type="http://schemas.openxmlformats.org/officeDocument/2006/relationships/hyperlink" Target="https://doi.org/10.1016/j.tics.2016.05.011%20" TargetMode="External"/><Relationship Id="rId121" Type="http://schemas.openxmlformats.org/officeDocument/2006/relationships/hyperlink" Target="https://doi.org/10.1126/science.1107621" TargetMode="External"/><Relationship Id="rId142" Type="http://schemas.openxmlformats.org/officeDocument/2006/relationships/hyperlink" Target="https://doi.org/10.1111/j.1551-6709.2010.01129.x" TargetMode="External"/><Relationship Id="rId163" Type="http://schemas.openxmlformats.org/officeDocument/2006/relationships/footer" Target="footer3.xml"/><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38.png"/><Relationship Id="rId67" Type="http://schemas.openxmlformats.org/officeDocument/2006/relationships/hyperlink" Target="https://doi.org/10.1002/icd.2355" TargetMode="External"/><Relationship Id="rId116" Type="http://schemas.openxmlformats.org/officeDocument/2006/relationships/hyperlink" Target="https://doi.org/10.1016/j.cogpsych.2010.02.001" TargetMode="External"/><Relationship Id="rId137" Type="http://schemas.openxmlformats.org/officeDocument/2006/relationships/hyperlink" Target="https://doi.org/10.1038/s44159-023-00152-5%20" TargetMode="External"/><Relationship Id="rId158"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3.png"/><Relationship Id="rId62" Type="http://schemas.openxmlformats.org/officeDocument/2006/relationships/image" Target="media/image130.png"/><Relationship Id="rId83" Type="http://schemas.openxmlformats.org/officeDocument/2006/relationships/hyperlink" Target="https://doi.org/10.1207/s15516709cog1402_1%20" TargetMode="External"/><Relationship Id="rId88" Type="http://schemas.openxmlformats.org/officeDocument/2006/relationships/hyperlink" Target="https://doi.org/10.1016/S1364-6613(03)00128-1" TargetMode="External"/><Relationship Id="rId111" Type="http://schemas.openxmlformats.org/officeDocument/2006/relationships/hyperlink" Target="https://doi.org/10.1037/0012-1649.36.5.635" TargetMode="External"/><Relationship Id="rId132" Type="http://schemas.openxmlformats.org/officeDocument/2006/relationships/hyperlink" Target="https://doi.org/10.1111/j.1467-7687.2012.01177.x" TargetMode="External"/><Relationship Id="rId153" Type="http://schemas.openxmlformats.org/officeDocument/2006/relationships/hyperlink" Target="https://doi.org/10.1016/S0010-0277(98)00058-4" TargetMode="External"/><Relationship Id="rId15" Type="http://schemas.openxmlformats.org/officeDocument/2006/relationships/image" Target="media/image31.png"/><Relationship Id="rId36" Type="http://schemas.openxmlformats.org/officeDocument/2006/relationships/image" Target="media/image27.png"/><Relationship Id="rId57" Type="http://schemas.openxmlformats.org/officeDocument/2006/relationships/image" Target="media/image49.png"/><Relationship Id="rId106" Type="http://schemas.openxmlformats.org/officeDocument/2006/relationships/hyperlink" Target="https://doi.org/10.1016/S0010-0277(98)00036-5" TargetMode="External"/><Relationship Id="rId127" Type="http://schemas.openxmlformats.org/officeDocument/2006/relationships/hyperlink" Target="https://doi.org/10.1037/1089-2680.1.3.271" TargetMode="External"/><Relationship Id="rId10" Type="http://schemas.openxmlformats.org/officeDocument/2006/relationships/image" Target="media/image3.png"/><Relationship Id="rId31" Type="http://schemas.openxmlformats.org/officeDocument/2006/relationships/image" Target="media/image22.png"/><Relationship Id="rId52" Type="http://schemas.openxmlformats.org/officeDocument/2006/relationships/image" Target="media/image44.png"/><Relationship Id="rId73" Type="http://schemas.openxmlformats.org/officeDocument/2006/relationships/hyperlink" Target="https://doi.org/10.1207/S15327078IN0104_3" TargetMode="External"/><Relationship Id="rId78" Type="http://schemas.openxmlformats.org/officeDocument/2006/relationships/hyperlink" Target="https://doi.org/10.1037/0012-1649.29.3.421" TargetMode="External"/><Relationship Id="rId94" Type="http://schemas.openxmlformats.org/officeDocument/2006/relationships/hyperlink" Target="https://doi.org/10.1038/nature06288" TargetMode="External"/><Relationship Id="rId99" Type="http://schemas.openxmlformats.org/officeDocument/2006/relationships/hyperlink" Target="https://doi.org/10.1016/j.cognition.2015.03.006" TargetMode="External"/><Relationship Id="rId101" Type="http://schemas.openxmlformats.org/officeDocument/2006/relationships/hyperlink" Target="https://doi.org/10.1177/0956797615572806" TargetMode="External"/><Relationship Id="rId122" Type="http://schemas.openxmlformats.org/officeDocument/2006/relationships/hyperlink" Target="https://doi.org/10.1038/s41598-021-97354-9" TargetMode="External"/><Relationship Id="rId143" Type="http://schemas.openxmlformats.org/officeDocument/2006/relationships/hyperlink" Target="https://doi.org/10.1016/j.infbeh.2003.05.006" TargetMode="External"/><Relationship Id="rId148" Type="http://schemas.openxmlformats.org/officeDocument/2006/relationships/hyperlink" Target="https://doi.org/10.1371/journal.pbio.0030208" TargetMode="External"/><Relationship Id="rId16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9.png"/><Relationship Id="rId68" Type="http://schemas.openxmlformats.org/officeDocument/2006/relationships/hyperlink" Target="https://doi.org/10.1037/xge0001656" TargetMode="External"/><Relationship Id="rId89" Type="http://schemas.openxmlformats.org/officeDocument/2006/relationships/hyperlink" Target="https://doi.org/10.1016/0010-0277(95)00661-H" TargetMode="External"/><Relationship Id="rId112" Type="http://schemas.openxmlformats.org/officeDocument/2006/relationships/hyperlink" Target="https://doi.org/10.1080/095400999116322" TargetMode="External"/><Relationship Id="rId133" Type="http://schemas.openxmlformats.org/officeDocument/2006/relationships/hyperlink" Target="https://doi.org/10.1080/09540090310001655093" TargetMode="External"/><Relationship Id="rId154" Type="http://schemas.openxmlformats.org/officeDocument/2006/relationships/hyperlink" Target="https://doi.org/10.1111/1467-9280.00218" TargetMode="External"/><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50.png"/><Relationship Id="rId79" Type="http://schemas.openxmlformats.org/officeDocument/2006/relationships/hyperlink" Target="https://doi.org/10.1037/0033-295X.112.2.347" TargetMode="External"/><Relationship Id="rId102" Type="http://schemas.openxmlformats.org/officeDocument/2006/relationships/hyperlink" Target="https://doi.org/10.1016/0885-2014(93)90008-S" TargetMode="External"/><Relationship Id="rId123" Type="http://schemas.openxmlformats.org/officeDocument/2006/relationships/hyperlink" Target="https://doi.org/10.1126/science.1111656" TargetMode="External"/><Relationship Id="rId144" Type="http://schemas.openxmlformats.org/officeDocument/2006/relationships/hyperlink" Target="https://doi.org/10.1146/annurev.ph.25.030163.002553" TargetMode="External"/><Relationship Id="rId90" Type="http://schemas.openxmlformats.org/officeDocument/2006/relationships/hyperlink" Target="https://doi.org/10.1016/j.jecp.2020.105035" TargetMode="External"/><Relationship Id="rId165" Type="http://schemas.openxmlformats.org/officeDocument/2006/relationships/theme" Target="theme/theme1.xml"/><Relationship Id="rId27" Type="http://schemas.openxmlformats.org/officeDocument/2006/relationships/image" Target="media/image18.png"/><Relationship Id="rId48" Type="http://schemas.openxmlformats.org/officeDocument/2006/relationships/image" Target="media/image40.png"/><Relationship Id="rId69" Type="http://schemas.openxmlformats.org/officeDocument/2006/relationships/hyperlink" Target="https://doi.org/10.1016/j.cogdev.2022.101164" TargetMode="External"/><Relationship Id="rId113" Type="http://schemas.openxmlformats.org/officeDocument/2006/relationships/hyperlink" Target="https://doi.org/10.1111/j.1467-7687.2007.00586.x%20" TargetMode="External"/><Relationship Id="rId134" Type="http://schemas.openxmlformats.org/officeDocument/2006/relationships/hyperlink" Target="https://doi.org/10.1098/rsos.191795" TargetMode="External"/><Relationship Id="rId80" Type="http://schemas.openxmlformats.org/officeDocument/2006/relationships/hyperlink" Target="https://doi.org/10.1111/1467-7687.00039" TargetMode="External"/><Relationship Id="rId155" Type="http://schemas.openxmlformats.org/officeDocument/2006/relationships/hyperlink" Target="https://doi.org/10.1038/358749a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78</TotalTime>
  <Pages>81</Pages>
  <Words>16687</Words>
  <Characters>95117</Characters>
  <Application>Microsoft Office Word</Application>
  <DocSecurity>0</DocSecurity>
  <Lines>792</Lines>
  <Paragraphs>223</Paragraphs>
  <ScaleCrop>false</ScaleCrop>
  <Company/>
  <LinksUpToDate>false</LinksUpToDate>
  <CharactersWithSpaces>111581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detbe</dc:creator>
  <cp:lastModifiedBy>Benton, Deon</cp:lastModifiedBy>
  <cp:revision>42</cp:revision>
  <dcterms:created xsi:type="dcterms:W3CDTF">2026-07-07T01:25:00Z</dcterms:created>
  <dcterms:modified xsi:type="dcterms:W3CDTF">2026-07-09T05:54:00Z</dcterms:modified>
</cp:coreProperties>
</file>