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44D02" w14:textId="77777777" w:rsidR="00B617C4" w:rsidRDefault="00000000">
      <w:pPr>
        <w:spacing w:before="240" w:after="240" w:line="480" w:lineRule="auto"/>
        <w:jc w:val="center"/>
        <w:rPr>
          <w:rFonts w:ascii="Times New Roman" w:eastAsia="Times New Roman" w:hAnsi="Times New Roman" w:cs="Times New Roman"/>
        </w:rPr>
      </w:pPr>
      <w:r>
        <w:rPr>
          <w:rFonts w:ascii="Times New Roman" w:eastAsia="Times New Roman" w:hAnsi="Times New Roman" w:cs="Times New Roman"/>
        </w:rPr>
        <w:t>“How saliva becomes a cue for comfort”</w:t>
      </w:r>
    </w:p>
    <w:p w14:paraId="602B319F" w14:textId="77777777" w:rsidR="00B617C4"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t>Abstract</w:t>
      </w:r>
    </w:p>
    <w:p w14:paraId="11A21350" w14:textId="4BC524EC" w:rsidR="00544FCF"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 recent study by Thomas et al. (2022) showed that 8.5- to 10-month-olds use saliva sharing as an indicator of relationship closeness: infants expect that someone who previously shared saliva with a partner will also comfort that partner during times of distress. The current paper offers a mechanistic explanation for this finding. We propose that through everyday experiences, saliva sharing and comforting become integrated into an enriched representation that contains information about both events. Across five simulations, we show that when this proposal is implemented in a connectionist computational model, the model reproduces infants’ looking behaviors in Thomas et al. (2022) (Simulation 1), </w:t>
      </w:r>
      <w:r w:rsidR="00FC7B9E" w:rsidRPr="00E404E8">
        <w:rPr>
          <w:rFonts w:ascii="Times New Roman" w:eastAsia="Times New Roman" w:hAnsi="Times New Roman" w:cs="Times New Roman"/>
        </w:rPr>
        <w:t>captures the finding that infants’ responses were specific to comfort (Simulation 2)</w:t>
      </w:r>
      <w:r>
        <w:rPr>
          <w:rFonts w:ascii="Times New Roman" w:eastAsia="Times New Roman" w:hAnsi="Times New Roman" w:cs="Times New Roman"/>
        </w:rPr>
        <w:t>, predicts bidirectional expectations about saliva sharing and comforting (Simulation 3), and shows that these expectations strengthen with experience and can shift in response to changes in environmental statistics (Simulations 4–5). Taken together, our findings suggest that domain-general associative learning can explain how infants come to understand the social meaning of saliva sharing.</w:t>
      </w:r>
    </w:p>
    <w:p w14:paraId="497606D5" w14:textId="77777777" w:rsidR="00544FCF" w:rsidRDefault="00544FCF">
      <w:pPr>
        <w:spacing w:line="480" w:lineRule="auto"/>
        <w:ind w:firstLine="720"/>
        <w:rPr>
          <w:rFonts w:ascii="Times New Roman" w:eastAsia="Times New Roman" w:hAnsi="Times New Roman" w:cs="Times New Roman"/>
        </w:rPr>
      </w:pPr>
    </w:p>
    <w:p w14:paraId="348DA7CE" w14:textId="77777777" w:rsidR="00544FCF" w:rsidRPr="003862AD" w:rsidRDefault="00544FCF" w:rsidP="00544FCF">
      <w:pPr>
        <w:spacing w:line="480" w:lineRule="auto"/>
        <w:rPr>
          <w:rFonts w:ascii="Times New Roman" w:eastAsia="Times New Roman" w:hAnsi="Times New Roman" w:cs="Times New Roman"/>
          <w:sz w:val="24"/>
          <w:szCs w:val="24"/>
        </w:rPr>
      </w:pPr>
      <w:r w:rsidRPr="003862AD">
        <w:rPr>
          <w:rFonts w:ascii="Times New Roman" w:eastAsia="Times New Roman" w:hAnsi="Times New Roman" w:cs="Times New Roman"/>
          <w:sz w:val="24"/>
          <w:szCs w:val="24"/>
        </w:rPr>
        <w:t>Lay Summary:</w:t>
      </w:r>
    </w:p>
    <w:p w14:paraId="741B902D" w14:textId="3DA30F3C" w:rsidR="00B617C4" w:rsidRPr="00544FCF" w:rsidRDefault="00544FCF" w:rsidP="00544FCF">
      <w:pPr>
        <w:spacing w:line="480" w:lineRule="auto"/>
        <w:rPr>
          <w:rFonts w:ascii="Times New Roman" w:eastAsia="Times New Roman" w:hAnsi="Times New Roman" w:cs="Times New Roman"/>
          <w:sz w:val="24"/>
          <w:szCs w:val="24"/>
        </w:rPr>
      </w:pPr>
      <w:r w:rsidRPr="00544FCF">
        <w:rPr>
          <w:rFonts w:ascii="Times New Roman" w:hAnsi="Times New Roman" w:cs="Times New Roman"/>
          <w:sz w:val="24"/>
          <w:szCs w:val="24"/>
        </w:rPr>
        <w:t xml:space="preserve">How do infants know who will help when someone is upset? Recent research shows that infants expect people who share saliva to comfort one another. The current study uses computer simulations to explain how infants develop this understanding. We propose that infants learn these social rules through everyday observations. By seeing people share saliva and provide support, infants learn to connect these two actions. Our simulations successfully explained infant behavior and showed that these expectations </w:t>
      </w:r>
      <w:r>
        <w:rPr>
          <w:rFonts w:ascii="Times New Roman" w:hAnsi="Times New Roman" w:cs="Times New Roman"/>
          <w:sz w:val="24"/>
          <w:szCs w:val="24"/>
        </w:rPr>
        <w:t xml:space="preserve">not only </w:t>
      </w:r>
      <w:r w:rsidRPr="00544FCF">
        <w:rPr>
          <w:rFonts w:ascii="Times New Roman" w:hAnsi="Times New Roman" w:cs="Times New Roman"/>
          <w:sz w:val="24"/>
          <w:szCs w:val="24"/>
        </w:rPr>
        <w:t>grow stronger with more experience</w:t>
      </w:r>
      <w:r>
        <w:rPr>
          <w:rFonts w:ascii="Times New Roman" w:hAnsi="Times New Roman" w:cs="Times New Roman"/>
          <w:sz w:val="24"/>
          <w:szCs w:val="24"/>
        </w:rPr>
        <w:t xml:space="preserve"> but can be reversed in extreme cases</w:t>
      </w:r>
      <w:r w:rsidRPr="00544FCF">
        <w:rPr>
          <w:rFonts w:ascii="Times New Roman" w:hAnsi="Times New Roman" w:cs="Times New Roman"/>
          <w:sz w:val="24"/>
          <w:szCs w:val="24"/>
        </w:rPr>
        <w:t>. This suggests that infants use general learning abilities to build an understanding of close relationships based on the patterns they observe in their daily lives.</w:t>
      </w:r>
      <w:r w:rsidRPr="00544FCF">
        <w:rPr>
          <w:rFonts w:ascii="Times New Roman" w:hAnsi="Times New Roman" w:cs="Times New Roman"/>
          <w:sz w:val="24"/>
          <w:szCs w:val="24"/>
        </w:rPr>
        <w:br w:type="page"/>
      </w:r>
    </w:p>
    <w:p w14:paraId="6077125F" w14:textId="77777777" w:rsidR="00B617C4"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rPr>
        <w:lastRenderedPageBreak/>
        <w:t>“How saliva becomes a cue for comfort”</w:t>
      </w:r>
    </w:p>
    <w:p w14:paraId="5308A273" w14:textId="77777777" w:rsidR="00B617C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        To make sense of the social world, preverbal infants must learn to detect social relationships and evaluate their strength, or “thickness.” Thick relationships—such as those among immediate family members—are marked by strong levels of attachment, loyalty, obligation, and mutual responsiveness (e.g., Ainsworth et al., 1974; Clark &amp; Mills, 1979; Fiske &amp; Fiske, 2007; Miller et al., 1998; Thomas, 2024). Distinguishing thick relationships from thinner ones enables infants to predict how people are likely to behave. For example, a father might be expected to comfort his own child, but not another child. However, despite the clear social utility of detecting thick relationships, the developmental origins of this ability are poorly understood.</w:t>
      </w:r>
    </w:p>
    <w:p w14:paraId="0D4CEAC0" w14:textId="77777777" w:rsidR="00B617C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One account proposes that infants infer the strength of social relationships by observing external cues, specifically saliva sharing, which is a reliable indicator of thick relationships. Because saliva sharing is a cross-cultural and cross-species hallmark of intimacy (e.g., Jaeggi &amp; Gurven, 2013; Silk et al., 2013; Thomas, 2024), Thomas et al. (2022) investigated whether infants use this behavior to predict social support. Their study, published in </w:t>
      </w:r>
      <w:r>
        <w:rPr>
          <w:rFonts w:ascii="Times New Roman" w:eastAsia="Times New Roman" w:hAnsi="Times New Roman" w:cs="Times New Roman"/>
          <w:i/>
          <w:iCs/>
        </w:rPr>
        <w:t>Science</w:t>
      </w:r>
      <w:r>
        <w:rPr>
          <w:rFonts w:ascii="Times New Roman" w:eastAsia="Times New Roman" w:hAnsi="Times New Roman" w:cs="Times New Roman"/>
        </w:rPr>
        <w:t>, found that infants expect an individual who previously shared saliva with a partner also to comfort that partner during times of distress. In Thomas et al.’s primary experiment (i.e., Exp. 2B), 8.5- to 10-month-old infants saw a puppet interact with two actresses. One actress took turns eating from the same orange slice as the puppet (implying saliva sharing). The other actress shared a ball with the puppet, but did not share saliva. Unlike saliva sharing, which is theorized to occur mainly in thick relationships, ball sharing represents a neutral interaction that can occur in both thin and thick relationships. Infants then saw the same puppet positioned between the two actresses on the screen. The puppet exhibited distress, and both actresses turned towards the puppet. Thomas et al. (2022) reasoned that if infants expect saliva-sharers to provide comfort during times of distress, infants should look first and longest at the actress who ate from the same orange slice as the puppet—and this is exactly what they found.</w:t>
      </w:r>
    </w:p>
    <w:p w14:paraId="5AD67A7A" w14:textId="77777777" w:rsidR="00B617C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To test whether infants’ expectations were specific to previous saliva-sharing partners, rather than a general expectation that saliva-sharers comfort </w:t>
      </w:r>
      <w:r>
        <w:rPr>
          <w:rFonts w:ascii="Times New Roman" w:eastAsia="Times New Roman" w:hAnsi="Times New Roman" w:cs="Times New Roman"/>
          <w:i/>
          <w:iCs/>
        </w:rPr>
        <w:t>anyone</w:t>
      </w:r>
      <w:r>
        <w:rPr>
          <w:rFonts w:ascii="Times New Roman" w:eastAsia="Times New Roman" w:hAnsi="Times New Roman" w:cs="Times New Roman"/>
        </w:rPr>
        <w:t xml:space="preserve"> in distress, Thomas et al. (2022) repeated the </w:t>
      </w:r>
      <w:r>
        <w:rPr>
          <w:rFonts w:ascii="Times New Roman" w:eastAsia="Times New Roman" w:hAnsi="Times New Roman" w:cs="Times New Roman"/>
        </w:rPr>
        <w:lastRenderedPageBreak/>
        <w:t>initial study but replaced the original puppet with a new puppet at the beginning of the distress event (Experiment 2D). When the new puppet was in distress, infants looked equally long at both actresses. The findings from these two studies suggest that infants expect saliva-sharers to comfort their saliva-sharing partners but not distressed individuals generally.</w:t>
      </w:r>
    </w:p>
    <w:p w14:paraId="71257308" w14:textId="710C5A49" w:rsidR="00B617C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In a third experiment (Experiment 3B), Thomas et al. (2022) tested whether infants’ behavior in the previous experiments was specifically due to saliva sharing (rather than food sharing). They showed infants a video of a central actress flanked by two puppets. First, the actress placed her finger into her mouth, rotated it, and then placed it into one of the puppet’s mouths. Next, the actress placed her finger on her forehead, rotated it, and placed it on the other puppet’s forehead. The actress then expressed distress, and Thomas et al. (2022) measured which puppet infants looked at first and longest. Although infants’ first looks were split evenly between both puppets, infants looked longer at the puppet with whom the actress shared saliva. Thomas et al. (2022) interpreted these findings to mean that preverbal infants use saliva sharing specifically to predict who should provide comfort to whom. These results (Experiment 2B) were partially replicated by </w:t>
      </w:r>
      <w:r w:rsidR="003A70C1">
        <w:rPr>
          <w:rFonts w:ascii="Times New Roman" w:eastAsia="Times New Roman" w:hAnsi="Times New Roman" w:cs="Times New Roman"/>
        </w:rPr>
        <w:t>Ciftci</w:t>
      </w:r>
      <w:r>
        <w:rPr>
          <w:rFonts w:ascii="Times New Roman" w:eastAsia="Times New Roman" w:hAnsi="Times New Roman" w:cs="Times New Roman"/>
        </w:rPr>
        <w:t xml:space="preserve"> et al. (2025); these authors found that 8.5- to 10-month-old infants looked longer, but not first, at the Saliva Sharer than at the Non-Saliva Sharer. </w:t>
      </w:r>
    </w:p>
    <w:p w14:paraId="44BAFC82" w14:textId="77777777" w:rsidR="00B617C4" w:rsidRDefault="00B617C4">
      <w:pPr>
        <w:spacing w:line="480" w:lineRule="auto"/>
        <w:ind w:firstLine="720"/>
        <w:rPr>
          <w:rFonts w:ascii="Times New Roman" w:eastAsia="Times New Roman" w:hAnsi="Times New Roman" w:cs="Times New Roman"/>
        </w:rPr>
      </w:pPr>
    </w:p>
    <w:p w14:paraId="5475D1C7" w14:textId="77777777" w:rsidR="00B617C4"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t>An associative learning account for how saliva sharing becomes a cue for comfort</w:t>
      </w:r>
    </w:p>
    <w:p w14:paraId="46FDB53B" w14:textId="77777777" w:rsidR="00B617C4"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 xml:space="preserve">Although Thomas et al. (2024) posit an evolutionary basis for the cues infants use to detect “thick” relationships, they remain largely agnostic about the developmental origins of these expectations. Here, we offer a mechanistic account of how saliva sharing may come to predict comfort. We return to how this mechanistic proposal can be reconciled with an evolutionary account in the General Discussion. </w:t>
      </w:r>
    </w:p>
    <w:p w14:paraId="0E1E6E88" w14:textId="77777777" w:rsidR="00B617C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Our central claim is that infants’ looking behaviors in Thomas et al. (2022) are the result of a domain-general associative learning mechanism. As infants repeatedly witness others sharing saliva or providing comfort, they gradually build a representation of these events. Here, “representation” refers to a pattern of activation across units in an associative, cognitive system that is elicited by different environmental events such as the above saliva sharing event. In our view, infants represent saliva-sharing </w:t>
      </w:r>
      <w:r>
        <w:rPr>
          <w:rFonts w:ascii="Times New Roman" w:eastAsia="Times New Roman" w:hAnsi="Times New Roman" w:cs="Times New Roman"/>
        </w:rPr>
        <w:lastRenderedPageBreak/>
        <w:t xml:space="preserve">in terms of its low-level, semantically neutral kinematics and the surface features of the objects and entities that engage in them. For example, infants’ representation of saliva-sharing events will include information about the perceptual appearance of the agents, their actions, and the food items involved. However, because the particular food item that is shared tends to vary across situations, the kinematics of saliva sharing will feature more prominently in the representation that is formed than any one food item. </w:t>
      </w:r>
    </w:p>
    <w:p w14:paraId="4082FF91" w14:textId="77777777" w:rsidR="00B617C4" w:rsidRDefault="00000000">
      <w:pPr>
        <w:spacing w:line="480" w:lineRule="auto"/>
        <w:ind w:firstLine="720"/>
        <w:rPr>
          <w:rFonts w:ascii="Times New Roman" w:eastAsia="Times New Roman" w:hAnsi="Times New Roman" w:cs="Times New Roman"/>
          <w:b/>
          <w:bCs/>
          <w:highlight w:val="yellow"/>
        </w:rPr>
      </w:pPr>
      <w:r>
        <w:rPr>
          <w:rFonts w:ascii="Times New Roman" w:eastAsia="Times New Roman" w:hAnsi="Times New Roman" w:cs="Times New Roman"/>
        </w:rPr>
        <w:t xml:space="preserve">We propose that during saliva-sharing events, the perceptual features that embody the kinematics of saliva sharing become associated with the individuals participating in that action. If that same person later participates in comforting, that person will reactivate some of the same representational units that encoded the action of saliva-sharing itself. Once reactivated, the kinematics that comprise comforting become incorporated into the same representation. A corollary of this is that a single “enriched”  representation emerges that contains information about saliva sharing and comforting, even though saliva sharing and comforting were not experienced simultaneously. As a consequence, our account predicts bidirectional expectations; when infants see saliva sharing, they will expect comforting, and when infants see comforting, they will expect saliva sharing. Importantly, we are not arguing that this enriched representation encodes the conceptual meaning of saliva sharing or comfort; rather, this representation reflects the combined (hence, “enriched”) low-level, surface-based kinematic and perceptual features of these actions and entities involved in them. </w:t>
      </w:r>
    </w:p>
    <w:p w14:paraId="7C93454C" w14:textId="15EBE701" w:rsidR="00B617C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In the next section, we present a connectionist computational model that instantiates this account. Although Thomas et al. (2022) also tested older children, we focus on infants who cannot rely on explicit instruction. Across five simulations, we demonstrate that the model reproduces infants’ looking behaviors in Thomas et al. (2022) (Simulation 1), captures </w:t>
      </w:r>
      <w:r w:rsidR="003A70C1">
        <w:rPr>
          <w:rFonts w:ascii="Times New Roman" w:eastAsia="Times New Roman" w:hAnsi="Times New Roman" w:cs="Times New Roman"/>
          <w:color w:val="000000" w:themeColor="text1"/>
        </w:rPr>
        <w:t>the finding that infants’ responses were specific to comfort</w:t>
      </w:r>
      <w:r w:rsidRPr="003A70C1">
        <w:rPr>
          <w:rFonts w:ascii="Times New Roman" w:eastAsia="Times New Roman" w:hAnsi="Times New Roman" w:cs="Times New Roman"/>
          <w:color w:val="000000" w:themeColor="text1"/>
        </w:rPr>
        <w:t xml:space="preserve"> </w:t>
      </w:r>
      <w:r>
        <w:rPr>
          <w:rFonts w:ascii="Times New Roman" w:eastAsia="Times New Roman" w:hAnsi="Times New Roman" w:cs="Times New Roman"/>
        </w:rPr>
        <w:t>(Simulation 2), predicts bidirectional expectations between saliva sharing and comforting (Simulation 3), and shows that these expectations strengthen with experience and can shift in response to changes in environmental statistics (Simulations 4–5).</w:t>
      </w:r>
    </w:p>
    <w:p w14:paraId="38D67CD4" w14:textId="77777777" w:rsidR="00B617C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All simulations were run using the Lens neural network simulator (Rohde, 1999). All training and testing files, including the data from the simulations, are available for download at</w:t>
      </w:r>
      <w:hyperlink r:id="rId6">
        <w:r w:rsidR="00B617C4">
          <w:rPr>
            <w:rFonts w:ascii="Times New Roman" w:eastAsia="Times New Roman" w:hAnsi="Times New Roman" w:cs="Times New Roman"/>
          </w:rPr>
          <w:t xml:space="preserve"> </w:t>
        </w:r>
      </w:hyperlink>
      <w:hyperlink r:id="rId7">
        <w:r w:rsidR="00B617C4">
          <w:rPr>
            <w:rFonts w:ascii="Times New Roman" w:eastAsia="Times New Roman" w:hAnsi="Times New Roman" w:cs="Times New Roman"/>
            <w:u w:val="single"/>
          </w:rPr>
          <w:t>https://osf.io/9mqyn/overview?view_only=c09f319c3fa643d9b688cb09e0794379</w:t>
        </w:r>
      </w:hyperlink>
      <w:r>
        <w:rPr>
          <w:rFonts w:ascii="Times New Roman" w:eastAsia="Times New Roman" w:hAnsi="Times New Roman" w:cs="Times New Roman"/>
        </w:rPr>
        <w:t>.</w:t>
      </w:r>
    </w:p>
    <w:p w14:paraId="0B4DB4D0" w14:textId="77777777" w:rsidR="002A1D1F" w:rsidRDefault="002A1D1F">
      <w:pPr>
        <w:spacing w:line="480" w:lineRule="auto"/>
        <w:ind w:firstLine="720"/>
        <w:rPr>
          <w:rFonts w:ascii="Times New Roman" w:eastAsia="Times New Roman" w:hAnsi="Times New Roman" w:cs="Times New Roman"/>
        </w:rPr>
      </w:pPr>
    </w:p>
    <w:p w14:paraId="177FB38D" w14:textId="60DA1F6F" w:rsidR="00B617C4" w:rsidRDefault="00AF694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Simulation 1:</w:t>
      </w:r>
      <w:r w:rsidR="002A1D1F">
        <w:rPr>
          <w:rFonts w:ascii="Times New Roman" w:eastAsia="Times New Roman" w:hAnsi="Times New Roman" w:cs="Times New Roman"/>
          <w:b/>
          <w:bCs/>
        </w:rPr>
        <w:t xml:space="preserve"> Saliva sharing predicts comforting</w:t>
      </w:r>
    </w:p>
    <w:p w14:paraId="1917D63B" w14:textId="77777777" w:rsidR="00B617C4" w:rsidRDefault="00000000">
      <w:pPr>
        <w:spacing w:line="480" w:lineRule="auto"/>
        <w:rPr>
          <w:rFonts w:ascii="Times New Roman" w:eastAsia="Times New Roman" w:hAnsi="Times New Roman" w:cs="Times New Roman"/>
          <w:b/>
          <w:bCs/>
          <w:i/>
          <w:iCs/>
        </w:rPr>
      </w:pPr>
      <w:r>
        <w:rPr>
          <w:rFonts w:ascii="Times New Roman" w:eastAsia="Times New Roman" w:hAnsi="Times New Roman" w:cs="Times New Roman"/>
          <w:b/>
          <w:bCs/>
          <w:i/>
          <w:iCs/>
        </w:rPr>
        <w:t>Network Architecture</w:t>
      </w:r>
    </w:p>
    <w:p w14:paraId="42825D24" w14:textId="77777777" w:rsidR="00B617C4"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The simulations reported here used a three-layer, feedforward, autoassociative neural network model (e.g., Mareschal et al., 2000) trained with backpropagation in cross-entropy error (e.g., Rumelhart et al., 1986). The hidden and output units used a sigmoid activation function. Gaussian noise was added to input activations to reflect infants’ noisy sensory processing (M = 0, SD = 0.875).</w:t>
      </w:r>
    </w:p>
    <w:p w14:paraId="1E3C0167" w14:textId="77777777" w:rsidR="00B617C4"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0ABD1BF" wp14:editId="3A9A84DF">
            <wp:extent cx="5943600" cy="46482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943600" cy="4648200"/>
                    </a:xfrm>
                    <a:prstGeom prst="rect">
                      <a:avLst/>
                    </a:prstGeom>
                    <a:ln/>
                  </pic:spPr>
                </pic:pic>
              </a:graphicData>
            </a:graphic>
          </wp:inline>
        </w:drawing>
      </w:r>
      <w:r>
        <w:rPr>
          <w:rFonts w:ascii="Times New Roman" w:eastAsia="Times New Roman" w:hAnsi="Times New Roman" w:cs="Times New Roman"/>
          <w:b/>
          <w:bCs/>
        </w:rPr>
        <w:t>Figure 1</w:t>
      </w:r>
      <w:r>
        <w:rPr>
          <w:rFonts w:ascii="Times New Roman" w:eastAsia="Times New Roman" w:hAnsi="Times New Roman" w:cs="Times New Roman"/>
        </w:rPr>
        <w:t xml:space="preserve">. </w:t>
      </w:r>
      <w:r>
        <w:rPr>
          <w:rFonts w:ascii="Times New Roman" w:eastAsia="Times New Roman" w:hAnsi="Times New Roman" w:cs="Times New Roman"/>
          <w:i/>
          <w:iCs/>
        </w:rPr>
        <w:t>Schematic of an untrained model architecture used in the current simulations.</w:t>
      </w:r>
      <w:r>
        <w:rPr>
          <w:rFonts w:ascii="Times New Roman" w:eastAsia="Times New Roman" w:hAnsi="Times New Roman" w:cs="Times New Roman"/>
        </w:rPr>
        <w:t xml:space="preserve"> Depicted here is </w:t>
      </w:r>
      <w:r>
        <w:rPr>
          <w:rFonts w:ascii="Times New Roman" w:eastAsia="Times New Roman" w:hAnsi="Times New Roman" w:cs="Times New Roman"/>
        </w:rPr>
        <w:lastRenderedPageBreak/>
        <w:t>a saliva-sharing event. The input and output groups are identical. The names of the input groups are in bold. The model consisted of 10 structurally identical input and output groups: People Left/Right, Saliva Sharing Left/Right Identity, Comforting Left/Right Identity, Comforting Action, Distressed Action, Food Item, and Saliva Sharing Action. The specific feature that a given unit in a group coded for is shown above that unit in italics. Note that the figure is color-coded to make it easier to connect what networks were trained on (shown in Tables 1 and 2) and the model architecture.</w:t>
      </w:r>
      <w:r>
        <w:rPr>
          <w:rFonts w:ascii="Gungsuh" w:eastAsia="Gungsuh" w:hAnsi="Gungsuh" w:cs="Gungsuh"/>
        </w:rPr>
        <w:t xml:space="preserve"> </w:t>
      </w:r>
      <w:r w:rsidRPr="00EA198B">
        <w:rPr>
          <w:rFonts w:ascii="Times New Roman" w:eastAsia="Gungsuh" w:hAnsi="Times New Roman" w:cs="Times New Roman"/>
          <w:sz w:val="24"/>
          <w:szCs w:val="24"/>
        </w:rPr>
        <w:t>The borders around each output unit correspond to that unit’s target activation value. Black borders correspond to target activations of “0” (i.e., the unit should be “off”); white borders correspond to target activations of “1” (i.e., the unit should be “on”). The size of a given output unit’s inner region corresponds to that unit's actual activation value. Larger inner regions correspond to greater activations. Darker inner regions for the output units correspond to activation values ≤ 0.5, whereas lighter inner regions correspond to activation values &gt; 0.5.</w:t>
      </w:r>
    </w:p>
    <w:p w14:paraId="7F0E7F4A" w14:textId="77777777" w:rsidR="00B617C4"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r>
    </w:p>
    <w:p w14:paraId="6A3646E5" w14:textId="77777777" w:rsidR="00B617C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model consisted of three layers (Figure 1). There were 147 input units, 30 hidden units, and 147 output units. The 147 input and output units were divided into 10 groups of units—the output groups were identical to the input groups. Saliva Sharing Identity and Comforting Identity groups captured the </w:t>
      </w:r>
      <w:r>
        <w:rPr>
          <w:rFonts w:ascii="Times New Roman" w:eastAsia="Times New Roman" w:hAnsi="Times New Roman" w:cs="Times New Roman"/>
          <w:i/>
          <w:iCs/>
        </w:rPr>
        <w:t>identity</w:t>
      </w:r>
      <w:r>
        <w:rPr>
          <w:rFonts w:ascii="Times New Roman" w:eastAsia="Times New Roman" w:hAnsi="Times New Roman" w:cs="Times New Roman"/>
        </w:rPr>
        <w:t xml:space="preserve"> of being a saliva sharer or comforter; the Saliva Sharing Action and Comforting Action groups captured the </w:t>
      </w:r>
      <w:r>
        <w:rPr>
          <w:rFonts w:ascii="Times New Roman" w:eastAsia="Times New Roman" w:hAnsi="Times New Roman" w:cs="Times New Roman"/>
          <w:i/>
          <w:iCs/>
        </w:rPr>
        <w:t xml:space="preserve">action </w:t>
      </w:r>
      <w:r>
        <w:rPr>
          <w:rFonts w:ascii="Times New Roman" w:eastAsia="Times New Roman" w:hAnsi="Times New Roman" w:cs="Times New Roman"/>
        </w:rPr>
        <w:t xml:space="preserve">of engaging in saliva sharing or comforting. By separating an individual’s identity from its actions, it was possible for the model to represent situations in which a former comforter engages in saliva sharing or a former saliva sharer engages in comforting. For each input group, the model’s task was to activate in the output layer exactly those units that were active in the input layer. Localist representations—in which a single unit represented a single concept—were adopted for each group to simplify the interpretation and analysis of the model. Although the names of the groups and features were conceptually laden (e.g., Distressed Action), we do not intend to suggest that infants see these features in a semantically meaningful or rich way. Our view is that infants see these actions as nothing more than semantically neutral, surface-based, action-centered visual events (see Benton, 2024 for a similar argument). The rationale for using such semantically meaningful labels to describe the model is to make the structure of the model maximally transparent. Two final points are worth noting: First, because saliva/non-saliva sharing and comforting/non-comforting necessarily occur between two people, whenever either of these actions occurred in the present simulations, two people were present (i.e., a </w:t>
      </w:r>
      <w:r>
        <w:rPr>
          <w:rFonts w:ascii="Times New Roman" w:eastAsia="Times New Roman" w:hAnsi="Times New Roman" w:cs="Times New Roman"/>
        </w:rPr>
        <w:lastRenderedPageBreak/>
        <w:t xml:space="preserve">single unit was turned on in the People Left and Right groups). Second, in conditions that involved a new character (e.g., Condition 2 in Simulation 1 and Experiment 2D in Thomas et al.) and during preferential looking tests (e.g., Simulation 2 and the “peek-a-boo” condition Thomas et al.), only person identity and action information was provided to the model. </w:t>
      </w:r>
    </w:p>
    <w:p w14:paraId="3F4AB9B3" w14:textId="77777777" w:rsidR="00B617C4" w:rsidRDefault="00000000">
      <w:pPr>
        <w:spacing w:line="480" w:lineRule="auto"/>
        <w:ind w:firstLine="720"/>
        <w:rPr>
          <w:rFonts w:ascii="Times New Roman" w:eastAsia="Times New Roman" w:hAnsi="Times New Roman" w:cs="Times New Roman"/>
          <w:b/>
          <w:bCs/>
        </w:rPr>
      </w:pPr>
      <w:r>
        <w:rPr>
          <w:rFonts w:ascii="Times New Roman" w:eastAsia="Times New Roman" w:hAnsi="Times New Roman" w:cs="Times New Roman"/>
          <w:b/>
          <w:bCs/>
        </w:rPr>
        <w:t>Pretraining</w:t>
      </w:r>
    </w:p>
    <w:p w14:paraId="30C2E131" w14:textId="77777777" w:rsidR="00B617C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The pretraining phase—which approximated infants’ real-world experience—lasted between 600 and 800 epochs, in increments of 100. Different numbers of epochs were used to ensure that the network’s performance was not idiosyncratic to the length of the pretraining phase, and different food items (represented by one of five units in the purple box in Figure 1) were used in each saliva-sharing event to instantiate the idea that the crucial link is between saliva sharing and comforting rather than between food sharing and comforting. Networks experienced ten kinds of events during training. Half of the events depicted saliva and non-saliva sharers engaging in different actions (Table 1); the remaining half depicted comforters and non-comforters engaging in different actions (Table 2). These events instantiated our assumptions about the kinds of real-world, saliva sharing and comforting experiences that influenced infants’ looking behaviors in Thomas et al. (2022). Each event was implemented by activating the relevant units in the Person, Saliva Sharing/Comforting Identity groups, Distressed Action, and Saliva Sharing/Comforting Action groups (see Tables 1 and 2).</w:t>
      </w:r>
    </w:p>
    <w:p w14:paraId="3F45F47C" w14:textId="77777777" w:rsidR="00B617C4" w:rsidRDefault="00000000">
      <w:pPr>
        <w:spacing w:line="48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4E83BD9" wp14:editId="6C4CCFB1">
            <wp:extent cx="5943600" cy="40386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943600" cy="4038600"/>
                    </a:xfrm>
                    <a:prstGeom prst="rect">
                      <a:avLst/>
                    </a:prstGeom>
                    <a:ln/>
                  </pic:spPr>
                </pic:pic>
              </a:graphicData>
            </a:graphic>
          </wp:inline>
        </w:drawing>
      </w:r>
    </w:p>
    <w:p w14:paraId="79C11129" w14:textId="77777777" w:rsidR="00B617C4" w:rsidRDefault="00000000">
      <w:pPr>
        <w:rPr>
          <w:rFonts w:ascii="Times New Roman" w:eastAsia="Times New Roman" w:hAnsi="Times New Roman" w:cs="Times New Roman"/>
        </w:rPr>
      </w:pPr>
      <w:r>
        <w:rPr>
          <w:rFonts w:ascii="Times New Roman" w:eastAsia="Times New Roman" w:hAnsi="Times New Roman" w:cs="Times New Roman"/>
        </w:rPr>
        <w:t xml:space="preserve">Table 1. Training events depicting saliva and non-saliva sharers engaging in different actions and their model instantiation. Colors correspond to network architecture in Figure 1. </w:t>
      </w:r>
    </w:p>
    <w:p w14:paraId="7EBC431C" w14:textId="77777777" w:rsidR="00B617C4" w:rsidRDefault="00000000">
      <w:pPr>
        <w:spacing w:line="48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59C8ADAA" wp14:editId="02BB300C">
            <wp:extent cx="5943600" cy="40259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943600" cy="4025900"/>
                    </a:xfrm>
                    <a:prstGeom prst="rect">
                      <a:avLst/>
                    </a:prstGeom>
                    <a:ln/>
                  </pic:spPr>
                </pic:pic>
              </a:graphicData>
            </a:graphic>
          </wp:inline>
        </w:drawing>
      </w:r>
    </w:p>
    <w:p w14:paraId="176774B2" w14:textId="77777777" w:rsidR="00B617C4" w:rsidRDefault="00000000">
      <w:pPr>
        <w:rPr>
          <w:rFonts w:ascii="Times New Roman" w:eastAsia="Times New Roman" w:hAnsi="Times New Roman" w:cs="Times New Roman"/>
        </w:rPr>
      </w:pPr>
      <w:r>
        <w:rPr>
          <w:rFonts w:ascii="Times New Roman" w:eastAsia="Times New Roman" w:hAnsi="Times New Roman" w:cs="Times New Roman"/>
        </w:rPr>
        <w:t xml:space="preserve">Table 2. Training events depicting comforters and non-comforters engaging in different actions and their model instantiation. Colors correspond to network architecture in Figure 1. </w:t>
      </w:r>
    </w:p>
    <w:p w14:paraId="76F49D50" w14:textId="77777777" w:rsidR="00B617C4" w:rsidRDefault="00B617C4">
      <w:pPr>
        <w:rPr>
          <w:rFonts w:ascii="Times New Roman" w:eastAsia="Times New Roman" w:hAnsi="Times New Roman" w:cs="Times New Roman"/>
          <w:b/>
          <w:bCs/>
        </w:rPr>
      </w:pPr>
    </w:p>
    <w:p w14:paraId="2143FF4C" w14:textId="77777777" w:rsidR="00B617C4" w:rsidRDefault="00000000">
      <w:pPr>
        <w:rPr>
          <w:rFonts w:ascii="Times New Roman" w:eastAsia="Times New Roman" w:hAnsi="Times New Roman" w:cs="Times New Roman"/>
          <w:b/>
          <w:bCs/>
        </w:rPr>
      </w:pPr>
      <w:r>
        <w:rPr>
          <w:rFonts w:ascii="Times New Roman" w:eastAsia="Times New Roman" w:hAnsi="Times New Roman" w:cs="Times New Roman"/>
          <w:b/>
          <w:bCs/>
        </w:rPr>
        <w:t>Familiarization</w:t>
      </w:r>
    </w:p>
    <w:p w14:paraId="48A5DC8D" w14:textId="77777777" w:rsidR="00B617C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Following the pretraining phase, networks were randomly assigned to 1 of 3 conditions (20 networks per condition). The conditions corresponded, respectively, to Experiments 2B, 2D, and 3B in Thomas et al. (2022). A “participant” corresponded to an untrained model whose weights were initialized to small, random values (sampled uniformly between ±0.1). Note that Condition 3 was identical to Conditions 1 and 2 except that food information was missing (as was the case in Study 3B in Thomas et al., 2022). The familiarization phase for networks in all three conditions involved an event in which food sharing occurred between a central character and another individual and an event in which non-food sharing (e.g., ball passing) occurred between the same central character and a second individual. Because our theory does not depend on who shared versus received saliva, we did not model the direction of sharing. All familiarization events used novel people and were implemented in a similar manner to the </w:t>
      </w:r>
      <w:r>
        <w:rPr>
          <w:rFonts w:ascii="Times New Roman" w:eastAsia="Times New Roman" w:hAnsi="Times New Roman" w:cs="Times New Roman"/>
        </w:rPr>
        <w:lastRenderedPageBreak/>
        <w:t>pretraining events (see Tables 1 and 2). Finally, the familiarization phase could last for either 5 or 10 epochs. Different values ensured that the model’s performance was robust to the length of the familiarization phase.</w:t>
      </w:r>
    </w:p>
    <w:p w14:paraId="1E0AF42D" w14:textId="77777777" w:rsidR="00B617C4"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t>Test</w:t>
      </w:r>
    </w:p>
    <w:p w14:paraId="25462BDB" w14:textId="77777777" w:rsidR="00B617C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Following the familiarization phase, networks participated in a test phase. The nature of this test phase depended on the condition to which the networks were assigned. Networks in Conditions 1 and 3 were shown an event in which the same central character expressed distress. In contrast, networks in Condition 2 were shown the same event except that the character that was in distress was different from that shown during the familiarization phase.</w:t>
      </w:r>
    </w:p>
    <w:p w14:paraId="100D2B4E" w14:textId="201272F3" w:rsidR="00B617C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For all conditions, we measured the cross-entropy error produced when the network saw the saliva-sharer provide comfort and the non-saliva sharer provide comfort. Typically, greater model error corresponds conceptually to longer looking and mirrors the logic of violation of expectation paradigms. Thus, the model would produce greater error if it had learned that non-saliva sharers do not provide comfort but then observed at test that one did. However, because</w:t>
      </w:r>
      <w:r w:rsidR="00B26599">
        <w:rPr>
          <w:rFonts w:ascii="Times New Roman" w:eastAsia="Times New Roman" w:hAnsi="Times New Roman" w:cs="Times New Roman"/>
        </w:rPr>
        <w:t xml:space="preserve"> infants’ looking behaviors were measured before any comforting occurred,</w:t>
      </w:r>
      <w:r>
        <w:rPr>
          <w:rFonts w:ascii="Times New Roman" w:eastAsia="Times New Roman" w:hAnsi="Times New Roman" w:cs="Times New Roman"/>
        </w:rPr>
        <w:t xml:space="preserve"> Thomas et al. (2022) interpreted longer looks as “expectations” rather than "surprise." In other words, Thomas et al. inferred that if infants detected a thick relationship, they would look at the person they expected to comfort the puppet. To convert model error into expectations, we subtracted a given network’s error score produced by a test event from the maximum error for that test event. This transformation means that lower network error now corresponded to longer looking or greater expectation for that outcome.</w:t>
      </w:r>
    </w:p>
    <w:p w14:paraId="41EAB560" w14:textId="77777777" w:rsidR="002A1D1F" w:rsidRDefault="002A1D1F">
      <w:pPr>
        <w:spacing w:line="480" w:lineRule="auto"/>
        <w:ind w:firstLine="720"/>
        <w:rPr>
          <w:rFonts w:ascii="Times New Roman" w:eastAsia="Times New Roman" w:hAnsi="Times New Roman" w:cs="Times New Roman"/>
        </w:rPr>
      </w:pPr>
    </w:p>
    <w:p w14:paraId="64431265" w14:textId="77777777" w:rsidR="00B617C4"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B617C4" w14:paraId="49EB5B72" w14:textId="77777777">
        <w:trPr>
          <w:trHeight w:val="5520"/>
        </w:trPr>
        <w:tc>
          <w:tcPr>
            <w:tcW w:w="9360" w:type="dxa"/>
            <w:tcBorders>
              <w:top w:val="nil"/>
              <w:left w:val="nil"/>
              <w:bottom w:val="nil"/>
              <w:right w:val="nil"/>
            </w:tcBorders>
            <w:tcMar>
              <w:top w:w="0" w:type="dxa"/>
              <w:left w:w="100" w:type="dxa"/>
              <w:bottom w:w="0" w:type="dxa"/>
              <w:right w:w="100" w:type="dxa"/>
            </w:tcMar>
          </w:tcPr>
          <w:p w14:paraId="7C259C55" w14:textId="77777777" w:rsidR="00B617C4"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114300" distB="114300" distL="114300" distR="114300" wp14:anchorId="622EF54E" wp14:editId="3E858CFA">
                  <wp:extent cx="5810250" cy="3263900"/>
                  <wp:effectExtent l="0" t="0" r="0" b="0"/>
                  <wp:docPr id="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
                          <a:srcRect/>
                          <a:stretch>
                            <a:fillRect/>
                          </a:stretch>
                        </pic:blipFill>
                        <pic:spPr>
                          <a:xfrm>
                            <a:off x="0" y="0"/>
                            <a:ext cx="5810250" cy="3263900"/>
                          </a:xfrm>
                          <a:prstGeom prst="rect">
                            <a:avLst/>
                          </a:prstGeom>
                          <a:ln/>
                        </pic:spPr>
                      </pic:pic>
                    </a:graphicData>
                  </a:graphic>
                </wp:inline>
              </w:drawing>
            </w:r>
          </w:p>
        </w:tc>
      </w:tr>
    </w:tbl>
    <w:p w14:paraId="651FF3E9" w14:textId="0327F8F0" w:rsidR="00B617C4"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Figure 2. Networks’ mean expectations of comfort from the Saliva and Non-Saliva sharers across Conditions and Pretraining Epochs.</w:t>
      </w:r>
      <w:r w:rsidR="00D66B12">
        <w:rPr>
          <w:rFonts w:ascii="Times New Roman" w:eastAsia="Times New Roman" w:hAnsi="Times New Roman" w:cs="Times New Roman"/>
        </w:rPr>
        <w:t xml:space="preserve"> Conditions 1-3 correspond, respectively, to Experiments 2B, 2D, and 3B in Thomas et al. (2022).</w:t>
      </w:r>
    </w:p>
    <w:p w14:paraId="15DD2723" w14:textId="77777777" w:rsidR="00B617C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Figure 2 shows networks’ expectations of comfort from the Saliva and Non-Saliva Sharers across Conditions 1-3 and Pretraining Epochs. Familiarization Epoch (or the number of familiarization trials) was not included as an additional effect because it was collinear with Pretraining Epochs and created singularity issues for the model. The results revealed main effects of Test Trial, Pretraining Epochs, and Condition, which were qualified by an interaction between Condition and Pretraining Epochs, </w:t>
      </w:r>
      <w:r>
        <w:rPr>
          <w:rFonts w:ascii="Times New Roman" w:eastAsia="Times New Roman" w:hAnsi="Times New Roman" w:cs="Times New Roman"/>
          <w:i/>
          <w:iCs/>
        </w:rPr>
        <w:t>F</w:t>
      </w:r>
      <w:r>
        <w:rPr>
          <w:rFonts w:ascii="Times New Roman" w:eastAsia="Times New Roman" w:hAnsi="Times New Roman" w:cs="Times New Roman"/>
        </w:rPr>
        <w:t xml:space="preserve">(4, 351) = 11.06, </w:t>
      </w:r>
      <w:r>
        <w:rPr>
          <w:rFonts w:ascii="Times New Roman" w:eastAsia="Times New Roman" w:hAnsi="Times New Roman" w:cs="Times New Roman"/>
          <w:i/>
          <w:iCs/>
        </w:rPr>
        <w:t xml:space="preserve">p </w:t>
      </w:r>
      <w:r>
        <w:rPr>
          <w:rFonts w:ascii="Times New Roman" w:eastAsia="Times New Roman" w:hAnsi="Times New Roman" w:cs="Times New Roman"/>
        </w:rPr>
        <w:t xml:space="preserve">&lt; .001. As can be seen in Figure 2, this interaction reflected the fact that networks’ expectations for comfort differed across conditions and pretraining epochs. Perhaps most crucially, there was a significant interaction between Condition and Trial Type, </w:t>
      </w:r>
      <w:r>
        <w:rPr>
          <w:rFonts w:ascii="Times New Roman" w:eastAsia="Times New Roman" w:hAnsi="Times New Roman" w:cs="Times New Roman"/>
          <w:i/>
          <w:iCs/>
        </w:rPr>
        <w:t>F</w:t>
      </w:r>
      <w:r>
        <w:rPr>
          <w:rFonts w:ascii="Times New Roman" w:eastAsia="Times New Roman" w:hAnsi="Times New Roman" w:cs="Times New Roman"/>
        </w:rPr>
        <w:t xml:space="preserve">(2, 351) = 37.46, </w:t>
      </w:r>
      <w:r>
        <w:rPr>
          <w:rFonts w:ascii="Times New Roman" w:eastAsia="Times New Roman" w:hAnsi="Times New Roman" w:cs="Times New Roman"/>
          <w:i/>
          <w:iCs/>
        </w:rPr>
        <w:t xml:space="preserve">p </w:t>
      </w:r>
      <w:r>
        <w:rPr>
          <w:rFonts w:ascii="Times New Roman" w:eastAsia="Times New Roman" w:hAnsi="Times New Roman" w:cs="Times New Roman"/>
        </w:rPr>
        <w:t xml:space="preserve">&lt; .001. Follow-up analyses were conducted for each Condition to assess the nature of this interaction. Paired </w:t>
      </w:r>
      <w:r>
        <w:rPr>
          <w:rFonts w:ascii="Times New Roman" w:eastAsia="Times New Roman" w:hAnsi="Times New Roman" w:cs="Times New Roman"/>
          <w:i/>
          <w:iCs/>
        </w:rPr>
        <w:t>t</w:t>
      </w:r>
      <w:r>
        <w:rPr>
          <w:rFonts w:ascii="Times New Roman" w:eastAsia="Times New Roman" w:hAnsi="Times New Roman" w:cs="Times New Roman"/>
        </w:rPr>
        <w:t xml:space="preserve">-tests for Conditions 1 and 3 showed that networks, like infants in the corresponding experiments in Thomas et al. (i.e., Experiments 2B and 3B), showed a greater expectation of comfort from the Saliva Sharer (Condition 1: </w:t>
      </w:r>
      <w:r>
        <w:rPr>
          <w:rFonts w:ascii="Times New Roman" w:eastAsia="Times New Roman" w:hAnsi="Times New Roman" w:cs="Times New Roman"/>
          <w:i/>
          <w:iCs/>
        </w:rPr>
        <w:t>M</w:t>
      </w:r>
      <w:r>
        <w:rPr>
          <w:rFonts w:ascii="Times New Roman" w:eastAsia="Times New Roman" w:hAnsi="Times New Roman" w:cs="Times New Roman"/>
        </w:rPr>
        <w:t xml:space="preserve"> = 11.41, </w:t>
      </w:r>
      <w:r>
        <w:rPr>
          <w:rFonts w:ascii="Times New Roman" w:eastAsia="Times New Roman" w:hAnsi="Times New Roman" w:cs="Times New Roman"/>
          <w:i/>
          <w:iCs/>
        </w:rPr>
        <w:t>SD</w:t>
      </w:r>
      <w:r>
        <w:rPr>
          <w:rFonts w:ascii="Times New Roman" w:eastAsia="Times New Roman" w:hAnsi="Times New Roman" w:cs="Times New Roman"/>
        </w:rPr>
        <w:t xml:space="preserve"> = 2.19; Condition 3:  </w:t>
      </w:r>
      <w:r>
        <w:rPr>
          <w:rFonts w:ascii="Times New Roman" w:eastAsia="Times New Roman" w:hAnsi="Times New Roman" w:cs="Times New Roman"/>
          <w:i/>
          <w:iCs/>
        </w:rPr>
        <w:t>M</w:t>
      </w:r>
      <w:r>
        <w:rPr>
          <w:rFonts w:ascii="Times New Roman" w:eastAsia="Times New Roman" w:hAnsi="Times New Roman" w:cs="Times New Roman"/>
        </w:rPr>
        <w:t xml:space="preserve"> = 11.23, </w:t>
      </w:r>
      <w:r>
        <w:rPr>
          <w:rFonts w:ascii="Times New Roman" w:eastAsia="Times New Roman" w:hAnsi="Times New Roman" w:cs="Times New Roman"/>
          <w:i/>
          <w:iCs/>
        </w:rPr>
        <w:t>SD</w:t>
      </w:r>
      <w:r>
        <w:rPr>
          <w:rFonts w:ascii="Times New Roman" w:eastAsia="Times New Roman" w:hAnsi="Times New Roman" w:cs="Times New Roman"/>
        </w:rPr>
        <w:t xml:space="preserve"> = 2.24) than from the Non-Saliva Sharer (Condition 1: </w:t>
      </w:r>
      <w:r>
        <w:rPr>
          <w:rFonts w:ascii="Times New Roman" w:eastAsia="Times New Roman" w:hAnsi="Times New Roman" w:cs="Times New Roman"/>
          <w:i/>
          <w:iCs/>
        </w:rPr>
        <w:lastRenderedPageBreak/>
        <w:t>M</w:t>
      </w:r>
      <w:r>
        <w:rPr>
          <w:rFonts w:ascii="Times New Roman" w:eastAsia="Times New Roman" w:hAnsi="Times New Roman" w:cs="Times New Roman"/>
        </w:rPr>
        <w:t xml:space="preserve"> = 8.28, </w:t>
      </w:r>
      <w:r>
        <w:rPr>
          <w:rFonts w:ascii="Times New Roman" w:eastAsia="Times New Roman" w:hAnsi="Times New Roman" w:cs="Times New Roman"/>
          <w:i/>
          <w:iCs/>
        </w:rPr>
        <w:t>SD</w:t>
      </w:r>
      <w:r>
        <w:rPr>
          <w:rFonts w:ascii="Times New Roman" w:eastAsia="Times New Roman" w:hAnsi="Times New Roman" w:cs="Times New Roman"/>
        </w:rPr>
        <w:t xml:space="preserve"> = 2.94; Condition 3:  </w:t>
      </w:r>
      <w:r>
        <w:rPr>
          <w:rFonts w:ascii="Times New Roman" w:eastAsia="Times New Roman" w:hAnsi="Times New Roman" w:cs="Times New Roman"/>
          <w:i/>
          <w:iCs/>
        </w:rPr>
        <w:t>M</w:t>
      </w:r>
      <w:r>
        <w:rPr>
          <w:rFonts w:ascii="Times New Roman" w:eastAsia="Times New Roman" w:hAnsi="Times New Roman" w:cs="Times New Roman"/>
        </w:rPr>
        <w:t xml:space="preserve"> = 8.20, </w:t>
      </w:r>
      <w:r>
        <w:rPr>
          <w:rFonts w:ascii="Times New Roman" w:eastAsia="Times New Roman" w:hAnsi="Times New Roman" w:cs="Times New Roman"/>
          <w:i/>
          <w:iCs/>
        </w:rPr>
        <w:t>SD</w:t>
      </w:r>
      <w:r>
        <w:rPr>
          <w:rFonts w:ascii="Times New Roman" w:eastAsia="Times New Roman" w:hAnsi="Times New Roman" w:cs="Times New Roman"/>
        </w:rPr>
        <w:t xml:space="preserve"> = 3.49), both </w:t>
      </w:r>
      <w:r>
        <w:rPr>
          <w:rFonts w:ascii="Times New Roman" w:eastAsia="Times New Roman" w:hAnsi="Times New Roman" w:cs="Times New Roman"/>
          <w:i/>
          <w:iCs/>
        </w:rPr>
        <w:t>t</w:t>
      </w:r>
      <w:r>
        <w:rPr>
          <w:rFonts w:ascii="Times New Roman" w:eastAsia="Times New Roman" w:hAnsi="Times New Roman" w:cs="Times New Roman"/>
        </w:rPr>
        <w:t xml:space="preserve">’s &gt; 9.17, both </w:t>
      </w:r>
      <w:r>
        <w:rPr>
          <w:rFonts w:ascii="Times New Roman" w:eastAsia="Times New Roman" w:hAnsi="Times New Roman" w:cs="Times New Roman"/>
          <w:i/>
          <w:iCs/>
        </w:rPr>
        <w:t>p</w:t>
      </w:r>
      <w:r>
        <w:rPr>
          <w:rFonts w:ascii="Times New Roman" w:eastAsia="Times New Roman" w:hAnsi="Times New Roman" w:cs="Times New Roman"/>
        </w:rPr>
        <w:t>’s &lt; .001.</w:t>
      </w:r>
      <w:r>
        <w:rPr>
          <w:rFonts w:ascii="Times New Roman" w:eastAsia="Times New Roman" w:hAnsi="Times New Roman" w:cs="Times New Roman"/>
          <w:i/>
          <w:iCs/>
        </w:rPr>
        <w:t xml:space="preserve"> </w:t>
      </w:r>
      <w:r>
        <w:rPr>
          <w:rFonts w:ascii="Times New Roman" w:eastAsia="Times New Roman" w:hAnsi="Times New Roman" w:cs="Times New Roman"/>
        </w:rPr>
        <w:t>In contrast, and like infants in the corresponding experiment in Thomas et al. (i.e., Experiment 2D), networks in Condition 2 showed an equivalent expectation of comfort from the Saliva Sharer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2.78, </w:t>
      </w:r>
      <w:r>
        <w:rPr>
          <w:rFonts w:ascii="Times New Roman" w:eastAsia="Times New Roman" w:hAnsi="Times New Roman" w:cs="Times New Roman"/>
          <w:i/>
          <w:iCs/>
        </w:rPr>
        <w:t xml:space="preserve">SD </w:t>
      </w:r>
      <w:r>
        <w:rPr>
          <w:rFonts w:ascii="Times New Roman" w:eastAsia="Times New Roman" w:hAnsi="Times New Roman" w:cs="Times New Roman"/>
        </w:rPr>
        <w:t>= 1.17) than the Non-Saliva Sharer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2.57,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1.09) when the central character was replaced with someone new, </w:t>
      </w:r>
      <w:r>
        <w:rPr>
          <w:rFonts w:ascii="Times New Roman" w:eastAsia="Times New Roman" w:hAnsi="Times New Roman" w:cs="Times New Roman"/>
          <w:i/>
          <w:iCs/>
        </w:rPr>
        <w:t>t</w:t>
      </w:r>
      <w:r>
        <w:rPr>
          <w:rFonts w:ascii="Times New Roman" w:eastAsia="Times New Roman" w:hAnsi="Times New Roman" w:cs="Times New Roman"/>
        </w:rPr>
        <w:t xml:space="preserve">(119) = 1.79, </w:t>
      </w:r>
      <w:r>
        <w:rPr>
          <w:rFonts w:ascii="Times New Roman" w:eastAsia="Times New Roman" w:hAnsi="Times New Roman" w:cs="Times New Roman"/>
          <w:i/>
          <w:iCs/>
        </w:rPr>
        <w:t xml:space="preserve">p </w:t>
      </w:r>
      <w:r>
        <w:rPr>
          <w:rFonts w:ascii="Times New Roman" w:eastAsia="Times New Roman" w:hAnsi="Times New Roman" w:cs="Times New Roman"/>
        </w:rPr>
        <w:t>= .08.</w:t>
      </w:r>
    </w:p>
    <w:p w14:paraId="603315FF" w14:textId="77777777" w:rsidR="00B617C4"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Discussion</w:t>
      </w:r>
    </w:p>
    <w:p w14:paraId="22DFBEE4" w14:textId="77777777" w:rsidR="00B617C4" w:rsidRDefault="00000000">
      <w:pPr>
        <w:spacing w:before="240" w:after="24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Simulation 1 suggests that associative learning can reproduce infants’ looking patterns in Thomas et al. (2022). However, because these results could reflect a simple actress preference, Thomas et al. (2022) conducted an additional preferential looking test to confirm that infants’ looking patterns reflected comfort-specific expectations. During this test, infants in Experiments 2B and 2D saw both actresses smiling and playing peek-a-boo while the central character was absent. Thomas et al. (2022) found that, during this non-distress non-comforting event, infants looked equally long at both actresses suggesting that neither actress was preferred. Likewise, prior work shows that when agents laugh together rather than engage in comforting, infants do not make inferences about social affiliations (Spokes &amp; Spelke, 2017). Thus, simulation 2 implements a model analogue of a non-distress non-comfort event to test whether networks’ responses in Simulation 1 similarly reflected comfort-specific expectations. </w:t>
      </w:r>
    </w:p>
    <w:p w14:paraId="7CAAEFD7" w14:textId="4F4CFC0F" w:rsidR="00B617C4" w:rsidRDefault="00000000">
      <w:pPr>
        <w:spacing w:before="240" w:after="240" w:line="480" w:lineRule="auto"/>
        <w:ind w:firstLine="720"/>
        <w:jc w:val="center"/>
        <w:rPr>
          <w:rFonts w:ascii="Times New Roman" w:eastAsia="Times New Roman" w:hAnsi="Times New Roman" w:cs="Times New Roman"/>
          <w:b/>
          <w:bCs/>
        </w:rPr>
      </w:pPr>
      <w:r>
        <w:rPr>
          <w:rFonts w:ascii="Times New Roman" w:eastAsia="Times New Roman" w:hAnsi="Times New Roman" w:cs="Times New Roman"/>
        </w:rPr>
        <w:t xml:space="preserve"> </w:t>
      </w:r>
      <w:r>
        <w:rPr>
          <w:rFonts w:ascii="Times New Roman" w:eastAsia="Times New Roman" w:hAnsi="Times New Roman" w:cs="Times New Roman"/>
          <w:b/>
          <w:bCs/>
        </w:rPr>
        <w:t>Simulation 2</w:t>
      </w:r>
      <w:r w:rsidR="00904B5F">
        <w:rPr>
          <w:rFonts w:ascii="Times New Roman" w:eastAsia="Times New Roman" w:hAnsi="Times New Roman" w:cs="Times New Roman"/>
          <w:b/>
          <w:bCs/>
        </w:rPr>
        <w:t xml:space="preserve">: </w:t>
      </w:r>
      <w:r w:rsidR="002A1D1F">
        <w:rPr>
          <w:rFonts w:ascii="Times New Roman" w:eastAsia="Times New Roman" w:hAnsi="Times New Roman" w:cs="Times New Roman"/>
          <w:b/>
          <w:bCs/>
        </w:rPr>
        <w:t>Saliva sharing predicts comfort-specific expectations</w:t>
      </w:r>
    </w:p>
    <w:p w14:paraId="44C00217" w14:textId="77777777" w:rsidR="00B617C4"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The architecture, pretraining phase, and test phase were identical to Condition 1 of Simulation 1 (corresponding to Experiment 2B in Thomas et al. [2022]) with one key exception: networks were tested on a non-distressed, non-comforting giving event (i.e., peek-a-boo) rather than a distress-based, comfort-giving event.</w:t>
      </w:r>
    </w:p>
    <w:p w14:paraId="151D1748" w14:textId="77777777" w:rsidR="00B617C4"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rPr>
        <w:t xml:space="preserve"> </w:t>
      </w:r>
      <w:r>
        <w:rPr>
          <w:rFonts w:ascii="Times New Roman" w:eastAsia="Times New Roman" w:hAnsi="Times New Roman" w:cs="Times New Roman"/>
          <w:b/>
          <w:bCs/>
        </w:rPr>
        <w:t>Results</w:t>
      </w:r>
    </w:p>
    <w:p w14:paraId="1812E05A" w14:textId="77777777" w:rsidR="00B617C4" w:rsidRDefault="00000000">
      <w:pPr>
        <w:spacing w:line="48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247E22EC" wp14:editId="160E71E2">
            <wp:extent cx="6189133" cy="3481388"/>
            <wp:effectExtent l="0" t="0" r="0" b="0"/>
            <wp:docPr id="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2"/>
                    <a:srcRect/>
                    <a:stretch>
                      <a:fillRect/>
                    </a:stretch>
                  </pic:blipFill>
                  <pic:spPr>
                    <a:xfrm>
                      <a:off x="0" y="0"/>
                      <a:ext cx="6189133" cy="3481388"/>
                    </a:xfrm>
                    <a:prstGeom prst="rect">
                      <a:avLst/>
                    </a:prstGeom>
                    <a:ln/>
                  </pic:spPr>
                </pic:pic>
              </a:graphicData>
            </a:graphic>
          </wp:inline>
        </w:drawing>
      </w:r>
    </w:p>
    <w:p w14:paraId="2735A334" w14:textId="71A7C421" w:rsidR="00B617C4"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Figure 3. Networks’ mean expectations of peek-a-boo from former Saliva and former Non-Saliva Sharers across Conditions and Pretraining Epochs.</w:t>
      </w:r>
    </w:p>
    <w:p w14:paraId="4FC2D8CF" w14:textId="77777777" w:rsidR="00B617C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Figure 3 shows networks’ looking at  the Former Saliva and Non-Saliva Sharers across Pretraining Epochs. Data were entered into a linear mixed-effects model with Test Trial as the within-subjects fixed effect (Former Saliva Sharer vs. Former Non-Saliva Sharer), and Pretraining Epochs (600 vs. 700 vs. 800) as between-subjects fixed effects, and participants as the random effect. This analysis revealed a main effect of Pretraining Epochs, which was qualified by an interaction between Test Trial and Pretraining Epochs, </w:t>
      </w:r>
      <w:r>
        <w:rPr>
          <w:rFonts w:ascii="Times New Roman" w:eastAsia="Times New Roman" w:hAnsi="Times New Roman" w:cs="Times New Roman"/>
          <w:i/>
          <w:iCs/>
        </w:rPr>
        <w:t>F</w:t>
      </w:r>
      <w:r>
        <w:rPr>
          <w:rFonts w:ascii="Times New Roman" w:eastAsia="Times New Roman" w:hAnsi="Times New Roman" w:cs="Times New Roman"/>
        </w:rPr>
        <w:t xml:space="preserve">(2, 117) = 3.72, </w:t>
      </w:r>
      <w:r>
        <w:rPr>
          <w:rFonts w:ascii="Times New Roman" w:eastAsia="Times New Roman" w:hAnsi="Times New Roman" w:cs="Times New Roman"/>
          <w:i/>
          <w:iCs/>
        </w:rPr>
        <w:t xml:space="preserve">p </w:t>
      </w:r>
      <w:r>
        <w:rPr>
          <w:rFonts w:ascii="Times New Roman" w:eastAsia="Times New Roman" w:hAnsi="Times New Roman" w:cs="Times New Roman"/>
        </w:rPr>
        <w:t xml:space="preserve">= .03. As can be seen in Figure 3, this interaction reflected the fact that networks’ pattern of looking differed across pretraining epochs. Crucially, networks did not show a greater expectation for the Former Saliva Sharer over the Former Non-Saliva Sharer, all </w:t>
      </w:r>
      <w:r>
        <w:rPr>
          <w:rFonts w:ascii="Times New Roman" w:eastAsia="Times New Roman" w:hAnsi="Times New Roman" w:cs="Times New Roman"/>
          <w:i/>
          <w:iCs/>
        </w:rPr>
        <w:t>p</w:t>
      </w:r>
      <w:r>
        <w:rPr>
          <w:rFonts w:ascii="Times New Roman" w:eastAsia="Times New Roman" w:hAnsi="Times New Roman" w:cs="Times New Roman"/>
        </w:rPr>
        <w:t xml:space="preserve">’s &gt; .29.  </w:t>
      </w:r>
    </w:p>
    <w:p w14:paraId="01044BA7" w14:textId="77777777" w:rsidR="00B617C4" w:rsidRDefault="00000000">
      <w:pPr>
        <w:spacing w:before="240" w:after="240"/>
        <w:rPr>
          <w:rFonts w:ascii="Times New Roman" w:eastAsia="Times New Roman" w:hAnsi="Times New Roman" w:cs="Times New Roman"/>
          <w:b/>
          <w:bCs/>
        </w:rPr>
      </w:pPr>
      <w:r>
        <w:rPr>
          <w:rFonts w:ascii="Times New Roman" w:eastAsia="Times New Roman" w:hAnsi="Times New Roman" w:cs="Times New Roman"/>
          <w:b/>
          <w:bCs/>
        </w:rPr>
        <w:t>Discussion</w:t>
      </w:r>
    </w:p>
    <w:p w14:paraId="1CD6FFF7" w14:textId="77777777" w:rsidR="00B617C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Simulation 2 tested whether models looked equally long at the former Saliva and Non-Saliva Sharers in a non-distressed, non-comfort giving event. As was true for infants, networks looked equally long at both actresses. This suggests that networks’ performance in Conditions 1 and 3 in Simulation 1 </w:t>
      </w:r>
      <w:r>
        <w:rPr>
          <w:rFonts w:ascii="Times New Roman" w:eastAsia="Times New Roman" w:hAnsi="Times New Roman" w:cs="Times New Roman"/>
        </w:rPr>
        <w:lastRenderedPageBreak/>
        <w:t xml:space="preserve">reflected comfort-specific expectations rather than a preference for a specific individual. Together, Simulations 1 and 2 suggest that infants’ looking behaviors in Thomas et al. (2022) may be underpinned by an associative-learning mechanism. </w:t>
      </w:r>
      <w:r>
        <w:rPr>
          <w:rFonts w:ascii="Times New Roman" w:eastAsia="Times New Roman" w:hAnsi="Times New Roman" w:cs="Times New Roman"/>
        </w:rPr>
        <w:br/>
      </w:r>
      <w:r>
        <w:rPr>
          <w:rFonts w:ascii="Times New Roman" w:eastAsia="Times New Roman" w:hAnsi="Times New Roman" w:cs="Times New Roman"/>
        </w:rPr>
        <w:tab/>
        <w:t>Given that the goal of Simulations 1 and 2 was to capture infants’ looking behaviors across the infant experiments in Thomas et al. (2022), we tested whether saliva sharing would predict comfort. However, our associative-learning account also predicts that comfort will predict saliva sharing. Simulation 3 addressed this issue.</w:t>
      </w:r>
    </w:p>
    <w:p w14:paraId="7F266658" w14:textId="2AE14321" w:rsidR="00B617C4" w:rsidRDefault="00000000">
      <w:pPr>
        <w:spacing w:before="240" w:after="240" w:line="480" w:lineRule="auto"/>
        <w:ind w:firstLine="720"/>
        <w:jc w:val="center"/>
        <w:rPr>
          <w:rFonts w:ascii="Times New Roman" w:eastAsia="Times New Roman" w:hAnsi="Times New Roman" w:cs="Times New Roman"/>
          <w:b/>
          <w:bCs/>
        </w:rPr>
      </w:pPr>
      <w:r>
        <w:rPr>
          <w:rFonts w:ascii="Times New Roman" w:eastAsia="Times New Roman" w:hAnsi="Times New Roman" w:cs="Times New Roman"/>
          <w:b/>
          <w:bCs/>
        </w:rPr>
        <w:t>Simulation 3</w:t>
      </w:r>
      <w:r w:rsidR="00AF6940">
        <w:rPr>
          <w:rFonts w:ascii="Times New Roman" w:eastAsia="Times New Roman" w:hAnsi="Times New Roman" w:cs="Times New Roman"/>
          <w:b/>
          <w:bCs/>
        </w:rPr>
        <w:t>: Comforting predicts saliva sharing</w:t>
      </w:r>
    </w:p>
    <w:p w14:paraId="7F312B79" w14:textId="77777777" w:rsidR="00B617C4" w:rsidRDefault="00000000">
      <w:pPr>
        <w:spacing w:line="480" w:lineRule="auto"/>
        <w:rPr>
          <w:rFonts w:ascii="Times New Roman" w:eastAsia="Times New Roman" w:hAnsi="Times New Roman" w:cs="Times New Roman"/>
          <w:b/>
          <w:bCs/>
          <w:i/>
          <w:iCs/>
        </w:rPr>
      </w:pPr>
      <w:r>
        <w:rPr>
          <w:rFonts w:ascii="Times New Roman" w:eastAsia="Times New Roman" w:hAnsi="Times New Roman" w:cs="Times New Roman"/>
          <w:b/>
          <w:bCs/>
          <w:i/>
          <w:iCs/>
        </w:rPr>
        <w:t>Network Architecture and Familiarization</w:t>
      </w:r>
    </w:p>
    <w:p w14:paraId="1C5DBFF7" w14:textId="77777777" w:rsidR="00B617C4"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The architecture used in Simulation 2 was identical to that in Simulation 1. The pretraining phase was also identical.</w:t>
      </w:r>
    </w:p>
    <w:p w14:paraId="539A15B6" w14:textId="77777777" w:rsidR="00B617C4"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 </w:t>
      </w:r>
    </w:p>
    <w:p w14:paraId="593FBCAF" w14:textId="77777777" w:rsidR="00B617C4" w:rsidRDefault="00000000">
      <w:pPr>
        <w:rPr>
          <w:rFonts w:ascii="Times New Roman" w:eastAsia="Times New Roman" w:hAnsi="Times New Roman" w:cs="Times New Roman"/>
          <w:b/>
          <w:bCs/>
        </w:rPr>
      </w:pPr>
      <w:r>
        <w:rPr>
          <w:rFonts w:ascii="Times New Roman" w:eastAsia="Times New Roman" w:hAnsi="Times New Roman" w:cs="Times New Roman"/>
          <w:b/>
          <w:bCs/>
        </w:rPr>
        <w:t>Familiarization and Test</w:t>
      </w:r>
      <w:r>
        <w:rPr>
          <w:rFonts w:ascii="Times New Roman" w:eastAsia="Times New Roman" w:hAnsi="Times New Roman" w:cs="Times New Roman"/>
          <w:b/>
          <w:bCs/>
        </w:rPr>
        <w:br/>
      </w:r>
      <w:r>
        <w:rPr>
          <w:rFonts w:ascii="Times New Roman" w:eastAsia="Times New Roman" w:hAnsi="Times New Roman" w:cs="Times New Roman"/>
          <w:b/>
          <w:bCs/>
        </w:rPr>
        <w:br/>
      </w:r>
    </w:p>
    <w:p w14:paraId="7D36700B" w14:textId="77777777" w:rsidR="00B617C4"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t>Following pretraining, networks were randomly assigned to 1 of 2 conditions (20 networks per condition). All networks were familiarized to an event in which the central character was comforted by one individual and an event in which the central character was not comforted by the second individual. Networks in Condition 1 were then tested on an event in which the central character from the familiarization phase engaged in saliva sharing with both the former comforter and former non-comforter. Networks in Condition 2 were tested on an identical event except that the central character was replaced with a new one.</w:t>
      </w:r>
    </w:p>
    <w:p w14:paraId="2C755A79" w14:textId="77777777" w:rsidR="00B617C4" w:rsidRDefault="00B617C4">
      <w:pPr>
        <w:spacing w:line="480" w:lineRule="auto"/>
        <w:rPr>
          <w:rFonts w:ascii="Times New Roman" w:eastAsia="Times New Roman" w:hAnsi="Times New Roman" w:cs="Times New Roman"/>
        </w:rPr>
      </w:pPr>
    </w:p>
    <w:p w14:paraId="2D1C8CD4" w14:textId="77777777" w:rsidR="00B617C4"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 </w:t>
      </w:r>
    </w:p>
    <w:p w14:paraId="3B5375AF" w14:textId="77777777" w:rsidR="00B617C4"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B617C4" w14:paraId="437E275E" w14:textId="77777777">
        <w:trPr>
          <w:trHeight w:val="5265"/>
        </w:trPr>
        <w:tc>
          <w:tcPr>
            <w:tcW w:w="9360" w:type="dxa"/>
            <w:tcBorders>
              <w:top w:val="nil"/>
              <w:left w:val="nil"/>
              <w:bottom w:val="nil"/>
              <w:right w:val="nil"/>
            </w:tcBorders>
            <w:tcMar>
              <w:top w:w="0" w:type="dxa"/>
              <w:left w:w="100" w:type="dxa"/>
              <w:bottom w:w="0" w:type="dxa"/>
              <w:right w:w="100" w:type="dxa"/>
            </w:tcMar>
          </w:tcPr>
          <w:p w14:paraId="0BD69E28" w14:textId="77777777" w:rsidR="00B617C4"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noProof/>
              </w:rPr>
              <w:lastRenderedPageBreak/>
              <w:drawing>
                <wp:inline distT="114300" distB="114300" distL="114300" distR="114300" wp14:anchorId="43339CC7" wp14:editId="2E12688B">
                  <wp:extent cx="5810250" cy="3263900"/>
                  <wp:effectExtent l="0" t="0" r="0" b="0"/>
                  <wp:docPr id="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3"/>
                          <a:srcRect/>
                          <a:stretch>
                            <a:fillRect/>
                          </a:stretch>
                        </pic:blipFill>
                        <pic:spPr>
                          <a:xfrm>
                            <a:off x="0" y="0"/>
                            <a:ext cx="5810250" cy="3263900"/>
                          </a:xfrm>
                          <a:prstGeom prst="rect">
                            <a:avLst/>
                          </a:prstGeom>
                          <a:ln/>
                        </pic:spPr>
                      </pic:pic>
                    </a:graphicData>
                  </a:graphic>
                </wp:inline>
              </w:drawing>
            </w:r>
          </w:p>
        </w:tc>
      </w:tr>
    </w:tbl>
    <w:p w14:paraId="59B91BE3" w14:textId="446991C1" w:rsidR="00B617C4"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Figure 4. Networks’ mean expectations of saliva sharing from the Comforter and Non-Comforter across Conditions and Pretraining Epochs.</w:t>
      </w:r>
      <w:r w:rsidR="00D66B12">
        <w:rPr>
          <w:rFonts w:ascii="Times New Roman" w:eastAsia="Times New Roman" w:hAnsi="Times New Roman" w:cs="Times New Roman"/>
        </w:rPr>
        <w:t xml:space="preserve"> Condition 1 = comforting occurs before saliva sharing</w:t>
      </w:r>
      <w:r w:rsidR="008D1269">
        <w:rPr>
          <w:rFonts w:ascii="Times New Roman" w:eastAsia="Times New Roman" w:hAnsi="Times New Roman" w:cs="Times New Roman"/>
        </w:rPr>
        <w:t>;</w:t>
      </w:r>
      <w:r w:rsidR="00D66B12">
        <w:rPr>
          <w:rFonts w:ascii="Times New Roman" w:eastAsia="Times New Roman" w:hAnsi="Times New Roman" w:cs="Times New Roman"/>
        </w:rPr>
        <w:t xml:space="preserve"> the same central character </w:t>
      </w:r>
      <w:r w:rsidR="008D1269">
        <w:rPr>
          <w:rFonts w:ascii="Times New Roman" w:eastAsia="Times New Roman" w:hAnsi="Times New Roman" w:cs="Times New Roman"/>
        </w:rPr>
        <w:t>appears in</w:t>
      </w:r>
      <w:r w:rsidR="00D66B12">
        <w:rPr>
          <w:rFonts w:ascii="Times New Roman" w:eastAsia="Times New Roman" w:hAnsi="Times New Roman" w:cs="Times New Roman"/>
        </w:rPr>
        <w:t xml:space="preserve"> both events. Condition 2 = comforting before saliva sharing</w:t>
      </w:r>
      <w:r w:rsidR="008D1269">
        <w:rPr>
          <w:rFonts w:ascii="Times New Roman" w:eastAsia="Times New Roman" w:hAnsi="Times New Roman" w:cs="Times New Roman"/>
        </w:rPr>
        <w:t>;</w:t>
      </w:r>
      <w:r w:rsidR="00D66B12">
        <w:rPr>
          <w:rFonts w:ascii="Times New Roman" w:eastAsia="Times New Roman" w:hAnsi="Times New Roman" w:cs="Times New Roman"/>
        </w:rPr>
        <w:t xml:space="preserve"> a different central character</w:t>
      </w:r>
      <w:r w:rsidR="008D1269">
        <w:rPr>
          <w:rFonts w:ascii="Times New Roman" w:eastAsia="Times New Roman" w:hAnsi="Times New Roman" w:cs="Times New Roman"/>
        </w:rPr>
        <w:t xml:space="preserve"> appears</w:t>
      </w:r>
      <w:r w:rsidR="00D66B12">
        <w:rPr>
          <w:rFonts w:ascii="Times New Roman" w:eastAsia="Times New Roman" w:hAnsi="Times New Roman" w:cs="Times New Roman"/>
        </w:rPr>
        <w:t xml:space="preserve"> in each event.</w:t>
      </w:r>
    </w:p>
    <w:p w14:paraId="2D6FAC08" w14:textId="77777777" w:rsidR="00B617C4" w:rsidRDefault="00000000">
      <w:pPr>
        <w:spacing w:before="240" w:after="240"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 </w:t>
      </w:r>
    </w:p>
    <w:p w14:paraId="30277D35" w14:textId="77777777" w:rsidR="00B617C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Figure 4 shows networks’ expectations of saliva sharing from the Comforter and Non-Comforter across Conditions and Pretraining Epochs. Data for networks in these conditions were entered into a linear mixed-effects model with Test Trial as the within-subjects fixed effect (Comforter vs. Non-Comforter), Condition (1 vs. 2) and Pretraining Epoch (600 vs. 700 vs. 800) as the between-subjects fixed effects, and participants as the random effect. The results revealed main effects for Condition and Test trial, both of which were qualified by two interactions. The first interaction was between Pretraining Epoch and Test Trial,  </w:t>
      </w:r>
      <w:r>
        <w:rPr>
          <w:rFonts w:ascii="Times New Roman" w:eastAsia="Times New Roman" w:hAnsi="Times New Roman" w:cs="Times New Roman"/>
          <w:i/>
          <w:iCs/>
        </w:rPr>
        <w:t>F</w:t>
      </w:r>
      <w:r>
        <w:rPr>
          <w:rFonts w:ascii="Times New Roman" w:eastAsia="Times New Roman" w:hAnsi="Times New Roman" w:cs="Times New Roman"/>
        </w:rPr>
        <w:t xml:space="preserve">(1, 234) = 3.40, </w:t>
      </w:r>
      <w:r>
        <w:rPr>
          <w:rFonts w:ascii="Times New Roman" w:eastAsia="Times New Roman" w:hAnsi="Times New Roman" w:cs="Times New Roman"/>
          <w:i/>
          <w:iCs/>
        </w:rPr>
        <w:t xml:space="preserve">p </w:t>
      </w:r>
      <w:r>
        <w:rPr>
          <w:rFonts w:ascii="Times New Roman" w:eastAsia="Times New Roman" w:hAnsi="Times New Roman" w:cs="Times New Roman"/>
        </w:rPr>
        <w:t xml:space="preserve">= .04. This interaction reflected the fact that the magnitude of the difference in expectation for saliva sharing from the Comforter and Non-Comforter differed between Pretraining Epochs. The more theoretically meaningful interaction was between Condition and Test Trial, </w:t>
      </w:r>
      <w:r>
        <w:rPr>
          <w:rFonts w:ascii="Times New Roman" w:eastAsia="Times New Roman" w:hAnsi="Times New Roman" w:cs="Times New Roman"/>
          <w:i/>
          <w:iCs/>
        </w:rPr>
        <w:t>F</w:t>
      </w:r>
      <w:r>
        <w:rPr>
          <w:rFonts w:ascii="Times New Roman" w:eastAsia="Times New Roman" w:hAnsi="Times New Roman" w:cs="Times New Roman"/>
        </w:rPr>
        <w:t xml:space="preserve">(1, 234) = 119.78, </w:t>
      </w:r>
      <w:r>
        <w:rPr>
          <w:rFonts w:ascii="Times New Roman" w:eastAsia="Times New Roman" w:hAnsi="Times New Roman" w:cs="Times New Roman"/>
          <w:i/>
          <w:iCs/>
        </w:rPr>
        <w:t xml:space="preserve">p </w:t>
      </w:r>
      <w:r>
        <w:rPr>
          <w:rFonts w:ascii="Times New Roman" w:eastAsia="Times New Roman" w:hAnsi="Times New Roman" w:cs="Times New Roman"/>
        </w:rPr>
        <w:t xml:space="preserve">&lt; .001. Paired </w:t>
      </w:r>
      <w:r>
        <w:rPr>
          <w:rFonts w:ascii="Times New Roman" w:eastAsia="Times New Roman" w:hAnsi="Times New Roman" w:cs="Times New Roman"/>
          <w:i/>
          <w:iCs/>
        </w:rPr>
        <w:t>t</w:t>
      </w:r>
      <w:r>
        <w:rPr>
          <w:rFonts w:ascii="Times New Roman" w:eastAsia="Times New Roman" w:hAnsi="Times New Roman" w:cs="Times New Roman"/>
        </w:rPr>
        <w:t xml:space="preserve">-tests for Condition 1 showed that networks showed a greater </w:t>
      </w:r>
      <w:r>
        <w:rPr>
          <w:rFonts w:ascii="Times New Roman" w:eastAsia="Times New Roman" w:hAnsi="Times New Roman" w:cs="Times New Roman"/>
        </w:rPr>
        <w:lastRenderedPageBreak/>
        <w:t>expectation of saliva sharing from the Comforter (</w:t>
      </w:r>
      <w:r>
        <w:rPr>
          <w:rFonts w:ascii="Times New Roman" w:eastAsia="Times New Roman" w:hAnsi="Times New Roman" w:cs="Times New Roman"/>
          <w:i/>
          <w:iCs/>
        </w:rPr>
        <w:t>M</w:t>
      </w:r>
      <w:r>
        <w:rPr>
          <w:rFonts w:ascii="Times New Roman" w:eastAsia="Times New Roman" w:hAnsi="Times New Roman" w:cs="Times New Roman"/>
        </w:rPr>
        <w:t xml:space="preserve"> = 14.04, </w:t>
      </w:r>
      <w:r>
        <w:rPr>
          <w:rFonts w:ascii="Times New Roman" w:eastAsia="Times New Roman" w:hAnsi="Times New Roman" w:cs="Times New Roman"/>
          <w:i/>
          <w:iCs/>
        </w:rPr>
        <w:t>SD</w:t>
      </w:r>
      <w:r>
        <w:rPr>
          <w:rFonts w:ascii="Times New Roman" w:eastAsia="Times New Roman" w:hAnsi="Times New Roman" w:cs="Times New Roman"/>
        </w:rPr>
        <w:t xml:space="preserve"> =2.51) than from the Non-comforter (</w:t>
      </w:r>
      <w:r>
        <w:rPr>
          <w:rFonts w:ascii="Times New Roman" w:eastAsia="Times New Roman" w:hAnsi="Times New Roman" w:cs="Times New Roman"/>
          <w:i/>
          <w:iCs/>
        </w:rPr>
        <w:t>M</w:t>
      </w:r>
      <w:r>
        <w:rPr>
          <w:rFonts w:ascii="Times New Roman" w:eastAsia="Times New Roman" w:hAnsi="Times New Roman" w:cs="Times New Roman"/>
        </w:rPr>
        <w:t xml:space="preserve"> = 9.47, </w:t>
      </w:r>
      <w:r>
        <w:rPr>
          <w:rFonts w:ascii="Times New Roman" w:eastAsia="Times New Roman" w:hAnsi="Times New Roman" w:cs="Times New Roman"/>
          <w:i/>
          <w:iCs/>
        </w:rPr>
        <w:t>SD</w:t>
      </w:r>
      <w:r>
        <w:rPr>
          <w:rFonts w:ascii="Times New Roman" w:eastAsia="Times New Roman" w:hAnsi="Times New Roman" w:cs="Times New Roman"/>
        </w:rPr>
        <w:t xml:space="preserve"> = 4.08), </w:t>
      </w:r>
      <w:r>
        <w:rPr>
          <w:rFonts w:ascii="Times New Roman" w:eastAsia="Times New Roman" w:hAnsi="Times New Roman" w:cs="Times New Roman"/>
          <w:i/>
          <w:iCs/>
        </w:rPr>
        <w:t>t</w:t>
      </w:r>
      <w:r>
        <w:rPr>
          <w:rFonts w:ascii="Times New Roman" w:eastAsia="Times New Roman" w:hAnsi="Times New Roman" w:cs="Times New Roman"/>
        </w:rPr>
        <w:t xml:space="preserve">(119) = 12.3, </w:t>
      </w:r>
      <w:r>
        <w:rPr>
          <w:rFonts w:ascii="Times New Roman" w:eastAsia="Times New Roman" w:hAnsi="Times New Roman" w:cs="Times New Roman"/>
          <w:i/>
          <w:iCs/>
        </w:rPr>
        <w:t>p</w:t>
      </w:r>
      <w:r>
        <w:rPr>
          <w:rFonts w:ascii="Times New Roman" w:eastAsia="Times New Roman" w:hAnsi="Times New Roman" w:cs="Times New Roman"/>
        </w:rPr>
        <w:t xml:space="preserve"> &lt; .001.</w:t>
      </w:r>
      <w:r>
        <w:rPr>
          <w:rFonts w:ascii="Times New Roman" w:eastAsia="Times New Roman" w:hAnsi="Times New Roman" w:cs="Times New Roman"/>
          <w:i/>
          <w:iCs/>
        </w:rPr>
        <w:t xml:space="preserve"> </w:t>
      </w:r>
      <w:r>
        <w:rPr>
          <w:rFonts w:ascii="Times New Roman" w:eastAsia="Times New Roman" w:hAnsi="Times New Roman" w:cs="Times New Roman"/>
        </w:rPr>
        <w:t>In contrast, networks in Condition 2 looked equally long at the Comforter (</w:t>
      </w:r>
      <w:r>
        <w:rPr>
          <w:rFonts w:ascii="Times New Roman" w:eastAsia="Times New Roman" w:hAnsi="Times New Roman" w:cs="Times New Roman"/>
          <w:i/>
          <w:iCs/>
        </w:rPr>
        <w:t>M</w:t>
      </w:r>
      <w:r>
        <w:rPr>
          <w:rFonts w:ascii="Times New Roman" w:eastAsia="Times New Roman" w:hAnsi="Times New Roman" w:cs="Times New Roman"/>
        </w:rPr>
        <w:t xml:space="preserve"> =2.46, </w:t>
      </w:r>
      <w:r>
        <w:rPr>
          <w:rFonts w:ascii="Times New Roman" w:eastAsia="Times New Roman" w:hAnsi="Times New Roman" w:cs="Times New Roman"/>
          <w:i/>
          <w:iCs/>
        </w:rPr>
        <w:t>SD</w:t>
      </w:r>
      <w:r>
        <w:rPr>
          <w:rFonts w:ascii="Times New Roman" w:eastAsia="Times New Roman" w:hAnsi="Times New Roman" w:cs="Times New Roman"/>
        </w:rPr>
        <w:t xml:space="preserve"> = 0.97) and Non-comforter (</w:t>
      </w:r>
      <w:r>
        <w:rPr>
          <w:rFonts w:ascii="Times New Roman" w:eastAsia="Times New Roman" w:hAnsi="Times New Roman" w:cs="Times New Roman"/>
          <w:i/>
          <w:iCs/>
        </w:rPr>
        <w:t>M</w:t>
      </w:r>
      <w:r>
        <w:rPr>
          <w:rFonts w:ascii="Times New Roman" w:eastAsia="Times New Roman" w:hAnsi="Times New Roman" w:cs="Times New Roman"/>
        </w:rPr>
        <w:t xml:space="preserve"> = 2.37, </w:t>
      </w:r>
      <w:r>
        <w:rPr>
          <w:rFonts w:ascii="Times New Roman" w:eastAsia="Times New Roman" w:hAnsi="Times New Roman" w:cs="Times New Roman"/>
          <w:i/>
          <w:iCs/>
        </w:rPr>
        <w:t>SD</w:t>
      </w:r>
      <w:r>
        <w:rPr>
          <w:rFonts w:ascii="Times New Roman" w:eastAsia="Times New Roman" w:hAnsi="Times New Roman" w:cs="Times New Roman"/>
        </w:rPr>
        <w:t xml:space="preserve"> = 0.99),  </w:t>
      </w:r>
      <w:r>
        <w:rPr>
          <w:rFonts w:ascii="Times New Roman" w:eastAsia="Times New Roman" w:hAnsi="Times New Roman" w:cs="Times New Roman"/>
          <w:i/>
          <w:iCs/>
        </w:rPr>
        <w:t>t</w:t>
      </w:r>
      <w:r>
        <w:rPr>
          <w:rFonts w:ascii="Times New Roman" w:eastAsia="Times New Roman" w:hAnsi="Times New Roman" w:cs="Times New Roman"/>
        </w:rPr>
        <w:t xml:space="preserve">(119) = 0.88, </w:t>
      </w:r>
      <w:r>
        <w:rPr>
          <w:rFonts w:ascii="Times New Roman" w:eastAsia="Times New Roman" w:hAnsi="Times New Roman" w:cs="Times New Roman"/>
          <w:i/>
          <w:iCs/>
        </w:rPr>
        <w:t xml:space="preserve">p </w:t>
      </w:r>
      <w:r>
        <w:rPr>
          <w:rFonts w:ascii="Times New Roman" w:eastAsia="Times New Roman" w:hAnsi="Times New Roman" w:cs="Times New Roman"/>
        </w:rPr>
        <w:t xml:space="preserve">= .38. </w:t>
      </w:r>
    </w:p>
    <w:p w14:paraId="75FB2CF9" w14:textId="77777777" w:rsidR="00B617C4" w:rsidRDefault="00000000">
      <w:pPr>
        <w:spacing w:line="480" w:lineRule="auto"/>
        <w:ind w:firstLine="720"/>
        <w:rPr>
          <w:rFonts w:ascii="Times New Roman" w:eastAsia="Times New Roman" w:hAnsi="Times New Roman" w:cs="Times New Roman"/>
          <w:b/>
          <w:bCs/>
        </w:rPr>
      </w:pPr>
      <w:r>
        <w:rPr>
          <w:rFonts w:ascii="Times New Roman" w:eastAsia="Times New Roman" w:hAnsi="Times New Roman" w:cs="Times New Roman"/>
          <w:b/>
          <w:bCs/>
        </w:rPr>
        <w:t xml:space="preserve"> </w:t>
      </w:r>
    </w:p>
    <w:p w14:paraId="3FF93AAD" w14:textId="77777777" w:rsidR="00B617C4"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t>Discussion</w:t>
      </w:r>
    </w:p>
    <w:p w14:paraId="574CE02E" w14:textId="77777777" w:rsidR="00B617C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The results of Simulation 3 suggest that an enriched representation supports bidirectional expectations and provides a testable prediction for future behavioral research. However, behavioral data confirming this prediction would be insufficient to distinguish between associative learning and evolutionary account as infants may have an evolved predisposition to interpret both actions as cues to relationship thickness. Thus, to tease these two accounts apart, we examined their diverging </w:t>
      </w:r>
      <w:r>
        <w:rPr>
          <w:rFonts w:ascii="Times New Roman" w:eastAsia="Times New Roman" w:hAnsi="Times New Roman" w:cs="Times New Roman"/>
          <w:i/>
          <w:iCs/>
        </w:rPr>
        <w:t>developmental</w:t>
      </w:r>
      <w:r>
        <w:rPr>
          <w:rFonts w:ascii="Times New Roman" w:eastAsia="Times New Roman" w:hAnsi="Times New Roman" w:cs="Times New Roman"/>
        </w:rPr>
        <w:t xml:space="preserve"> predictions. If infants’ expectations stem from associative learning, we predict that they should increase in strength with experience (Simulation 4) and reflect environmental statistics (Simulation 5). In both simulations we manipulated networks’ pretraining as a proxy for “real world” experience: Simulation 4 varied the total amount of experience, while Simulation 5 held total experience constant and varied the observed ratio of comfort to non-comfort. </w:t>
      </w:r>
    </w:p>
    <w:p w14:paraId="3B411CAD" w14:textId="77777777" w:rsidR="00B617C4" w:rsidRDefault="00B617C4">
      <w:pPr>
        <w:spacing w:line="480" w:lineRule="auto"/>
        <w:jc w:val="center"/>
        <w:rPr>
          <w:rFonts w:ascii="Times New Roman" w:eastAsia="Times New Roman" w:hAnsi="Times New Roman" w:cs="Times New Roman"/>
        </w:rPr>
      </w:pPr>
    </w:p>
    <w:p w14:paraId="4BF5FC21" w14:textId="72A851D9" w:rsidR="00B617C4" w:rsidRDefault="00000000">
      <w:pPr>
        <w:spacing w:line="480" w:lineRule="auto"/>
        <w:jc w:val="center"/>
        <w:rPr>
          <w:rFonts w:ascii="Times New Roman" w:eastAsia="Times New Roman" w:hAnsi="Times New Roman" w:cs="Times New Roman"/>
        </w:rPr>
      </w:pPr>
      <w:r>
        <w:rPr>
          <w:rFonts w:ascii="Times New Roman" w:eastAsia="Times New Roman" w:hAnsi="Times New Roman" w:cs="Times New Roman"/>
          <w:b/>
          <w:bCs/>
        </w:rPr>
        <w:t>Simulation 4</w:t>
      </w:r>
      <w:r w:rsidR="004A4CC8">
        <w:rPr>
          <w:rFonts w:ascii="Times New Roman" w:eastAsia="Times New Roman" w:hAnsi="Times New Roman" w:cs="Times New Roman"/>
          <w:b/>
          <w:bCs/>
        </w:rPr>
        <w:t xml:space="preserve">: Comfort-based expectations vary by experience </w:t>
      </w:r>
    </w:p>
    <w:p w14:paraId="36D64B51" w14:textId="77777777" w:rsidR="00B617C4"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t>Network Architecture, Familiarization, and Test</w:t>
      </w:r>
    </w:p>
    <w:p w14:paraId="56142749" w14:textId="41973F9A" w:rsidR="00B617C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Simulation 4 was identical to Simulation 1 except that networks were tested at three different "ages" that reflected different levels of experience: young, intermediate, and old. The pretraining phase lasted for 100 epochs for young networks, 300 for intermediate networks, and 800 for old networks. This parameter implemented the assumption that infants at different ages necessarily enter experiments with differing amounts of real-world experience. Additionally, the learning rate parameter for young networks was 0.001, 0.01 for intermediate networks, and 0.1 for old networks. This parameter controls the magnitude of the weight changes in the model and corresponds theoretically to the notion that processing speed improves with age. Finally, the number of hidden units was 10 for young networks, 20 for </w:t>
      </w:r>
      <w:r>
        <w:rPr>
          <w:rFonts w:ascii="Times New Roman" w:eastAsia="Times New Roman" w:hAnsi="Times New Roman" w:cs="Times New Roman"/>
        </w:rPr>
        <w:lastRenderedPageBreak/>
        <w:t>intermediate networks, and 30 for old networks. This parameter captures the idea that infants' processing capacity improves with age. All three parameters implemented a simple model of development that is consistent with existing developmental models (e.g., Benton, 2024;</w:t>
      </w:r>
      <w:r w:rsidR="009D5765">
        <w:rPr>
          <w:rFonts w:ascii="Times New Roman" w:eastAsia="Times New Roman" w:hAnsi="Times New Roman" w:cs="Times New Roman"/>
        </w:rPr>
        <w:t xml:space="preserve"> Benton et al., 2024;</w:t>
      </w:r>
      <w:r>
        <w:rPr>
          <w:rFonts w:ascii="Times New Roman" w:eastAsia="Times New Roman" w:hAnsi="Times New Roman" w:cs="Times New Roman"/>
        </w:rPr>
        <w:t xml:space="preserve"> Rakison &amp; Lupyan, 2008).</w:t>
      </w:r>
    </w:p>
    <w:p w14:paraId="5E33F296" w14:textId="77777777" w:rsidR="00B617C4" w:rsidRDefault="00000000">
      <w:pPr>
        <w:spacing w:line="480" w:lineRule="auto"/>
        <w:rPr>
          <w:rFonts w:ascii="Times New Roman" w:eastAsia="Times New Roman" w:hAnsi="Times New Roman" w:cs="Times New Roman"/>
        </w:rPr>
      </w:pPr>
      <w:r>
        <w:rPr>
          <w:rFonts w:ascii="Times New Roman" w:eastAsia="Times New Roman" w:hAnsi="Times New Roman" w:cs="Times New Roman"/>
        </w:rPr>
        <w:t xml:space="preserve"> </w:t>
      </w:r>
    </w:p>
    <w:p w14:paraId="09EE40E2" w14:textId="77777777" w:rsidR="00B617C4"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Results</w:t>
      </w:r>
    </w:p>
    <w:p w14:paraId="143BD028" w14:textId="77777777" w:rsidR="00B617C4"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134165B4" wp14:editId="4EE76FA0">
            <wp:extent cx="5943600" cy="3340100"/>
            <wp:effectExtent l="0" t="0" r="0" b="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4"/>
                    <a:srcRect/>
                    <a:stretch>
                      <a:fillRect/>
                    </a:stretch>
                  </pic:blipFill>
                  <pic:spPr>
                    <a:xfrm>
                      <a:off x="0" y="0"/>
                      <a:ext cx="5943600" cy="3340100"/>
                    </a:xfrm>
                    <a:prstGeom prst="rect">
                      <a:avLst/>
                    </a:prstGeom>
                    <a:ln/>
                  </pic:spPr>
                </pic:pic>
              </a:graphicData>
            </a:graphic>
          </wp:inline>
        </w:drawing>
      </w:r>
    </w:p>
    <w:p w14:paraId="342DBBD4" w14:textId="67375B78" w:rsidR="00FC0766" w:rsidRDefault="00000000" w:rsidP="00FC0766">
      <w:pPr>
        <w:spacing w:before="240" w:after="240"/>
        <w:rPr>
          <w:rFonts w:ascii="Times New Roman" w:eastAsia="Times New Roman" w:hAnsi="Times New Roman" w:cs="Times New Roman"/>
        </w:rPr>
      </w:pPr>
      <w:r>
        <w:rPr>
          <w:rFonts w:ascii="Times New Roman" w:eastAsia="Times New Roman" w:hAnsi="Times New Roman" w:cs="Times New Roman"/>
        </w:rPr>
        <w:t>Figure 5. Networks’ mean expectations of comfort from the Saliva and Non-Saliva Sharers across Conditions, and Age.</w:t>
      </w:r>
      <w:r w:rsidR="00FC0766">
        <w:rPr>
          <w:rFonts w:ascii="Times New Roman" w:eastAsia="Times New Roman" w:hAnsi="Times New Roman" w:cs="Times New Roman"/>
        </w:rPr>
        <w:t xml:space="preserve"> </w:t>
      </w:r>
      <w:r w:rsidR="00FC0766">
        <w:rPr>
          <w:rFonts w:ascii="Times New Roman" w:eastAsia="Times New Roman" w:hAnsi="Times New Roman" w:cs="Times New Roman"/>
        </w:rPr>
        <w:t>Conditions 1</w:t>
      </w:r>
      <w:r w:rsidR="00FC0766">
        <w:rPr>
          <w:rFonts w:ascii="Times New Roman" w:eastAsia="Times New Roman" w:hAnsi="Times New Roman" w:cs="Times New Roman"/>
        </w:rPr>
        <w:t xml:space="preserve"> and 2 </w:t>
      </w:r>
      <w:r w:rsidR="00FC0766">
        <w:rPr>
          <w:rFonts w:ascii="Times New Roman" w:eastAsia="Times New Roman" w:hAnsi="Times New Roman" w:cs="Times New Roman"/>
        </w:rPr>
        <w:t>correspond, respectively, to Experiments 2B</w:t>
      </w:r>
      <w:r w:rsidR="00FC0766">
        <w:rPr>
          <w:rFonts w:ascii="Times New Roman" w:eastAsia="Times New Roman" w:hAnsi="Times New Roman" w:cs="Times New Roman"/>
        </w:rPr>
        <w:t xml:space="preserve"> and </w:t>
      </w:r>
      <w:r w:rsidR="00FC0766">
        <w:rPr>
          <w:rFonts w:ascii="Times New Roman" w:eastAsia="Times New Roman" w:hAnsi="Times New Roman" w:cs="Times New Roman"/>
        </w:rPr>
        <w:t>2D in Thomas et al. (2022).</w:t>
      </w:r>
    </w:p>
    <w:p w14:paraId="55AD4EE5" w14:textId="598B8623" w:rsidR="00B617C4" w:rsidRDefault="00B617C4">
      <w:pPr>
        <w:rPr>
          <w:rFonts w:ascii="Times New Roman" w:eastAsia="Times New Roman" w:hAnsi="Times New Roman" w:cs="Times New Roman"/>
        </w:rPr>
      </w:pPr>
    </w:p>
    <w:p w14:paraId="74B88227" w14:textId="77777777" w:rsidR="00B617C4" w:rsidRDefault="00000000">
      <w:pPr>
        <w:rPr>
          <w:rFonts w:ascii="Times New Roman" w:eastAsia="Times New Roman" w:hAnsi="Times New Roman" w:cs="Times New Roman"/>
        </w:rPr>
      </w:pPr>
      <w:r>
        <w:rPr>
          <w:rFonts w:ascii="Times New Roman" w:eastAsia="Times New Roman" w:hAnsi="Times New Roman" w:cs="Times New Roman"/>
        </w:rPr>
        <w:t xml:space="preserve"> </w:t>
      </w:r>
    </w:p>
    <w:p w14:paraId="6565FFA3" w14:textId="77777777" w:rsidR="00B617C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Figure 5 shows networks’ expectations of comfort from the Saliva and Non-Saliva Sharers across Conditions, Age, and Test Trials. Networks showed increasingly greater expectations of comfort from the Saliva Sharer than from the Non-Saliva Sharer with age (see the grey bar in Condition 1). This conclusion was supported by a linear model in which Age (young vs. intermediate vs. old) was treated as an ordered factor. The outcome measure for this analysis was the difference between the network’s expectation of </w:t>
      </w:r>
      <w:r>
        <w:rPr>
          <w:rFonts w:ascii="Times New Roman" w:eastAsia="Times New Roman" w:hAnsi="Times New Roman" w:cs="Times New Roman"/>
        </w:rPr>
        <w:lastRenderedPageBreak/>
        <w:t xml:space="preserve">comfort from the Saliva Sharer and that for the Non-saliva Sharer. This analysis indicated that in Condition 1 the difference in expectations between the Saliva and Non-salival Sharers increased monotonically with simulated age, </w:t>
      </w:r>
      <w:r>
        <w:rPr>
          <w:rFonts w:ascii="Times New Roman" w:eastAsia="Times New Roman" w:hAnsi="Times New Roman" w:cs="Times New Roman"/>
          <w:i/>
          <w:iCs/>
        </w:rPr>
        <w:t>t</w:t>
      </w:r>
      <w:r>
        <w:rPr>
          <w:rFonts w:ascii="Times New Roman" w:eastAsia="Times New Roman" w:hAnsi="Times New Roman" w:cs="Times New Roman"/>
        </w:rPr>
        <w:t xml:space="preserve">(117) = 3.82, </w:t>
      </w:r>
      <w:r>
        <w:rPr>
          <w:rFonts w:ascii="Times New Roman" w:eastAsia="Times New Roman" w:hAnsi="Times New Roman" w:cs="Times New Roman"/>
          <w:i/>
          <w:iCs/>
        </w:rPr>
        <w:t>p</w:t>
      </w:r>
      <w:r>
        <w:rPr>
          <w:rFonts w:ascii="Times New Roman" w:eastAsia="Times New Roman" w:hAnsi="Times New Roman" w:cs="Times New Roman"/>
        </w:rPr>
        <w:t xml:space="preserve"> &lt; .001; networks showed an equivalent expectation for both sharers across ages in Condition 2, </w:t>
      </w:r>
      <w:r>
        <w:rPr>
          <w:rFonts w:ascii="Times New Roman" w:eastAsia="Times New Roman" w:hAnsi="Times New Roman" w:cs="Times New Roman"/>
          <w:i/>
          <w:iCs/>
        </w:rPr>
        <w:t>t</w:t>
      </w:r>
      <w:r>
        <w:rPr>
          <w:rFonts w:ascii="Times New Roman" w:eastAsia="Times New Roman" w:hAnsi="Times New Roman" w:cs="Times New Roman"/>
        </w:rPr>
        <w:t xml:space="preserve">(117) = -0.18, </w:t>
      </w:r>
      <w:r>
        <w:rPr>
          <w:rFonts w:ascii="Times New Roman" w:eastAsia="Times New Roman" w:hAnsi="Times New Roman" w:cs="Times New Roman"/>
          <w:i/>
          <w:iCs/>
        </w:rPr>
        <w:t>p</w:t>
      </w:r>
      <w:r>
        <w:rPr>
          <w:rFonts w:ascii="Times New Roman" w:eastAsia="Times New Roman" w:hAnsi="Times New Roman" w:cs="Times New Roman"/>
        </w:rPr>
        <w:t xml:space="preserve"> = .86. </w:t>
      </w:r>
    </w:p>
    <w:p w14:paraId="150CF898" w14:textId="77777777" w:rsidR="00B617C4" w:rsidRDefault="00000000">
      <w:pPr>
        <w:spacing w:line="480" w:lineRule="auto"/>
        <w:rPr>
          <w:rFonts w:ascii="Times New Roman" w:eastAsia="Times New Roman" w:hAnsi="Times New Roman" w:cs="Times New Roman"/>
        </w:rPr>
      </w:pPr>
      <w:r>
        <w:rPr>
          <w:rFonts w:ascii="Times New Roman" w:eastAsia="Times New Roman" w:hAnsi="Times New Roman" w:cs="Times New Roman"/>
          <w:b/>
          <w:bCs/>
        </w:rPr>
        <w:t>Discussion</w:t>
      </w:r>
    </w:p>
    <w:p w14:paraId="2DA993AC" w14:textId="77777777" w:rsidR="00B617C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Simulation 4 suggests that the expectation for comfort following saliva sharing strengthens with experience. Likewise, because the association between saliva sharing and comfort is bidirectional, our model predicts that the expectation for saliva sharing following comfort should also increase with experience. Although Simulation 4 offers testable predictions for future behavioral research, data showing age-related increases in this expectation would still not distinguish associative learning from an evolutionary “triggering” account, in which experience merely activates a latent, domain-specific mechanism whose primary job is to strengthen a pre-existing link between saliva sharing and comfort. Instead, a more definitive test would be to measure whether infants' expectations can be modified or reversed by environmental input—a result unexpected for links formed over evolutionary “deep time” (Buss, 2005), but predicted by associative learning. Simulation 5 therefore tested whether networks’ expectations are graded by the statistical structure of experience rather than just total exposure. To do this, we manipulated whether Saliva Sharers provided comfort consistently, intermittently, or not at all. </w:t>
      </w:r>
    </w:p>
    <w:p w14:paraId="5D92E6A7" w14:textId="77777777" w:rsidR="00B617C4" w:rsidRDefault="00B617C4">
      <w:pPr>
        <w:spacing w:line="480" w:lineRule="auto"/>
        <w:ind w:firstLine="720"/>
        <w:rPr>
          <w:rFonts w:ascii="Times New Roman" w:eastAsia="Times New Roman" w:hAnsi="Times New Roman" w:cs="Times New Roman"/>
        </w:rPr>
      </w:pPr>
    </w:p>
    <w:p w14:paraId="67A78535" w14:textId="6C8F56B7" w:rsidR="00B617C4"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Simulation 5</w:t>
      </w:r>
      <w:r w:rsidR="000A7AB7">
        <w:rPr>
          <w:rFonts w:ascii="Times New Roman" w:eastAsia="Times New Roman" w:hAnsi="Times New Roman" w:cs="Times New Roman"/>
          <w:b/>
          <w:bCs/>
        </w:rPr>
        <w:t>: Comfort-based expectations can be reversed</w:t>
      </w:r>
    </w:p>
    <w:p w14:paraId="20AE3BB7" w14:textId="77777777" w:rsidR="00B617C4"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t>Network Architecture and Familiarization</w:t>
      </w:r>
    </w:p>
    <w:p w14:paraId="57359FD0" w14:textId="77777777" w:rsidR="00B617C4" w:rsidRDefault="00000000">
      <w:pPr>
        <w:spacing w:line="480" w:lineRule="auto"/>
        <w:rPr>
          <w:rFonts w:ascii="Times New Roman" w:eastAsia="Times New Roman" w:hAnsi="Times New Roman" w:cs="Times New Roman"/>
          <w:b/>
          <w:bCs/>
          <w:i/>
          <w:iCs/>
        </w:rPr>
      </w:pPr>
      <w:r>
        <w:rPr>
          <w:rFonts w:ascii="Times New Roman" w:eastAsia="Times New Roman" w:hAnsi="Times New Roman" w:cs="Times New Roman"/>
        </w:rPr>
        <w:tab/>
        <w:t xml:space="preserve">This simulation was identical to Simulation 1 with one crucial exception: We parametrically manipulated the relative amount of distressed-based comfort that networks received. We used the following ratios: 100% comfort vs. 0% non-comfort; 90% comfort vs. 10% non-comfort; 80% comfort vs. 20% non-comfort; 20% comfort vs. 80% non-comfort; 10% comfort vs. 90% non-comfort; and 0% comfort vs. 100% non-comfort. To understand this manipulation, consider the 100% comfort vs. 0% non-comfort ratio: Networks exposed to this ratio always observed comfort from the Saliva Sharer. In </w:t>
      </w:r>
      <w:r>
        <w:rPr>
          <w:rFonts w:ascii="Times New Roman" w:eastAsia="Times New Roman" w:hAnsi="Times New Roman" w:cs="Times New Roman"/>
        </w:rPr>
        <w:lastRenderedPageBreak/>
        <w:t xml:space="preserve">contrast, networks exposed to 20% comfort vs. 80% non-comfort observed the Saliva Sharer providing comfort just 20% of the time; they did not observe the Saliva Sharer providing comfort the remaining 80% of the time. These ratios were chosen to form a graded series with mirrored extremes (i.e., 100/0 through 80/20, on the one hand, and 20/80 through 0/100, on the other hand). This enabled us to test whether expectations for comfort and non-comfort are graded by the statistical structure of experience.  </w:t>
      </w:r>
    </w:p>
    <w:p w14:paraId="3F40E194" w14:textId="77777777" w:rsidR="00B617C4" w:rsidRDefault="00000000">
      <w:pPr>
        <w:spacing w:line="480" w:lineRule="auto"/>
        <w:jc w:val="center"/>
        <w:rPr>
          <w:rFonts w:ascii="Times New Roman" w:eastAsia="Times New Roman" w:hAnsi="Times New Roman" w:cs="Times New Roman"/>
          <w:b/>
          <w:bCs/>
        </w:rPr>
      </w:pPr>
      <w:r>
        <w:rPr>
          <w:rFonts w:ascii="Times New Roman" w:eastAsia="Times New Roman" w:hAnsi="Times New Roman" w:cs="Times New Roman"/>
          <w:b/>
          <w:bCs/>
        </w:rPr>
        <w:t>Results</w:t>
      </w:r>
    </w:p>
    <w:p w14:paraId="371ABDA3" w14:textId="77777777" w:rsidR="00B617C4"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noProof/>
        </w:rPr>
        <w:drawing>
          <wp:inline distT="114300" distB="114300" distL="114300" distR="114300" wp14:anchorId="1FB220AC" wp14:editId="0F9C2E45">
            <wp:extent cx="5943600" cy="33401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5"/>
                    <a:srcRect/>
                    <a:stretch>
                      <a:fillRect/>
                    </a:stretch>
                  </pic:blipFill>
                  <pic:spPr>
                    <a:xfrm>
                      <a:off x="0" y="0"/>
                      <a:ext cx="5943600" cy="3340100"/>
                    </a:xfrm>
                    <a:prstGeom prst="rect">
                      <a:avLst/>
                    </a:prstGeom>
                    <a:ln/>
                  </pic:spPr>
                </pic:pic>
              </a:graphicData>
            </a:graphic>
          </wp:inline>
        </w:drawing>
      </w:r>
    </w:p>
    <w:p w14:paraId="5A9D03FB" w14:textId="6F8D8B84" w:rsidR="00384AE6" w:rsidRDefault="00000000" w:rsidP="00384AE6">
      <w:pPr>
        <w:spacing w:before="240" w:after="240"/>
        <w:rPr>
          <w:rFonts w:ascii="Times New Roman" w:eastAsia="Times New Roman" w:hAnsi="Times New Roman" w:cs="Times New Roman"/>
        </w:rPr>
      </w:pPr>
      <w:r>
        <w:rPr>
          <w:rFonts w:ascii="Times New Roman" w:eastAsia="Times New Roman" w:hAnsi="Times New Roman" w:cs="Times New Roman"/>
        </w:rPr>
        <w:t>Figure 6. Networks’ mean expectations of comfort from the Saliva and Non-Saliva Sharers across Conditions and Ratios.</w:t>
      </w:r>
      <w:r w:rsidR="00384AE6">
        <w:rPr>
          <w:rFonts w:ascii="Times New Roman" w:eastAsia="Times New Roman" w:hAnsi="Times New Roman" w:cs="Times New Roman"/>
        </w:rPr>
        <w:t xml:space="preserve"> </w:t>
      </w:r>
      <w:r w:rsidR="00384AE6">
        <w:rPr>
          <w:rFonts w:ascii="Times New Roman" w:eastAsia="Times New Roman" w:hAnsi="Times New Roman" w:cs="Times New Roman"/>
        </w:rPr>
        <w:t>Conditions 1</w:t>
      </w:r>
      <w:r w:rsidR="00384AE6">
        <w:rPr>
          <w:rFonts w:ascii="Times New Roman" w:eastAsia="Times New Roman" w:hAnsi="Times New Roman" w:cs="Times New Roman"/>
        </w:rPr>
        <w:t xml:space="preserve"> and 2</w:t>
      </w:r>
      <w:r w:rsidR="00384AE6">
        <w:rPr>
          <w:rFonts w:ascii="Times New Roman" w:eastAsia="Times New Roman" w:hAnsi="Times New Roman" w:cs="Times New Roman"/>
        </w:rPr>
        <w:t xml:space="preserve"> correspond, respectively, to Experiments 2B</w:t>
      </w:r>
      <w:r w:rsidR="00384AE6">
        <w:rPr>
          <w:rFonts w:ascii="Times New Roman" w:eastAsia="Times New Roman" w:hAnsi="Times New Roman" w:cs="Times New Roman"/>
        </w:rPr>
        <w:t xml:space="preserve"> and </w:t>
      </w:r>
      <w:r w:rsidR="00384AE6">
        <w:rPr>
          <w:rFonts w:ascii="Times New Roman" w:eastAsia="Times New Roman" w:hAnsi="Times New Roman" w:cs="Times New Roman"/>
        </w:rPr>
        <w:t>2D in Thomas et al. (2022).</w:t>
      </w:r>
    </w:p>
    <w:p w14:paraId="17E9EC03" w14:textId="54AEA8D9" w:rsidR="00B617C4" w:rsidRDefault="00B617C4">
      <w:pPr>
        <w:rPr>
          <w:rFonts w:ascii="Times New Roman" w:eastAsia="Times New Roman" w:hAnsi="Times New Roman" w:cs="Times New Roman"/>
        </w:rPr>
      </w:pPr>
    </w:p>
    <w:p w14:paraId="040FE1BF" w14:textId="77777777" w:rsidR="00B617C4" w:rsidRDefault="00B617C4">
      <w:pPr>
        <w:rPr>
          <w:rFonts w:ascii="Times New Roman" w:eastAsia="Times New Roman" w:hAnsi="Times New Roman" w:cs="Times New Roman"/>
          <w:b/>
          <w:bCs/>
        </w:rPr>
      </w:pPr>
    </w:p>
    <w:p w14:paraId="705407C5" w14:textId="77777777" w:rsidR="00B617C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Figure 6 shows networks expectations of comfort from the Saliva and Non-Saliva Sharers across conditions and ratios. In the Experimental condition, expectations of comfort from Saliva Sharers declined steadily as non-comfort became more frequent. In contrast, in the Control condition networks maintained equivalent expectations across all ratios. A linear model with Ratio as an ordered factor showed that for networks in Condition 1, the difference in comfort expectations between Saliva and Non-</w:t>
      </w:r>
      <w:r>
        <w:rPr>
          <w:rFonts w:ascii="Times New Roman" w:eastAsia="Times New Roman" w:hAnsi="Times New Roman" w:cs="Times New Roman"/>
        </w:rPr>
        <w:lastRenderedPageBreak/>
        <w:t xml:space="preserve">Saliva sharers decreased monotonically with Ratio, </w:t>
      </w:r>
      <w:r>
        <w:rPr>
          <w:rFonts w:ascii="Times New Roman" w:eastAsia="Times New Roman" w:hAnsi="Times New Roman" w:cs="Times New Roman"/>
          <w:i/>
          <w:iCs/>
        </w:rPr>
        <w:t>t</w:t>
      </w:r>
      <w:r>
        <w:rPr>
          <w:rFonts w:ascii="Times New Roman" w:eastAsia="Times New Roman" w:hAnsi="Times New Roman" w:cs="Times New Roman"/>
        </w:rPr>
        <w:t xml:space="preserve">(714) = -11.44, </w:t>
      </w:r>
      <w:r>
        <w:rPr>
          <w:rFonts w:ascii="Times New Roman" w:eastAsia="Times New Roman" w:hAnsi="Times New Roman" w:cs="Times New Roman"/>
          <w:i/>
          <w:iCs/>
        </w:rPr>
        <w:t>p</w:t>
      </w:r>
      <w:r>
        <w:rPr>
          <w:rFonts w:ascii="Times New Roman" w:eastAsia="Times New Roman" w:hAnsi="Times New Roman" w:cs="Times New Roman"/>
        </w:rPr>
        <w:t xml:space="preserve"> &lt; .001; networks showed an equivalent expectation for both sharers across ages in Condition 2, </w:t>
      </w:r>
      <w:r>
        <w:rPr>
          <w:rFonts w:ascii="Times New Roman" w:eastAsia="Times New Roman" w:hAnsi="Times New Roman" w:cs="Times New Roman"/>
          <w:i/>
          <w:iCs/>
        </w:rPr>
        <w:t>t</w:t>
      </w:r>
      <w:r>
        <w:rPr>
          <w:rFonts w:ascii="Times New Roman" w:eastAsia="Times New Roman" w:hAnsi="Times New Roman" w:cs="Times New Roman"/>
        </w:rPr>
        <w:t xml:space="preserve">(714) = -0.46, </w:t>
      </w:r>
      <w:r>
        <w:rPr>
          <w:rFonts w:ascii="Times New Roman" w:eastAsia="Times New Roman" w:hAnsi="Times New Roman" w:cs="Times New Roman"/>
          <w:i/>
          <w:iCs/>
        </w:rPr>
        <w:t>p</w:t>
      </w:r>
      <w:r>
        <w:rPr>
          <w:rFonts w:ascii="Times New Roman" w:eastAsia="Times New Roman" w:hAnsi="Times New Roman" w:cs="Times New Roman"/>
        </w:rPr>
        <w:t xml:space="preserve"> = .65. </w:t>
      </w:r>
      <w:r>
        <w:rPr>
          <w:rFonts w:ascii="Times New Roman" w:eastAsia="Times New Roman" w:hAnsi="Times New Roman" w:cs="Times New Roman"/>
          <w:b/>
          <w:bCs/>
        </w:rPr>
        <w:br/>
      </w:r>
    </w:p>
    <w:p w14:paraId="62BAF0EC" w14:textId="77777777" w:rsidR="00B617C4" w:rsidRDefault="00000000">
      <w:pPr>
        <w:spacing w:line="480" w:lineRule="auto"/>
        <w:rPr>
          <w:rFonts w:ascii="Times New Roman" w:eastAsia="Times New Roman" w:hAnsi="Times New Roman" w:cs="Times New Roman"/>
          <w:b/>
          <w:bCs/>
        </w:rPr>
      </w:pPr>
      <w:r>
        <w:rPr>
          <w:rFonts w:ascii="Times New Roman" w:eastAsia="Times New Roman" w:hAnsi="Times New Roman" w:cs="Times New Roman"/>
          <w:b/>
          <w:bCs/>
        </w:rPr>
        <w:t>Discussion</w:t>
      </w:r>
    </w:p>
    <w:p w14:paraId="38B97E5A" w14:textId="77777777" w:rsidR="00B617C4" w:rsidRDefault="00000000">
      <w:pPr>
        <w:spacing w:line="480" w:lineRule="auto"/>
        <w:rPr>
          <w:rFonts w:ascii="Times New Roman" w:eastAsia="Times New Roman" w:hAnsi="Times New Roman" w:cs="Times New Roman"/>
        </w:rPr>
      </w:pPr>
      <w:r>
        <w:rPr>
          <w:rFonts w:ascii="Times New Roman" w:eastAsia="Times New Roman" w:hAnsi="Times New Roman" w:cs="Times New Roman"/>
          <w:b/>
          <w:bCs/>
        </w:rPr>
        <w:tab/>
      </w:r>
      <w:r>
        <w:rPr>
          <w:rFonts w:ascii="Times New Roman" w:eastAsia="Times New Roman" w:hAnsi="Times New Roman" w:cs="Times New Roman"/>
        </w:rPr>
        <w:t xml:space="preserve">Consistent with an associative learning account, Simulation 5 showed that expectations can be modified or reversed by environmental input. Taken together, Simulations 1 to 5 suggest that infants’ expectations about comfort can emerge from and be shaped by a domain-general associative learning mechanism that operates over the statistics of everyday experience and that yields comfort-specific, bidirectional expectations that undergo a developmental progression and can be reversed. </w:t>
      </w:r>
    </w:p>
    <w:p w14:paraId="3F311CC2" w14:textId="77777777" w:rsidR="00B617C4" w:rsidRDefault="00000000">
      <w:pPr>
        <w:spacing w:before="240" w:after="240" w:line="480" w:lineRule="auto"/>
        <w:jc w:val="center"/>
        <w:rPr>
          <w:rFonts w:ascii="Times New Roman" w:eastAsia="Times New Roman" w:hAnsi="Times New Roman" w:cs="Times New Roman"/>
          <w:b/>
          <w:bCs/>
        </w:rPr>
      </w:pPr>
      <w:r>
        <w:rPr>
          <w:rFonts w:ascii="Times New Roman" w:eastAsia="Times New Roman" w:hAnsi="Times New Roman" w:cs="Times New Roman"/>
          <w:b/>
          <w:bCs/>
        </w:rPr>
        <w:t>General Discussion</w:t>
      </w:r>
    </w:p>
    <w:p w14:paraId="5A29250D" w14:textId="7912F14E" w:rsidR="00B617C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Thomas et al. (2022) showed that 8.5- to 10-month-old infants expect an individual who previously shared saliva with a partner also to comfort that partner during times of distress. The goal of the current paper was to offer a mechanistic explanation for these findings and to test whether a connectionist computational instantiation of our account could explain them. Simulation 1 showed that an associative learning mechanism that links saliva sharing to comforting via an enriched representation was sufficient to explain infants’ looking behavior in Thomas et al. (2022). Simulation 2 revealed that this expectation is specific to comfort rather than to the identity of a particular individual. Simulation 3 extended these findings by showing that expectations of saliva sharing and comforting could be bidirectional, and Simulations 4 and 5 showed these expectations are contingent upon the statistics of visual experience. Together, these simulations provide an experienced-based, associative-learning account of how preverbal infants come to use saliva as a cue for comfort. In doing so, this work adds to a broader tradition in developmental cognitive science that uses connectionist models to demonstrate that  domain-general associative processes are sufficient to account for infant behavior in looking-time tasks (e.g., Benton, </w:t>
      </w:r>
      <w:r w:rsidR="009D5765">
        <w:rPr>
          <w:rFonts w:ascii="Times New Roman" w:eastAsia="Times New Roman" w:hAnsi="Times New Roman" w:cs="Times New Roman"/>
        </w:rPr>
        <w:t xml:space="preserve">2023, </w:t>
      </w:r>
      <w:r>
        <w:rPr>
          <w:rFonts w:ascii="Times New Roman" w:eastAsia="Times New Roman" w:hAnsi="Times New Roman" w:cs="Times New Roman"/>
        </w:rPr>
        <w:t xml:space="preserve">2024; Benton &amp; Lapan, 2021; Christiansen &amp; Curtin, 1999; Cohen et al., 2002; Munakata et al., 1997; Schlesinger &amp; Casey, 2003; Vong et al., 2024). </w:t>
      </w:r>
    </w:p>
    <w:p w14:paraId="777F571C" w14:textId="77777777" w:rsidR="00B617C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lastRenderedPageBreak/>
        <w:t xml:space="preserve">Although our model demonstrates that associative learning is sufficient to explain how infants come to link saliva sharing to comfort, it does not rule out the possibility that this expectation has an evolutionary basis. Indeed, research in non-human primates shows that food sharing and reciprocity are predictive of kinship and social affiliation (e.g., Jaeggi &amp; Gurven, 2013; Silk, 2003). For example, chimpanzees preferentially share food with kin (e.g., Silk et al., 2013), and food sharing in bonobos predicts grooming behavior (e.g., de Waal, 1989). These observations suggest that evolutionary processes may have established the co-occurrence of saliva sharing and comfort. Thus, one way to reconcile the current account with an evolutionary one is to maintain that domain-general associative learning operates on the environmental statistics of the local ecologies that evolution provides. In other words, evolutionary history may help to explain </w:t>
      </w:r>
      <w:r>
        <w:rPr>
          <w:rFonts w:ascii="Times New Roman" w:eastAsia="Times New Roman" w:hAnsi="Times New Roman" w:cs="Times New Roman"/>
          <w:i/>
          <w:iCs/>
        </w:rPr>
        <w:t>why</w:t>
      </w:r>
      <w:r>
        <w:rPr>
          <w:rFonts w:ascii="Times New Roman" w:eastAsia="Times New Roman" w:hAnsi="Times New Roman" w:cs="Times New Roman"/>
        </w:rPr>
        <w:t xml:space="preserve"> certain cues are informative; our account explains </w:t>
      </w:r>
      <w:r>
        <w:rPr>
          <w:rFonts w:ascii="Times New Roman" w:eastAsia="Times New Roman" w:hAnsi="Times New Roman" w:cs="Times New Roman"/>
          <w:i/>
          <w:iCs/>
        </w:rPr>
        <w:t>how</w:t>
      </w:r>
      <w:r>
        <w:rPr>
          <w:rFonts w:ascii="Times New Roman" w:eastAsia="Times New Roman" w:hAnsi="Times New Roman" w:cs="Times New Roman"/>
        </w:rPr>
        <w:t xml:space="preserve"> infants come to detect them in the first place. </w:t>
      </w:r>
    </w:p>
    <w:p w14:paraId="6B3DC2E2" w14:textId="77777777" w:rsidR="00B617C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Although the current simulations demonstrate that associative learning can link saliva sharing to comfort, they do not show that infants’ knowledge necessarily derives from this process. To validate this proposed mechanism empirically, behavioral research must also show that these expectations are bidirectional and learned. For instance, an associative account would be supported by evidence that infants expect comfort following saliva sharing and that this expectation strengthens with experience. Future research might also test the effects of experience on infants’ expectations about thick relationships by examining children who have experienced neglect or maltreatment. In line with evidence that early caregiving environments fine-tune attention and social cognition (e.g., Pollak &amp; Tolley-Schell, 2003; Pollak &amp; Sinha, 2002), an associative learning account predicts that the inconsistent social cues present in neglectful environments will make children less likely to associate saliva sharing with comfort than children from typical caregiving backgrounds. Evidence of experience-dependent developmental trajectories would provide strong support for an associative account. </w:t>
      </w:r>
    </w:p>
    <w:p w14:paraId="3B6A3FBA" w14:textId="77777777" w:rsidR="00B617C4" w:rsidRDefault="00000000">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More broadly, a key advantage of the current modeling approach is that it can naturally accommodate variation across individuals and environments. For example, in addition to manipulating the statistics of experience, our framework can be extended to model individual differences and cultural </w:t>
      </w:r>
      <w:r>
        <w:rPr>
          <w:rFonts w:ascii="Times New Roman" w:eastAsia="Times New Roman" w:hAnsi="Times New Roman" w:cs="Times New Roman"/>
        </w:rPr>
        <w:lastRenderedPageBreak/>
        <w:t xml:space="preserve">variation by altering how quickly the model learns (i.e., the learning rate), how much information it can represent (i.e., the number of hidden units), and how much of that information is forgotten (e.g., weight decay). Ultimately, we hope that this generative framework facilitates dialogue between modeling and behavioral data that generates deeper insights into the mechanisms that shape social cognition. </w:t>
      </w:r>
    </w:p>
    <w:p w14:paraId="761BA480" w14:textId="77777777" w:rsidR="00B617C4" w:rsidRDefault="00000000">
      <w:pPr>
        <w:spacing w:line="480" w:lineRule="auto"/>
        <w:ind w:firstLine="720"/>
        <w:rPr>
          <w:rFonts w:ascii="Times New Roman" w:eastAsia="Times New Roman" w:hAnsi="Times New Roman" w:cs="Times New Roman"/>
          <w:b/>
          <w:bCs/>
        </w:rPr>
      </w:pPr>
      <w:r>
        <w:rPr>
          <w:rFonts w:ascii="Times New Roman" w:eastAsia="Times New Roman" w:hAnsi="Times New Roman" w:cs="Times New Roman"/>
        </w:rPr>
        <w:t xml:space="preserve">Moving forward, we expect that integrating findings from behavioral work will necessitate refinements to the model’s current architecture and assumptions. For instance, the current model used localist, semantically neutral representations to facilitate model interpretation; however, this approach simplifies the richness of infants’ real-world experiences. A natural next step would be to instantiate the current proposal into neural networks that better capture naturalistic social inputs. In addition, the relationship between training epochs and real-world experience remains an open question in the developmental cognitive sciences. Although it could be argued that the model requires a significant amount of training, the goal of our pretraining phase was not to suggest that infants observe hundreds of explicit saliva-sharing events. Rather, it was to ensure that saliva sharing and comfort were reliably correlated given that it is the presence of such correlations—rather than the sheer amount of experience—that is the theoretical linchpin of the current proposal. Future work might explore the minimum amount of experience required to form social expectations in both infants and models. Notably, Simulation 4 suggests that the link between saliva sharing and comfort can be established in as few as 300 epochs, suggesting that the structure of the environment, rather than the sheer volume of experience, is central to the development of infants’ social expectations. </w:t>
      </w:r>
      <w:r>
        <w:rPr>
          <w:rFonts w:ascii="Times New Roman" w:eastAsia="Times New Roman" w:hAnsi="Times New Roman" w:cs="Times New Roman"/>
        </w:rPr>
        <w:br/>
      </w:r>
      <w:r>
        <w:rPr>
          <w:rFonts w:ascii="Times New Roman" w:eastAsia="Times New Roman" w:hAnsi="Times New Roman" w:cs="Times New Roman"/>
        </w:rPr>
        <w:tab/>
        <w:t>In sum, by demonstrating that an enriched mental representation that arises from associative learning is sufficient to explain infants’ responses in Thomas et al. (2022), we show how abstract social expectations can emerge from simple learning mechanisms and experience. In doing so, our findings underscore the value of computational modeling for elucidating mechanisms of early social reasoning.</w:t>
      </w:r>
      <w:r>
        <w:br w:type="page"/>
      </w:r>
    </w:p>
    <w:p w14:paraId="1D82ABDA" w14:textId="77777777" w:rsidR="00B617C4" w:rsidRDefault="00000000">
      <w:pPr>
        <w:spacing w:before="240" w:after="240"/>
        <w:jc w:val="center"/>
        <w:rPr>
          <w:rFonts w:ascii="Times New Roman" w:eastAsia="Times New Roman" w:hAnsi="Times New Roman" w:cs="Times New Roman"/>
          <w:b/>
          <w:bCs/>
        </w:rPr>
      </w:pPr>
      <w:r>
        <w:rPr>
          <w:rFonts w:ascii="Times New Roman" w:eastAsia="Times New Roman" w:hAnsi="Times New Roman" w:cs="Times New Roman"/>
          <w:b/>
          <w:bCs/>
        </w:rPr>
        <w:lastRenderedPageBreak/>
        <w:t>References</w:t>
      </w:r>
    </w:p>
    <w:p w14:paraId="39078CA8" w14:textId="77777777" w:rsidR="00B617C4" w:rsidRDefault="00000000">
      <w:pPr>
        <w:spacing w:before="240" w:after="240" w:line="480" w:lineRule="auto"/>
        <w:ind w:left="1440" w:hanging="720"/>
        <w:rPr>
          <w:rFonts w:ascii="Times New Roman" w:eastAsia="Times New Roman" w:hAnsi="Times New Roman" w:cs="Times New Roman"/>
        </w:rPr>
      </w:pPr>
      <w:r>
        <w:rPr>
          <w:rFonts w:ascii="Times New Roman" w:eastAsia="Times New Roman" w:hAnsi="Times New Roman" w:cs="Times New Roman"/>
        </w:rPr>
        <w:t xml:space="preserve">Ainsworth, M. D. S., Bell, S. M., &amp; Stayton, D. F. (1974). Infant-mother attachment and social development: Socialization as a product of reciprocal responsiveness to signals. In M. P. M. Richards (Ed.), The integration of a child into a social world , (pp (Vol. 316, pp. 99–135). Cambridge University Press. </w:t>
      </w:r>
      <w:r w:rsidRPr="009D5765">
        <w:rPr>
          <w:rFonts w:ascii="Times New Roman" w:eastAsia="Times New Roman" w:hAnsi="Times New Roman" w:cs="Times New Roman"/>
          <w:u w:val="single"/>
        </w:rPr>
        <w:t>https://psycnet.apa.org/fulltext/1975-07118-004.pdf</w:t>
      </w:r>
    </w:p>
    <w:p w14:paraId="1CD761DB" w14:textId="3D2EF6FD" w:rsidR="009D5765" w:rsidRDefault="009D5765">
      <w:pPr>
        <w:spacing w:before="240" w:after="240" w:line="480" w:lineRule="auto"/>
        <w:ind w:left="1440" w:hanging="720"/>
        <w:rPr>
          <w:rFonts w:ascii="Times New Roman" w:eastAsia="Times New Roman" w:hAnsi="Times New Roman" w:cs="Times New Roman"/>
        </w:rPr>
      </w:pPr>
      <w:r w:rsidRPr="009D5765">
        <w:rPr>
          <w:rFonts w:ascii="Times New Roman" w:eastAsia="Times New Roman" w:hAnsi="Times New Roman" w:cs="Times New Roman"/>
        </w:rPr>
        <w:t xml:space="preserve">Benton, D. T. (2023). But what is the mechanism?’: Demystifying the ever elusive ‘developmental mechanism. </w:t>
      </w:r>
      <w:r w:rsidRPr="009D5765">
        <w:rPr>
          <w:rFonts w:ascii="Times New Roman" w:eastAsia="Times New Roman" w:hAnsi="Times New Roman" w:cs="Times New Roman"/>
          <w:i/>
          <w:iCs/>
        </w:rPr>
        <w:t>Infant and Child Development</w:t>
      </w:r>
      <w:r w:rsidRPr="009D5765">
        <w:rPr>
          <w:rFonts w:ascii="Times New Roman" w:eastAsia="Times New Roman" w:hAnsi="Times New Roman" w:cs="Times New Roman"/>
        </w:rPr>
        <w:t xml:space="preserve">, </w:t>
      </w:r>
      <w:r w:rsidRPr="009D5765">
        <w:rPr>
          <w:rFonts w:ascii="Times New Roman" w:eastAsia="Times New Roman" w:hAnsi="Times New Roman" w:cs="Times New Roman"/>
          <w:i/>
          <w:iCs/>
        </w:rPr>
        <w:t>32</w:t>
      </w:r>
      <w:r w:rsidRPr="009D5765">
        <w:rPr>
          <w:rFonts w:ascii="Times New Roman" w:eastAsia="Times New Roman" w:hAnsi="Times New Roman" w:cs="Times New Roman"/>
        </w:rPr>
        <w:t>(6), e2355.</w:t>
      </w:r>
      <w:r>
        <w:rPr>
          <w:rFonts w:ascii="Times New Roman" w:eastAsia="Times New Roman" w:hAnsi="Times New Roman" w:cs="Times New Roman"/>
        </w:rPr>
        <w:t xml:space="preserve"> </w:t>
      </w:r>
      <w:r w:rsidRPr="009D5765">
        <w:rPr>
          <w:rFonts w:ascii="Times New Roman" w:eastAsia="Times New Roman" w:hAnsi="Times New Roman" w:cs="Times New Roman"/>
          <w:u w:val="single"/>
        </w:rPr>
        <w:t>https://doi.org/10.1002/icd.2355</w:t>
      </w:r>
    </w:p>
    <w:p w14:paraId="71ABE74A" w14:textId="6B75AF6A" w:rsidR="00B617C4" w:rsidRDefault="00000000">
      <w:pPr>
        <w:spacing w:before="240" w:after="240" w:line="480" w:lineRule="auto"/>
        <w:ind w:left="1440" w:hanging="720"/>
      </w:pPr>
      <w:r>
        <w:rPr>
          <w:rFonts w:ascii="Times New Roman" w:eastAsia="Times New Roman" w:hAnsi="Times New Roman" w:cs="Times New Roman"/>
        </w:rPr>
        <w:t>Benton, D. T. (2024). An associative-learning account of how infants learn about causal action in animates and inanimates: A critical reexamination of four classic studies. Journal of Experimental Psychology: General, 154(2), 497–521.</w:t>
      </w:r>
      <w:hyperlink r:id="rId16">
        <w:r w:rsidR="00B617C4">
          <w:rPr>
            <w:rFonts w:ascii="Times New Roman" w:eastAsia="Times New Roman" w:hAnsi="Times New Roman" w:cs="Times New Roman"/>
          </w:rPr>
          <w:t xml:space="preserve"> </w:t>
        </w:r>
      </w:hyperlink>
      <w:hyperlink r:id="rId17">
        <w:r w:rsidR="00B617C4">
          <w:rPr>
            <w:rFonts w:ascii="Times New Roman" w:eastAsia="Times New Roman" w:hAnsi="Times New Roman" w:cs="Times New Roman"/>
            <w:u w:val="single"/>
          </w:rPr>
          <w:t>https://doi.org/10.1037/xge0001656</w:t>
        </w:r>
      </w:hyperlink>
    </w:p>
    <w:p w14:paraId="675ECACE" w14:textId="356E8915" w:rsidR="009D5765" w:rsidRPr="009D5765" w:rsidRDefault="009D5765">
      <w:pPr>
        <w:spacing w:before="240" w:after="240" w:line="480" w:lineRule="auto"/>
        <w:ind w:left="1440" w:hanging="720"/>
        <w:rPr>
          <w:rFonts w:ascii="Times New Roman" w:eastAsia="Times New Roman" w:hAnsi="Times New Roman" w:cs="Times New Roman"/>
        </w:rPr>
      </w:pPr>
      <w:r w:rsidRPr="009D5765">
        <w:rPr>
          <w:rFonts w:ascii="Times New Roman" w:eastAsia="Times New Roman" w:hAnsi="Times New Roman" w:cs="Times New Roman"/>
        </w:rPr>
        <w:t xml:space="preserve">Benton, D. T., Kamper, D., Beaton, R. M., &amp; Sobel, D. M. (2024). Don't throw the associative baby out with the Bayesian bathwater: Children are more associative when reasoning retrospectively under information processing demands. </w:t>
      </w:r>
      <w:r w:rsidRPr="009D5765">
        <w:rPr>
          <w:rFonts w:ascii="Times New Roman" w:eastAsia="Times New Roman" w:hAnsi="Times New Roman" w:cs="Times New Roman"/>
          <w:i/>
          <w:iCs/>
        </w:rPr>
        <w:t>Developmental Science</w:t>
      </w:r>
      <w:r w:rsidRPr="009D5765">
        <w:rPr>
          <w:rFonts w:ascii="Times New Roman" w:eastAsia="Times New Roman" w:hAnsi="Times New Roman" w:cs="Times New Roman"/>
        </w:rPr>
        <w:t xml:space="preserve">, </w:t>
      </w:r>
      <w:r w:rsidRPr="009D5765">
        <w:rPr>
          <w:rFonts w:ascii="Times New Roman" w:eastAsia="Times New Roman" w:hAnsi="Times New Roman" w:cs="Times New Roman"/>
          <w:i/>
          <w:iCs/>
        </w:rPr>
        <w:t>27</w:t>
      </w:r>
      <w:r w:rsidRPr="009D5765">
        <w:rPr>
          <w:rFonts w:ascii="Times New Roman" w:eastAsia="Times New Roman" w:hAnsi="Times New Roman" w:cs="Times New Roman"/>
        </w:rPr>
        <w:t>(3), e13464.</w:t>
      </w:r>
      <w:r>
        <w:rPr>
          <w:rFonts w:ascii="Times New Roman" w:eastAsia="Times New Roman" w:hAnsi="Times New Roman" w:cs="Times New Roman"/>
        </w:rPr>
        <w:t xml:space="preserve"> </w:t>
      </w:r>
      <w:r w:rsidRPr="009D5765">
        <w:rPr>
          <w:rFonts w:ascii="Times New Roman" w:eastAsia="Times New Roman" w:hAnsi="Times New Roman" w:cs="Times New Roman"/>
          <w:u w:val="single"/>
        </w:rPr>
        <w:t>https://doi.org/10.1111/desc.13464</w:t>
      </w:r>
    </w:p>
    <w:p w14:paraId="6AD4EF0D" w14:textId="77777777" w:rsidR="00B617C4" w:rsidRDefault="00000000">
      <w:pPr>
        <w:spacing w:before="240" w:after="240" w:line="480" w:lineRule="auto"/>
        <w:ind w:left="1440" w:hanging="720"/>
        <w:rPr>
          <w:rFonts w:ascii="Times New Roman" w:eastAsia="Times New Roman" w:hAnsi="Times New Roman" w:cs="Times New Roman"/>
          <w:u w:val="single"/>
        </w:rPr>
      </w:pPr>
      <w:r>
        <w:rPr>
          <w:rFonts w:ascii="Times New Roman" w:eastAsia="Times New Roman" w:hAnsi="Times New Roman" w:cs="Times New Roman"/>
        </w:rPr>
        <w:t>Benton, D. T., &amp; Lapan, C. (2022). Moral masters or moral apprentices? A connectionist account of sociomoral evaluation in preverbal infants. Cognitive Development, 62, 101164.</w:t>
      </w:r>
      <w:hyperlink r:id="rId18">
        <w:r w:rsidR="00B617C4">
          <w:rPr>
            <w:rFonts w:ascii="Times New Roman" w:eastAsia="Times New Roman" w:hAnsi="Times New Roman" w:cs="Times New Roman"/>
          </w:rPr>
          <w:t xml:space="preserve"> </w:t>
        </w:r>
      </w:hyperlink>
      <w:hyperlink r:id="rId19">
        <w:r w:rsidR="00B617C4">
          <w:rPr>
            <w:rFonts w:ascii="Times New Roman" w:eastAsia="Times New Roman" w:hAnsi="Times New Roman" w:cs="Times New Roman"/>
            <w:u w:val="single"/>
          </w:rPr>
          <w:t>https://doi.org/10.1016/j.cogdev.2022.101164</w:t>
        </w:r>
      </w:hyperlink>
    </w:p>
    <w:p w14:paraId="05E3B897" w14:textId="77777777" w:rsidR="00B617C4" w:rsidRDefault="00000000">
      <w:pPr>
        <w:spacing w:before="240" w:after="240" w:line="480" w:lineRule="auto"/>
        <w:ind w:left="1440" w:hanging="720"/>
        <w:rPr>
          <w:rFonts w:ascii="Times New Roman" w:eastAsia="Times New Roman" w:hAnsi="Times New Roman" w:cs="Times New Roman"/>
        </w:rPr>
      </w:pPr>
      <w:r>
        <w:rPr>
          <w:rFonts w:ascii="Times New Roman" w:eastAsia="Times New Roman" w:hAnsi="Times New Roman" w:cs="Times New Roman"/>
          <w:highlight w:val="white"/>
        </w:rPr>
        <w:t xml:space="preserve">Buss, D. M. (Ed.). (2005). </w:t>
      </w:r>
      <w:r>
        <w:rPr>
          <w:rFonts w:ascii="Times New Roman" w:eastAsia="Times New Roman" w:hAnsi="Times New Roman" w:cs="Times New Roman"/>
          <w:i/>
          <w:iCs/>
          <w:highlight w:val="white"/>
        </w:rPr>
        <w:t>The handbook of evolutionary psychology</w:t>
      </w:r>
      <w:r>
        <w:rPr>
          <w:rFonts w:ascii="Times New Roman" w:eastAsia="Times New Roman" w:hAnsi="Times New Roman" w:cs="Times New Roman"/>
          <w:highlight w:val="white"/>
        </w:rPr>
        <w:t>. John Wiley &amp; Sons.</w:t>
      </w:r>
    </w:p>
    <w:p w14:paraId="0C2D3DDE" w14:textId="77777777" w:rsidR="00B617C4" w:rsidRDefault="00000000">
      <w:pPr>
        <w:spacing w:before="240" w:after="240" w:line="480" w:lineRule="auto"/>
        <w:ind w:left="1440" w:hanging="720"/>
        <w:rPr>
          <w:rFonts w:ascii="Times New Roman" w:eastAsia="Times New Roman" w:hAnsi="Times New Roman" w:cs="Times New Roman"/>
          <w:u w:val="single"/>
        </w:rPr>
      </w:pPr>
      <w:r>
        <w:rPr>
          <w:rFonts w:ascii="Times New Roman" w:eastAsia="Times New Roman" w:hAnsi="Times New Roman" w:cs="Times New Roman"/>
        </w:rPr>
        <w:t>Christiansen, M. H., &amp; Curtin, S. (1999). Transfer of learning: rule acquisition or statistical learning?. Trends in Cognitive Sciences, 3(8), 289-290.</w:t>
      </w:r>
      <w:hyperlink r:id="rId20">
        <w:r w:rsidR="00B617C4">
          <w:rPr>
            <w:rFonts w:ascii="Times New Roman" w:eastAsia="Times New Roman" w:hAnsi="Times New Roman" w:cs="Times New Roman"/>
          </w:rPr>
          <w:t xml:space="preserve"> </w:t>
        </w:r>
      </w:hyperlink>
      <w:hyperlink r:id="rId21">
        <w:r w:rsidR="00B617C4">
          <w:rPr>
            <w:rFonts w:ascii="Times New Roman" w:eastAsia="Times New Roman" w:hAnsi="Times New Roman" w:cs="Times New Roman"/>
            <w:u w:val="single"/>
          </w:rPr>
          <w:t>https://doi.org/10.1016/S1364-6613(99)01356-X</w:t>
        </w:r>
      </w:hyperlink>
    </w:p>
    <w:p w14:paraId="3EAB2C4A" w14:textId="77777777" w:rsidR="00B617C4" w:rsidRDefault="00000000">
      <w:pPr>
        <w:spacing w:before="240" w:after="240" w:line="480" w:lineRule="auto"/>
        <w:ind w:left="1440" w:hanging="720"/>
        <w:rPr>
          <w:rFonts w:ascii="Times New Roman" w:eastAsia="Times New Roman" w:hAnsi="Times New Roman" w:cs="Times New Roman"/>
          <w:u w:val="single"/>
        </w:rPr>
      </w:pPr>
      <w:r>
        <w:rPr>
          <w:rFonts w:ascii="Times New Roman" w:eastAsia="Times New Roman" w:hAnsi="Times New Roman" w:cs="Times New Roman"/>
        </w:rPr>
        <w:lastRenderedPageBreak/>
        <w:t>Ciftci, B. G., Kominsky, J. F., &amp; Csibra, G. (2025). Do infants use cues of saliva-sharing to infer close relationships? A replication of Thomas et al.(2022). Royal Society Open Science, 12(4), 240229.</w:t>
      </w:r>
      <w:hyperlink r:id="rId22">
        <w:r w:rsidR="00B617C4">
          <w:rPr>
            <w:rFonts w:ascii="Times New Roman" w:eastAsia="Times New Roman" w:hAnsi="Times New Roman" w:cs="Times New Roman"/>
          </w:rPr>
          <w:t xml:space="preserve"> </w:t>
        </w:r>
      </w:hyperlink>
      <w:hyperlink r:id="rId23">
        <w:r w:rsidR="00B617C4">
          <w:rPr>
            <w:rFonts w:ascii="Times New Roman" w:eastAsia="Times New Roman" w:hAnsi="Times New Roman" w:cs="Times New Roman"/>
            <w:u w:val="single"/>
          </w:rPr>
          <w:t>https://doi.org/10.1098/rsos.240229</w:t>
        </w:r>
      </w:hyperlink>
    </w:p>
    <w:p w14:paraId="47CEE707" w14:textId="77777777" w:rsidR="00B617C4" w:rsidRDefault="00000000">
      <w:pPr>
        <w:spacing w:before="240" w:after="240" w:line="480" w:lineRule="auto"/>
        <w:ind w:left="1440" w:hanging="720"/>
        <w:rPr>
          <w:rFonts w:ascii="Times New Roman" w:eastAsia="Times New Roman" w:hAnsi="Times New Roman" w:cs="Times New Roman"/>
        </w:rPr>
      </w:pPr>
      <w:r>
        <w:rPr>
          <w:rFonts w:ascii="Times New Roman" w:eastAsia="Times New Roman" w:hAnsi="Times New Roman" w:cs="Times New Roman"/>
        </w:rPr>
        <w:t xml:space="preserve">Clark, M. S., &amp; Mills, J. (1979). Interpersonal attraction in exchange and communal relationships. Journal of Personality and Social Psychology, 37(1), 12–24. </w:t>
      </w:r>
      <w:hyperlink r:id="rId24">
        <w:r w:rsidR="00B617C4">
          <w:rPr>
            <w:rFonts w:ascii="Times New Roman" w:eastAsia="Times New Roman" w:hAnsi="Times New Roman" w:cs="Times New Roman"/>
            <w:u w:val="single"/>
          </w:rPr>
          <w:t>https://doi.org/10.1037/0022-3514.37.1.12</w:t>
        </w:r>
      </w:hyperlink>
    </w:p>
    <w:p w14:paraId="6781D0B5" w14:textId="77777777" w:rsidR="00B617C4" w:rsidRDefault="00000000">
      <w:pPr>
        <w:spacing w:before="240" w:after="240" w:line="480" w:lineRule="auto"/>
        <w:ind w:left="1440" w:hanging="720"/>
        <w:rPr>
          <w:rFonts w:ascii="Times New Roman" w:eastAsia="Times New Roman" w:hAnsi="Times New Roman" w:cs="Times New Roman"/>
        </w:rPr>
      </w:pPr>
      <w:r>
        <w:rPr>
          <w:rFonts w:ascii="Times New Roman" w:eastAsia="Times New Roman" w:hAnsi="Times New Roman" w:cs="Times New Roman"/>
        </w:rPr>
        <w:t>Cohen, L. B., Chaput, H. H., &amp; Cashon, C. H. (2002). A constructivist model of infant cognition. Cognitive Development, 17(3-4), 1323-1343.</w:t>
      </w:r>
      <w:hyperlink r:id="rId25">
        <w:r w:rsidR="00B617C4">
          <w:rPr>
            <w:rFonts w:ascii="Times New Roman" w:eastAsia="Times New Roman" w:hAnsi="Times New Roman" w:cs="Times New Roman"/>
          </w:rPr>
          <w:t xml:space="preserve"> </w:t>
        </w:r>
      </w:hyperlink>
      <w:hyperlink r:id="rId26">
        <w:r w:rsidR="00B617C4">
          <w:rPr>
            <w:rFonts w:ascii="Times New Roman" w:eastAsia="Times New Roman" w:hAnsi="Times New Roman" w:cs="Times New Roman"/>
            <w:u w:val="single"/>
          </w:rPr>
          <w:t>https://doi.org/10.1016/S0885-2014(02)00124-7</w:t>
        </w:r>
      </w:hyperlink>
    </w:p>
    <w:p w14:paraId="7A308F6F" w14:textId="77777777" w:rsidR="00B617C4" w:rsidRDefault="00000000">
      <w:pPr>
        <w:spacing w:before="240" w:after="240" w:line="480" w:lineRule="auto"/>
        <w:ind w:left="1440" w:hanging="720"/>
        <w:rPr>
          <w:rFonts w:ascii="Times New Roman" w:eastAsia="Times New Roman" w:hAnsi="Times New Roman" w:cs="Times New Roman"/>
        </w:rPr>
      </w:pPr>
      <w:r>
        <w:rPr>
          <w:rFonts w:ascii="Times New Roman" w:eastAsia="Times New Roman" w:hAnsi="Times New Roman" w:cs="Times New Roman"/>
        </w:rPr>
        <w:t>Fiske, A. P. (2004). Four modes of constituting Relationships: Consubstantial Assimilation; Space, Magnitude, Time, and Force; Concrete Procedures; Abstract Symbolism. In Relational Models Theory. A contemporary Overview (pp. 61–146)Káldy, Z., &amp; Leslie, A. M. (2003). Identification of objects in 9‐month‐old infants integrating‘what’and ‘where’information. Developmental Science, 6(3), 360-373.</w:t>
      </w:r>
      <w:hyperlink r:id="rId27">
        <w:r w:rsidR="00B617C4">
          <w:rPr>
            <w:rFonts w:ascii="Times New Roman" w:eastAsia="Times New Roman" w:hAnsi="Times New Roman" w:cs="Times New Roman"/>
          </w:rPr>
          <w:t xml:space="preserve"> </w:t>
        </w:r>
      </w:hyperlink>
      <w:hyperlink r:id="rId28">
        <w:r w:rsidR="00B617C4">
          <w:rPr>
            <w:rFonts w:ascii="Times New Roman" w:eastAsia="Times New Roman" w:hAnsi="Times New Roman" w:cs="Times New Roman"/>
            <w:u w:val="single"/>
          </w:rPr>
          <w:t>https://doi.org/10.1111/1467-7687.00290</w:t>
        </w:r>
      </w:hyperlink>
    </w:p>
    <w:p w14:paraId="33FB93CE" w14:textId="77777777" w:rsidR="00B617C4" w:rsidRDefault="00000000">
      <w:pPr>
        <w:spacing w:before="240" w:after="240" w:line="480" w:lineRule="auto"/>
        <w:ind w:left="1440" w:hanging="720"/>
        <w:rPr>
          <w:rFonts w:ascii="Times New Roman" w:eastAsia="Times New Roman" w:hAnsi="Times New Roman" w:cs="Times New Roman"/>
          <w:u w:val="single"/>
        </w:rPr>
      </w:pPr>
      <w:r>
        <w:rPr>
          <w:rFonts w:ascii="Times New Roman" w:eastAsia="Times New Roman" w:hAnsi="Times New Roman" w:cs="Times New Roman"/>
        </w:rPr>
        <w:t>Káldy, Z., &amp; Leslie, A. M. (2005). A memory span of one? Object identification in 6.5-month-old infants. Cognition, 97(2), 153-177.</w:t>
      </w:r>
      <w:hyperlink r:id="rId29">
        <w:r w:rsidR="00B617C4">
          <w:rPr>
            <w:rFonts w:ascii="Times New Roman" w:eastAsia="Times New Roman" w:hAnsi="Times New Roman" w:cs="Times New Roman"/>
          </w:rPr>
          <w:t xml:space="preserve"> </w:t>
        </w:r>
      </w:hyperlink>
      <w:hyperlink r:id="rId30">
        <w:r w:rsidR="00B617C4">
          <w:rPr>
            <w:rFonts w:ascii="Times New Roman" w:eastAsia="Times New Roman" w:hAnsi="Times New Roman" w:cs="Times New Roman"/>
            <w:u w:val="single"/>
          </w:rPr>
          <w:t>https://doi.org/10.1016/j.cognition.2004.09.009</w:t>
        </w:r>
      </w:hyperlink>
    </w:p>
    <w:p w14:paraId="556210B0" w14:textId="77777777" w:rsidR="00B617C4" w:rsidRDefault="00000000">
      <w:pPr>
        <w:spacing w:before="240" w:after="240" w:line="480" w:lineRule="auto"/>
        <w:ind w:left="1440" w:hanging="720"/>
        <w:rPr>
          <w:rFonts w:ascii="Times New Roman" w:eastAsia="Times New Roman" w:hAnsi="Times New Roman" w:cs="Times New Roman"/>
          <w:u w:val="single"/>
        </w:rPr>
      </w:pPr>
      <w:r>
        <w:rPr>
          <w:rFonts w:ascii="Times New Roman" w:eastAsia="Times New Roman" w:hAnsi="Times New Roman" w:cs="Times New Roman"/>
        </w:rPr>
        <w:t>Kibbe, M. M., &amp; Leslie, A. M. (2011). What do infants remember when they forget? Location and identity in 6-month-olds’ memory for objects. Psychological science, 22(12), 1500-1505.</w:t>
      </w:r>
      <w:hyperlink r:id="rId31">
        <w:r w:rsidR="00B617C4">
          <w:rPr>
            <w:rFonts w:ascii="Times New Roman" w:eastAsia="Times New Roman" w:hAnsi="Times New Roman" w:cs="Times New Roman"/>
          </w:rPr>
          <w:t xml:space="preserve"> </w:t>
        </w:r>
      </w:hyperlink>
      <w:hyperlink r:id="rId32">
        <w:r w:rsidR="00B617C4">
          <w:rPr>
            <w:rFonts w:ascii="Times New Roman" w:eastAsia="Times New Roman" w:hAnsi="Times New Roman" w:cs="Times New Roman"/>
            <w:u w:val="single"/>
          </w:rPr>
          <w:t>https://doi.org/10.1177/0956797611420165</w:t>
        </w:r>
      </w:hyperlink>
    </w:p>
    <w:p w14:paraId="2E271B63" w14:textId="77777777" w:rsidR="00B617C4" w:rsidRDefault="00000000">
      <w:pPr>
        <w:spacing w:before="240" w:after="240" w:line="480" w:lineRule="auto"/>
        <w:ind w:left="1440" w:hanging="720"/>
        <w:rPr>
          <w:rFonts w:ascii="Times New Roman" w:eastAsia="Times New Roman" w:hAnsi="Times New Roman" w:cs="Times New Roman"/>
          <w:u w:val="single"/>
        </w:rPr>
      </w:pPr>
      <w:r>
        <w:rPr>
          <w:rFonts w:ascii="Times New Roman" w:eastAsia="Times New Roman" w:hAnsi="Times New Roman" w:cs="Times New Roman"/>
        </w:rPr>
        <w:t>Kibbe, M. M., &amp; Leslie, A. M. (2013). What’s the object of object working memory in infancy? Unraveling ‘what’and ‘how many’. Cognitive Psychology, 66(4), 380-404.</w:t>
      </w:r>
      <w:hyperlink r:id="rId33">
        <w:r w:rsidR="00B617C4">
          <w:rPr>
            <w:rFonts w:ascii="Times New Roman" w:eastAsia="Times New Roman" w:hAnsi="Times New Roman" w:cs="Times New Roman"/>
          </w:rPr>
          <w:t xml:space="preserve"> </w:t>
        </w:r>
      </w:hyperlink>
      <w:hyperlink r:id="rId34">
        <w:r w:rsidR="00B617C4">
          <w:rPr>
            <w:rFonts w:ascii="Times New Roman" w:eastAsia="Times New Roman" w:hAnsi="Times New Roman" w:cs="Times New Roman"/>
            <w:u w:val="single"/>
          </w:rPr>
          <w:t>https://doi.org/10.1016/j.cogpsych.2013.05.001</w:t>
        </w:r>
      </w:hyperlink>
    </w:p>
    <w:p w14:paraId="2D526A93" w14:textId="77777777" w:rsidR="00B617C4" w:rsidRDefault="00000000">
      <w:pPr>
        <w:spacing w:before="240" w:after="240" w:line="480" w:lineRule="auto"/>
        <w:ind w:left="1440" w:hanging="720"/>
        <w:rPr>
          <w:rFonts w:ascii="Times New Roman" w:eastAsia="Times New Roman" w:hAnsi="Times New Roman" w:cs="Times New Roman"/>
          <w:u w:val="single"/>
        </w:rPr>
      </w:pPr>
      <w:r>
        <w:rPr>
          <w:rFonts w:ascii="Times New Roman" w:eastAsia="Times New Roman" w:hAnsi="Times New Roman" w:cs="Times New Roman"/>
        </w:rPr>
        <w:lastRenderedPageBreak/>
        <w:t>Kibbe, M. M., &amp; Leslie, A. M. (2016). The ring that does not bind: Topological class in infants’ working memory for objects. Cognitive Development, 38, 1-9.</w:t>
      </w:r>
      <w:hyperlink r:id="rId35">
        <w:r w:rsidR="00B617C4">
          <w:rPr>
            <w:rFonts w:ascii="Times New Roman" w:eastAsia="Times New Roman" w:hAnsi="Times New Roman" w:cs="Times New Roman"/>
          </w:rPr>
          <w:t xml:space="preserve"> </w:t>
        </w:r>
      </w:hyperlink>
      <w:hyperlink r:id="rId36">
        <w:r w:rsidR="00B617C4">
          <w:rPr>
            <w:rFonts w:ascii="Times New Roman" w:eastAsia="Times New Roman" w:hAnsi="Times New Roman" w:cs="Times New Roman"/>
            <w:u w:val="single"/>
          </w:rPr>
          <w:t>https://doi.org/10.1016/j.cogdev.2015.12.001</w:t>
        </w:r>
      </w:hyperlink>
    </w:p>
    <w:p w14:paraId="4DCF596D" w14:textId="77777777" w:rsidR="00B617C4" w:rsidRDefault="00000000">
      <w:pPr>
        <w:spacing w:before="240" w:after="240" w:line="480" w:lineRule="auto"/>
        <w:ind w:left="1440" w:hanging="720"/>
        <w:rPr>
          <w:rFonts w:ascii="Times New Roman" w:eastAsia="Times New Roman" w:hAnsi="Times New Roman" w:cs="Times New Roman"/>
          <w:u w:val="single"/>
        </w:rPr>
      </w:pPr>
      <w:r>
        <w:rPr>
          <w:rFonts w:ascii="Times New Roman" w:eastAsia="Times New Roman" w:hAnsi="Times New Roman" w:cs="Times New Roman"/>
        </w:rPr>
        <w:t>Mareschal, D., French, R. M., &amp; Quinn, P. C. (2000). A connectionist account of asymmetric category learning in early infancy. Developmental Psychology, 36(5), 635–645.</w:t>
      </w:r>
      <w:hyperlink r:id="rId37">
        <w:r w:rsidR="00B617C4">
          <w:rPr>
            <w:rFonts w:ascii="Times New Roman" w:eastAsia="Times New Roman" w:hAnsi="Times New Roman" w:cs="Times New Roman"/>
          </w:rPr>
          <w:t xml:space="preserve"> </w:t>
        </w:r>
      </w:hyperlink>
      <w:hyperlink r:id="rId38">
        <w:r w:rsidR="00B617C4">
          <w:rPr>
            <w:rFonts w:ascii="Times New Roman" w:eastAsia="Times New Roman" w:hAnsi="Times New Roman" w:cs="Times New Roman"/>
            <w:u w:val="single"/>
          </w:rPr>
          <w:t>https://doi.org/10.1037/0012-1649.36.5.635</w:t>
        </w:r>
      </w:hyperlink>
    </w:p>
    <w:p w14:paraId="26A68424" w14:textId="77777777" w:rsidR="00B617C4" w:rsidRDefault="00000000">
      <w:pPr>
        <w:spacing w:before="240" w:after="240" w:line="480" w:lineRule="auto"/>
        <w:ind w:left="1440" w:hanging="720"/>
        <w:rPr>
          <w:rFonts w:ascii="Times New Roman" w:eastAsia="Times New Roman" w:hAnsi="Times New Roman" w:cs="Times New Roman"/>
        </w:rPr>
      </w:pPr>
      <w:r>
        <w:rPr>
          <w:rFonts w:ascii="Times New Roman" w:eastAsia="Times New Roman" w:hAnsi="Times New Roman" w:cs="Times New Roman"/>
        </w:rPr>
        <w:t xml:space="preserve">Miller, L., Rozin, P., &amp; Fiske, A. P. (1998). Food sharing and feeding another person suggest intimacy; two studies of American college students. Eur. J. Soc. Psychol., 28(3), 423–436. </w:t>
      </w:r>
      <w:hyperlink r:id="rId39">
        <w:r w:rsidR="00B617C4">
          <w:rPr>
            <w:rFonts w:ascii="Times New Roman" w:eastAsia="Times New Roman" w:hAnsi="Times New Roman" w:cs="Times New Roman"/>
            <w:u w:val="single"/>
          </w:rPr>
          <w:t>https://doi.org/10.1002/(SICI)1099-0992(199805/06)28:3%3C423::AID-EJSP874%3E3.0.CO;2-V</w:t>
        </w:r>
      </w:hyperlink>
    </w:p>
    <w:p w14:paraId="5D280EE0" w14:textId="77777777" w:rsidR="00B617C4" w:rsidRDefault="00000000">
      <w:pPr>
        <w:spacing w:before="240" w:after="240" w:line="480" w:lineRule="auto"/>
        <w:ind w:left="1440" w:hanging="720"/>
        <w:rPr>
          <w:rFonts w:ascii="Times New Roman" w:eastAsia="Times New Roman" w:hAnsi="Times New Roman" w:cs="Times New Roman"/>
          <w:u w:val="single"/>
        </w:rPr>
      </w:pPr>
      <w:r>
        <w:rPr>
          <w:rFonts w:ascii="Times New Roman" w:eastAsia="Times New Roman" w:hAnsi="Times New Roman" w:cs="Times New Roman"/>
        </w:rPr>
        <w:t>Munakata, Y., McClelland, J. L., Johnson, M. H., &amp; Siegler, R. S. (1997). Rethinking infant knowledge: Toward an adaptive process account of successes and failures in object permanence tasks. Psychological Review, 104(4), 686–713.</w:t>
      </w:r>
      <w:hyperlink r:id="rId40">
        <w:r w:rsidR="00B617C4">
          <w:rPr>
            <w:rFonts w:ascii="Times New Roman" w:eastAsia="Times New Roman" w:hAnsi="Times New Roman" w:cs="Times New Roman"/>
          </w:rPr>
          <w:t xml:space="preserve"> </w:t>
        </w:r>
      </w:hyperlink>
      <w:hyperlink r:id="rId41">
        <w:r w:rsidR="00B617C4">
          <w:rPr>
            <w:rFonts w:ascii="Times New Roman" w:eastAsia="Times New Roman" w:hAnsi="Times New Roman" w:cs="Times New Roman"/>
            <w:u w:val="single"/>
          </w:rPr>
          <w:t>https://doi.org/10.1037/0033-295X.104.4.686</w:t>
        </w:r>
      </w:hyperlink>
    </w:p>
    <w:p w14:paraId="64CF913F" w14:textId="77777777" w:rsidR="00B617C4" w:rsidRDefault="00000000">
      <w:pPr>
        <w:spacing w:before="240" w:after="240" w:line="480" w:lineRule="auto"/>
        <w:ind w:left="1440" w:hanging="720"/>
        <w:rPr>
          <w:rFonts w:ascii="Times New Roman" w:eastAsia="Times New Roman" w:hAnsi="Times New Roman" w:cs="Times New Roman"/>
        </w:rPr>
      </w:pPr>
      <w:r>
        <w:rPr>
          <w:rFonts w:ascii="Times New Roman" w:eastAsia="Times New Roman" w:hAnsi="Times New Roman" w:cs="Times New Roman"/>
        </w:rPr>
        <w:t>Rohde, D. L. (1999). LENS: The light, efficient network simulator. Pittsburgh, PA: School of Computer Science, Carnegie Mellon University.</w:t>
      </w:r>
    </w:p>
    <w:p w14:paraId="0A0410FB" w14:textId="77777777" w:rsidR="00B617C4" w:rsidRDefault="00000000">
      <w:pPr>
        <w:spacing w:before="240" w:after="240" w:line="480" w:lineRule="auto"/>
        <w:ind w:left="1440" w:hanging="720"/>
        <w:rPr>
          <w:rFonts w:ascii="Times New Roman" w:eastAsia="Times New Roman" w:hAnsi="Times New Roman" w:cs="Times New Roman"/>
          <w:u w:val="single"/>
        </w:rPr>
      </w:pPr>
      <w:r>
        <w:rPr>
          <w:rFonts w:ascii="Times New Roman" w:eastAsia="Times New Roman" w:hAnsi="Times New Roman" w:cs="Times New Roman"/>
        </w:rPr>
        <w:t>Rumelhart, D. E., Hinton, G. E., &amp; Williams, R. J. (1986). Learning representations by back-propagating errors. nature, 323(6088), 533-536.</w:t>
      </w:r>
      <w:hyperlink r:id="rId42">
        <w:r w:rsidR="00B617C4">
          <w:rPr>
            <w:rFonts w:ascii="Times New Roman" w:eastAsia="Times New Roman" w:hAnsi="Times New Roman" w:cs="Times New Roman"/>
          </w:rPr>
          <w:t xml:space="preserve"> </w:t>
        </w:r>
      </w:hyperlink>
      <w:hyperlink r:id="rId43">
        <w:r w:rsidR="00B617C4">
          <w:rPr>
            <w:rFonts w:ascii="Times New Roman" w:eastAsia="Times New Roman" w:hAnsi="Times New Roman" w:cs="Times New Roman"/>
            <w:u w:val="single"/>
          </w:rPr>
          <w:t>https://doi.org/10.1038/323533a0</w:t>
        </w:r>
      </w:hyperlink>
    </w:p>
    <w:p w14:paraId="590C20A8" w14:textId="77777777" w:rsidR="00B617C4" w:rsidRDefault="00000000">
      <w:pPr>
        <w:spacing w:before="240" w:after="240" w:line="480" w:lineRule="auto"/>
        <w:ind w:left="1440" w:hanging="720"/>
        <w:rPr>
          <w:rFonts w:ascii="Times New Roman" w:eastAsia="Times New Roman" w:hAnsi="Times New Roman" w:cs="Times New Roman"/>
        </w:rPr>
      </w:pPr>
      <w:r>
        <w:rPr>
          <w:rFonts w:ascii="Times New Roman" w:eastAsia="Times New Roman" w:hAnsi="Times New Roman" w:cs="Times New Roman"/>
        </w:rPr>
        <w:t>Schlesinger, M., &amp; Casey, P. (2003). Where infants look when impossible things happen: Simulating and testing a gaze-direction model. Connection Science, 15(4), 271-280.</w:t>
      </w:r>
      <w:hyperlink r:id="rId44">
        <w:r w:rsidR="00B617C4">
          <w:rPr>
            <w:rFonts w:ascii="Times New Roman" w:eastAsia="Times New Roman" w:hAnsi="Times New Roman" w:cs="Times New Roman"/>
          </w:rPr>
          <w:t xml:space="preserve"> </w:t>
        </w:r>
      </w:hyperlink>
      <w:hyperlink r:id="rId45">
        <w:r w:rsidR="00B617C4">
          <w:rPr>
            <w:rFonts w:ascii="Times New Roman" w:eastAsia="Times New Roman" w:hAnsi="Times New Roman" w:cs="Times New Roman"/>
            <w:u w:val="single"/>
          </w:rPr>
          <w:t>https://doi.org/10.1080/09540090310001655093</w:t>
        </w:r>
      </w:hyperlink>
    </w:p>
    <w:p w14:paraId="414DC511" w14:textId="77777777" w:rsidR="00B617C4" w:rsidRDefault="00000000">
      <w:pPr>
        <w:spacing w:before="240" w:after="240" w:line="480" w:lineRule="auto"/>
        <w:ind w:left="1440" w:hanging="720"/>
        <w:rPr>
          <w:rFonts w:ascii="Times New Roman" w:eastAsia="Times New Roman" w:hAnsi="Times New Roman" w:cs="Times New Roman"/>
        </w:rPr>
      </w:pPr>
      <w:r>
        <w:rPr>
          <w:rFonts w:ascii="Times New Roman" w:eastAsia="Times New Roman" w:hAnsi="Times New Roman" w:cs="Times New Roman"/>
        </w:rPr>
        <w:lastRenderedPageBreak/>
        <w:t xml:space="preserve">Spokes, A. C., &amp; Spelke, E. S. (2017). The cradle of social knowledge: Infants’ reasoning about caregiving and affiliation. Cognition, 159, 102-116. </w:t>
      </w:r>
      <w:hyperlink r:id="rId46">
        <w:r w:rsidR="00B617C4">
          <w:rPr>
            <w:rFonts w:ascii="Times New Roman" w:eastAsia="Times New Roman" w:hAnsi="Times New Roman" w:cs="Times New Roman"/>
            <w:u w:val="single"/>
          </w:rPr>
          <w:t>https://doi.org/10.1016/j.cognition.2016.11.008</w:t>
        </w:r>
      </w:hyperlink>
    </w:p>
    <w:p w14:paraId="5F8DF690" w14:textId="77777777" w:rsidR="00B617C4" w:rsidRDefault="00000000">
      <w:pPr>
        <w:spacing w:before="240" w:after="240" w:line="480" w:lineRule="auto"/>
        <w:ind w:left="1440" w:hanging="720"/>
        <w:rPr>
          <w:rFonts w:ascii="Times New Roman" w:eastAsia="Times New Roman" w:hAnsi="Times New Roman" w:cs="Times New Roman"/>
          <w:u w:val="single"/>
        </w:rPr>
      </w:pPr>
      <w:r>
        <w:rPr>
          <w:rFonts w:ascii="Times New Roman" w:eastAsia="Times New Roman" w:hAnsi="Times New Roman" w:cs="Times New Roman"/>
        </w:rPr>
        <w:t>Thomas, A. J. (2024). Cognitive representations of social relationships and their developmental origins. Behavioral and Brain Sciences, 1-53.</w:t>
      </w:r>
      <w:hyperlink r:id="rId47">
        <w:r w:rsidR="00B617C4">
          <w:rPr>
            <w:rFonts w:ascii="Times New Roman" w:eastAsia="Times New Roman" w:hAnsi="Times New Roman" w:cs="Times New Roman"/>
          </w:rPr>
          <w:t xml:space="preserve"> </w:t>
        </w:r>
      </w:hyperlink>
      <w:hyperlink r:id="rId48">
        <w:r w:rsidR="00B617C4">
          <w:rPr>
            <w:rFonts w:ascii="Times New Roman" w:eastAsia="Times New Roman" w:hAnsi="Times New Roman" w:cs="Times New Roman"/>
            <w:u w:val="single"/>
          </w:rPr>
          <w:t>https://doi.org/10.1017/S0140525X24001328</w:t>
        </w:r>
      </w:hyperlink>
    </w:p>
    <w:p w14:paraId="6438E6E6" w14:textId="77777777" w:rsidR="00B617C4" w:rsidRDefault="00000000">
      <w:pPr>
        <w:spacing w:before="240" w:after="240" w:line="480" w:lineRule="auto"/>
        <w:ind w:left="1440" w:hanging="720"/>
        <w:rPr>
          <w:rFonts w:ascii="Times New Roman" w:eastAsia="Times New Roman" w:hAnsi="Times New Roman" w:cs="Times New Roman"/>
          <w:u w:val="single"/>
        </w:rPr>
      </w:pPr>
      <w:r>
        <w:rPr>
          <w:rFonts w:ascii="Times New Roman" w:eastAsia="Times New Roman" w:hAnsi="Times New Roman" w:cs="Times New Roman"/>
        </w:rPr>
        <w:t>Thomas, A. J., Woo, B., Nettle, D., Spelke, E., &amp; Saxe, R. (2022). Early concepts of intimacy: Young humans use saliva sharing to infer close relationships. Science, 375(6578), 311-315.</w:t>
      </w:r>
      <w:hyperlink r:id="rId49">
        <w:r w:rsidR="00B617C4">
          <w:rPr>
            <w:rFonts w:ascii="Times New Roman" w:eastAsia="Times New Roman" w:hAnsi="Times New Roman" w:cs="Times New Roman"/>
          </w:rPr>
          <w:t xml:space="preserve"> </w:t>
        </w:r>
      </w:hyperlink>
      <w:hyperlink r:id="rId50">
        <w:r w:rsidR="00B617C4">
          <w:rPr>
            <w:rFonts w:ascii="Times New Roman" w:eastAsia="Times New Roman" w:hAnsi="Times New Roman" w:cs="Times New Roman"/>
            <w:u w:val="single"/>
          </w:rPr>
          <w:t>https://doi.org/10.1126/science.abh1054</w:t>
        </w:r>
      </w:hyperlink>
    </w:p>
    <w:p w14:paraId="75FEF7AB" w14:textId="77777777" w:rsidR="00B617C4" w:rsidRDefault="00000000">
      <w:pPr>
        <w:spacing w:before="240" w:after="240" w:line="480" w:lineRule="auto"/>
        <w:ind w:left="1440" w:hanging="720"/>
        <w:rPr>
          <w:rFonts w:ascii="Times New Roman" w:eastAsia="Times New Roman" w:hAnsi="Times New Roman" w:cs="Times New Roman"/>
          <w:u w:val="single"/>
        </w:rPr>
      </w:pPr>
      <w:r>
        <w:rPr>
          <w:rFonts w:ascii="Times New Roman" w:eastAsia="Times New Roman" w:hAnsi="Times New Roman" w:cs="Times New Roman"/>
        </w:rPr>
        <w:t>Vong, W. K., Wang, W., Orhan, A. E., &amp; Lake, B. M. (2024). Grounded language acquisition through the eyes and ears of a single child. Science, 383(6682), 504-511.</w:t>
      </w:r>
      <w:hyperlink r:id="rId51">
        <w:r w:rsidR="00B617C4">
          <w:rPr>
            <w:rFonts w:ascii="Times New Roman" w:eastAsia="Times New Roman" w:hAnsi="Times New Roman" w:cs="Times New Roman"/>
          </w:rPr>
          <w:t xml:space="preserve"> </w:t>
        </w:r>
      </w:hyperlink>
      <w:hyperlink r:id="rId52">
        <w:r w:rsidR="00B617C4">
          <w:rPr>
            <w:rFonts w:ascii="Times New Roman" w:eastAsia="Times New Roman" w:hAnsi="Times New Roman" w:cs="Times New Roman"/>
            <w:u w:val="single"/>
          </w:rPr>
          <w:t>https://doi.org/10.1126/science.adi1374</w:t>
        </w:r>
      </w:hyperlink>
    </w:p>
    <w:p w14:paraId="51704D76" w14:textId="77777777" w:rsidR="00B617C4" w:rsidRDefault="00000000">
      <w:pPr>
        <w:spacing w:before="240" w:after="240" w:line="480" w:lineRule="auto"/>
        <w:ind w:left="720"/>
        <w:rPr>
          <w:rFonts w:ascii="Times New Roman" w:eastAsia="Times New Roman" w:hAnsi="Times New Roman" w:cs="Times New Roman"/>
        </w:rPr>
      </w:pPr>
      <w:r>
        <w:rPr>
          <w:rFonts w:ascii="Times New Roman" w:eastAsia="Times New Roman" w:hAnsi="Times New Roman" w:cs="Times New Roman"/>
        </w:rPr>
        <w:t>Yarkoni T. The generalizability crisis. Behavioral and Brain Sciences. 10.1017/S0140525X20001685</w:t>
      </w:r>
    </w:p>
    <w:p w14:paraId="5C5888E6" w14:textId="77777777" w:rsidR="00B617C4"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4B88C203" w14:textId="77777777" w:rsidR="00B617C4" w:rsidRDefault="00B617C4">
      <w:pPr>
        <w:spacing w:line="480" w:lineRule="auto"/>
        <w:rPr>
          <w:rFonts w:ascii="Times New Roman" w:eastAsia="Times New Roman" w:hAnsi="Times New Roman" w:cs="Times New Roman"/>
        </w:rPr>
      </w:pPr>
    </w:p>
    <w:p w14:paraId="5887BA7D" w14:textId="77777777" w:rsidR="00B617C4" w:rsidRDefault="00B617C4">
      <w:pPr>
        <w:spacing w:line="480" w:lineRule="auto"/>
        <w:rPr>
          <w:rFonts w:ascii="Times New Roman" w:eastAsia="Times New Roman" w:hAnsi="Times New Roman" w:cs="Times New Roman"/>
        </w:rPr>
      </w:pPr>
    </w:p>
    <w:p w14:paraId="6A0A3F99" w14:textId="77777777" w:rsidR="00B617C4" w:rsidRDefault="00B617C4">
      <w:pPr>
        <w:spacing w:line="480" w:lineRule="auto"/>
        <w:rPr>
          <w:rFonts w:ascii="Times New Roman" w:eastAsia="Times New Roman" w:hAnsi="Times New Roman" w:cs="Times New Roman"/>
        </w:rPr>
      </w:pPr>
    </w:p>
    <w:p w14:paraId="2636C9E5" w14:textId="77777777" w:rsidR="00B617C4" w:rsidRDefault="00B617C4">
      <w:pPr>
        <w:spacing w:line="480" w:lineRule="auto"/>
        <w:rPr>
          <w:rFonts w:ascii="Times New Roman" w:eastAsia="Times New Roman" w:hAnsi="Times New Roman" w:cs="Times New Roman"/>
        </w:rPr>
      </w:pPr>
    </w:p>
    <w:p w14:paraId="1EEC0C97" w14:textId="77777777" w:rsidR="00B617C4" w:rsidRDefault="00B617C4">
      <w:pPr>
        <w:spacing w:line="480" w:lineRule="auto"/>
        <w:rPr>
          <w:rFonts w:ascii="Times New Roman" w:eastAsia="Times New Roman" w:hAnsi="Times New Roman" w:cs="Times New Roman"/>
        </w:rPr>
      </w:pPr>
    </w:p>
    <w:sectPr w:rsidR="00B617C4">
      <w:headerReference w:type="default" r:id="rId5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A928E" w14:textId="77777777" w:rsidR="00F86A48" w:rsidRDefault="00F86A48">
      <w:pPr>
        <w:spacing w:line="240" w:lineRule="auto"/>
      </w:pPr>
      <w:r>
        <w:separator/>
      </w:r>
    </w:p>
  </w:endnote>
  <w:endnote w:type="continuationSeparator" w:id="0">
    <w:p w14:paraId="7F02D1A6" w14:textId="77777777" w:rsidR="00F86A48" w:rsidRDefault="00F86A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1" w:subsetted="1" w:fontKey="{9C7DC305-A048-4EDF-8470-1ECCA603BDC5}"/>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9F0C2B3D-FB83-487D-89E0-34E6290A5C8E}"/>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DBCB588B-F1DB-4C7A-851C-249A2243062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D68CD" w14:textId="77777777" w:rsidR="00F86A48" w:rsidRDefault="00F86A48">
      <w:pPr>
        <w:spacing w:line="240" w:lineRule="auto"/>
      </w:pPr>
      <w:r>
        <w:separator/>
      </w:r>
    </w:p>
  </w:footnote>
  <w:footnote w:type="continuationSeparator" w:id="0">
    <w:p w14:paraId="04FF1D31" w14:textId="77777777" w:rsidR="00F86A48" w:rsidRDefault="00F86A4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D4D89" w14:textId="77777777" w:rsidR="00B617C4" w:rsidRDefault="00000000">
    <w:pPr>
      <w:rPr>
        <w:rFonts w:ascii="Times New Roman" w:eastAsia="Times New Roman" w:hAnsi="Times New Roman" w:cs="Times New Roman"/>
      </w:rPr>
    </w:pPr>
    <w:r>
      <w:rPr>
        <w:rFonts w:ascii="Times New Roman" w:eastAsia="Times New Roman" w:hAnsi="Times New Roman" w:cs="Times New Roman"/>
      </w:rPr>
      <w:t>Associative learning links saliva sharing to comfort</w:t>
    </w:r>
    <w:r>
      <w:rPr>
        <w:rFonts w:ascii="Times New Roman" w:eastAsia="Times New Roman" w:hAnsi="Times New Roman" w:cs="Times New Roman"/>
      </w:rPr>
      <w:tab/>
      <w:t xml:space="preserve">         </w:t>
    </w:r>
    <w:r>
      <w:rPr>
        <w:rFonts w:ascii="Times New Roman" w:eastAsia="Times New Roman" w:hAnsi="Times New Roman" w:cs="Times New Roman"/>
      </w:rPr>
      <w:tab/>
    </w:r>
    <w:r>
      <w:rPr>
        <w:rFonts w:ascii="Times New Roman" w:eastAsia="Times New Roman" w:hAnsi="Times New Roman" w:cs="Times New Roman"/>
      </w:rPr>
      <w:tab/>
      <w:t xml:space="preserve">         </w:t>
    </w: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6A7B99">
      <w:rPr>
        <w:rFonts w:ascii="Times New Roman" w:eastAsia="Times New Roman" w:hAnsi="Times New Roman" w:cs="Times New Roman"/>
        <w:noProof/>
      </w:rPr>
      <w:t>1</w:t>
    </w:r>
    <w:r>
      <w:rPr>
        <w:rFonts w:ascii="Times New Roman" w:eastAsia="Times New Roman" w:hAnsi="Times New Roman" w:cs="Times New Roman"/>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7C4"/>
    <w:rsid w:val="00086F82"/>
    <w:rsid w:val="000A7AB7"/>
    <w:rsid w:val="00173B91"/>
    <w:rsid w:val="0018656C"/>
    <w:rsid w:val="002A1D1F"/>
    <w:rsid w:val="00384AE6"/>
    <w:rsid w:val="003862AD"/>
    <w:rsid w:val="003A70C1"/>
    <w:rsid w:val="00456EC4"/>
    <w:rsid w:val="004A4CC8"/>
    <w:rsid w:val="00544FCF"/>
    <w:rsid w:val="006A7B99"/>
    <w:rsid w:val="006B65F3"/>
    <w:rsid w:val="0075577D"/>
    <w:rsid w:val="00800336"/>
    <w:rsid w:val="00851D89"/>
    <w:rsid w:val="008D1269"/>
    <w:rsid w:val="00902F87"/>
    <w:rsid w:val="00904B5F"/>
    <w:rsid w:val="009B7B68"/>
    <w:rsid w:val="009D5765"/>
    <w:rsid w:val="00A96CD6"/>
    <w:rsid w:val="00AF6940"/>
    <w:rsid w:val="00B26599"/>
    <w:rsid w:val="00B617C4"/>
    <w:rsid w:val="00BD6EAA"/>
    <w:rsid w:val="00C24227"/>
    <w:rsid w:val="00C53308"/>
    <w:rsid w:val="00CA0A35"/>
    <w:rsid w:val="00D66B12"/>
    <w:rsid w:val="00E056F4"/>
    <w:rsid w:val="00E221D3"/>
    <w:rsid w:val="00EA198B"/>
    <w:rsid w:val="00EB3022"/>
    <w:rsid w:val="00F16A1F"/>
    <w:rsid w:val="00F61914"/>
    <w:rsid w:val="00F86A48"/>
    <w:rsid w:val="00FC0766"/>
    <w:rsid w:val="00FC7B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B843A"/>
  <w15:docId w15:val="{BB4FB390-D9E9-4A20-BD77-95DCCED26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hyperlink" Target="https://doi.org/10.1016/j.cogdev.2022.101164" TargetMode="External"/><Relationship Id="rId26" Type="http://schemas.openxmlformats.org/officeDocument/2006/relationships/hyperlink" Target="https://doi.org/10.1016/S0885-2014(02)00124-7" TargetMode="External"/><Relationship Id="rId39" Type="http://schemas.openxmlformats.org/officeDocument/2006/relationships/hyperlink" Target="https://doi.org/10.1002/(SICI)1099-0992(199805/06)28:3%3C423::AID-EJSP874%3E3.0.CO;2-V" TargetMode="External"/><Relationship Id="rId21" Type="http://schemas.openxmlformats.org/officeDocument/2006/relationships/hyperlink" Target="https://doi.org/10.1016/S1364-6613(99)01356-X" TargetMode="External"/><Relationship Id="rId34" Type="http://schemas.openxmlformats.org/officeDocument/2006/relationships/hyperlink" Target="https://doi.org/10.1016/j.cogpsych.2013.05.001" TargetMode="External"/><Relationship Id="rId42" Type="http://schemas.openxmlformats.org/officeDocument/2006/relationships/hyperlink" Target="https://doi.org/10.1038/323533a0" TargetMode="External"/><Relationship Id="rId47" Type="http://schemas.openxmlformats.org/officeDocument/2006/relationships/hyperlink" Target="https://doi.org/10.1017/S0140525X24001328" TargetMode="External"/><Relationship Id="rId50" Type="http://schemas.openxmlformats.org/officeDocument/2006/relationships/hyperlink" Target="https://doi.org/10.1126/science.abh1054" TargetMode="External"/><Relationship Id="rId55" Type="http://schemas.openxmlformats.org/officeDocument/2006/relationships/theme" Target="theme/theme1.xml"/><Relationship Id="rId7" Type="http://schemas.openxmlformats.org/officeDocument/2006/relationships/hyperlink" Target="https://osf.io/9mqyn/overview?view_only=c09f319c3fa643d9b688cb09e0794379" TargetMode="External"/><Relationship Id="rId2" Type="http://schemas.openxmlformats.org/officeDocument/2006/relationships/settings" Target="settings.xml"/><Relationship Id="rId16" Type="http://schemas.openxmlformats.org/officeDocument/2006/relationships/hyperlink" Target="https://doi.org/10.1037/xge0001656" TargetMode="External"/><Relationship Id="rId29" Type="http://schemas.openxmlformats.org/officeDocument/2006/relationships/hyperlink" Target="https://doi.org/10.1016/j.cognition.2004.09.009" TargetMode="External"/><Relationship Id="rId11" Type="http://schemas.openxmlformats.org/officeDocument/2006/relationships/image" Target="media/image4.jpg"/><Relationship Id="rId24" Type="http://schemas.openxmlformats.org/officeDocument/2006/relationships/hyperlink" Target="https://doi.org/10.1037/0022-3514.37.1.12" TargetMode="External"/><Relationship Id="rId32" Type="http://schemas.openxmlformats.org/officeDocument/2006/relationships/hyperlink" Target="https://doi.org/10.1177/0956797611420165" TargetMode="External"/><Relationship Id="rId37" Type="http://schemas.openxmlformats.org/officeDocument/2006/relationships/hyperlink" Target="https://doi.org/10.1037/0012-1649.36.5.635" TargetMode="External"/><Relationship Id="rId40" Type="http://schemas.openxmlformats.org/officeDocument/2006/relationships/hyperlink" Target="https://doi.org/10.1037/0033-295X.104.4.686" TargetMode="External"/><Relationship Id="rId45" Type="http://schemas.openxmlformats.org/officeDocument/2006/relationships/hyperlink" Target="https://doi.org/10.1080/09540090310001655093" TargetMode="External"/><Relationship Id="rId53"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3.png"/><Relationship Id="rId19" Type="http://schemas.openxmlformats.org/officeDocument/2006/relationships/hyperlink" Target="https://doi.org/10.1016/j.cogdev.2022.101164" TargetMode="External"/><Relationship Id="rId31" Type="http://schemas.openxmlformats.org/officeDocument/2006/relationships/hyperlink" Target="https://doi.org/10.1177/0956797611420165" TargetMode="External"/><Relationship Id="rId44" Type="http://schemas.openxmlformats.org/officeDocument/2006/relationships/hyperlink" Target="https://doi.org/10.1080/09540090310001655093" TargetMode="External"/><Relationship Id="rId52" Type="http://schemas.openxmlformats.org/officeDocument/2006/relationships/hyperlink" Target="https://doi.org/10.1126/science.adi1374" TargetMode="External"/><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hyperlink" Target="https://doi.org/10.1098/rsos.240229" TargetMode="External"/><Relationship Id="rId27" Type="http://schemas.openxmlformats.org/officeDocument/2006/relationships/hyperlink" Target="https://doi.org/10.1111/1467-7687.00290" TargetMode="External"/><Relationship Id="rId30" Type="http://schemas.openxmlformats.org/officeDocument/2006/relationships/hyperlink" Target="https://doi.org/10.1016/j.cognition.2004.09.009" TargetMode="External"/><Relationship Id="rId35" Type="http://schemas.openxmlformats.org/officeDocument/2006/relationships/hyperlink" Target="https://doi.org/10.1016/j.cogdev.2015.12.001" TargetMode="External"/><Relationship Id="rId43" Type="http://schemas.openxmlformats.org/officeDocument/2006/relationships/hyperlink" Target="https://doi.org/10.1038/323533a0" TargetMode="External"/><Relationship Id="rId48" Type="http://schemas.openxmlformats.org/officeDocument/2006/relationships/hyperlink" Target="https://doi.org/10.1017/S0140525X24001328" TargetMode="External"/><Relationship Id="rId8" Type="http://schemas.openxmlformats.org/officeDocument/2006/relationships/image" Target="media/image1.png"/><Relationship Id="rId51" Type="http://schemas.openxmlformats.org/officeDocument/2006/relationships/hyperlink" Target="https://doi.org/10.1126/science.adi1374" TargetMode="External"/><Relationship Id="rId3" Type="http://schemas.openxmlformats.org/officeDocument/2006/relationships/webSettings" Target="webSettings.xml"/><Relationship Id="rId12" Type="http://schemas.openxmlformats.org/officeDocument/2006/relationships/image" Target="media/image5.jpg"/><Relationship Id="rId17" Type="http://schemas.openxmlformats.org/officeDocument/2006/relationships/hyperlink" Target="https://doi.org/10.1037/xge0001656" TargetMode="External"/><Relationship Id="rId25" Type="http://schemas.openxmlformats.org/officeDocument/2006/relationships/hyperlink" Target="https://doi.org/10.1016/S0885-2014(02)00124-7" TargetMode="External"/><Relationship Id="rId33" Type="http://schemas.openxmlformats.org/officeDocument/2006/relationships/hyperlink" Target="https://doi.org/10.1016/j.cogpsych.2013.05.001" TargetMode="External"/><Relationship Id="rId38" Type="http://schemas.openxmlformats.org/officeDocument/2006/relationships/hyperlink" Target="https://doi.org/10.1037/0012-1649.36.5.635" TargetMode="External"/><Relationship Id="rId46" Type="http://schemas.openxmlformats.org/officeDocument/2006/relationships/hyperlink" Target="https://doi.org/10.1016/j.cognition.2016.11.008" TargetMode="External"/><Relationship Id="rId20" Type="http://schemas.openxmlformats.org/officeDocument/2006/relationships/hyperlink" Target="https://doi.org/10.1016/S1364-6613(99)01356-X" TargetMode="External"/><Relationship Id="rId41" Type="http://schemas.openxmlformats.org/officeDocument/2006/relationships/hyperlink" Target="https://doi.org/10.1037/0033-295X.104.4.686" TargetMode="External"/><Relationship Id="rId54"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osf.io/9mqyn/overview?view_only=c09f319c3fa643d9b688cb09e0794379" TargetMode="External"/><Relationship Id="rId15" Type="http://schemas.openxmlformats.org/officeDocument/2006/relationships/image" Target="media/image8.jpg"/><Relationship Id="rId23" Type="http://schemas.openxmlformats.org/officeDocument/2006/relationships/hyperlink" Target="https://doi.org/10.1098/rsos.240229" TargetMode="External"/><Relationship Id="rId28" Type="http://schemas.openxmlformats.org/officeDocument/2006/relationships/hyperlink" Target="https://doi.org/10.1111/1467-7687.00290" TargetMode="External"/><Relationship Id="rId36" Type="http://schemas.openxmlformats.org/officeDocument/2006/relationships/hyperlink" Target="https://doi.org/10.1016/j.cogdev.2015.12.001" TargetMode="External"/><Relationship Id="rId49" Type="http://schemas.openxmlformats.org/officeDocument/2006/relationships/hyperlink" Target="https://doi.org/10.1126/science.abh1054"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TotalTime>
  <Pages>26</Pages>
  <Words>7049</Words>
  <Characters>40180</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Benton, Deon</dc:creator>
  <cp:lastModifiedBy>Benton, Deon</cp:lastModifiedBy>
  <cp:revision>23</cp:revision>
  <dcterms:created xsi:type="dcterms:W3CDTF">2026-03-27T18:04:00Z</dcterms:created>
  <dcterms:modified xsi:type="dcterms:W3CDTF">2026-06-02T00:23:00Z</dcterms:modified>
</cp:coreProperties>
</file>