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4.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ntTable.xml" ContentType="application/vnd.openxmlformats-officedocument.wordprocessingml.fontTable+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footer6.xml" ContentType="application/vnd.openxmlformats-officedocument.wordprocessingml.footer+xml"/>
  <Override PartName="/word/styles.xml" ContentType="application/vnd.openxmlformats-officedocument.wordprocessingml.styles+xml"/>
  <Override PartName="/word/footer1.xml" ContentType="application/vnd.openxmlformats-officedocument.wordprocessingml.footer+xml"/>
  <Override PartName="/word/footer5.xml" ContentType="application/vnd.openxmlformats-officedocument.wordprocessingml.footer+xml"/>
  <Override PartName="/word/document.xml" ContentType="application/vnd.openxmlformats-officedocument.wordprocessingml.document.main+xml"/>
  <Override PartName="/word/theme/theme1.xml" ContentType="application/vnd.openxmlformats-officedocument.theme+xml"/>
  <Override PartName="/word/footer3.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2.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80" w:after="40"/>
        <w:jc w:val="center"/>
        <w:rPr/>
      </w:pPr>
      <w:r>
        <w:rPr/>
        <w:drawing>
          <wp:inline distT="0" distB="0" distL="0" distR="0">
            <wp:extent cx="5943600" cy="2705100"/>
            <wp:effectExtent l="0" t="0" r="0" b="0"/>
            <wp:docPr id="1" name="cover_banner.png" descr="cover_banner.png&#10;cover_bann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ver_banner.png" descr="cover_banner.png&#10;cover_banner.png"/>
                    <pic:cNvPicPr>
                      <a:picLocks noChangeAspect="1" noChangeArrowheads="1"/>
                    </pic:cNvPicPr>
                  </pic:nvPicPr>
                  <pic:blipFill>
                    <a:blip r:embed="rId2"/>
                    <a:stretch>
                      <a:fillRect/>
                    </a:stretch>
                  </pic:blipFill>
                  <pic:spPr bwMode="auto">
                    <a:xfrm>
                      <a:off x="0" y="0"/>
                      <a:ext cx="5943600" cy="2705100"/>
                    </a:xfrm>
                    <a:prstGeom prst="rect">
                      <a:avLst/>
                    </a:prstGeom>
                    <a:noFill/>
                  </pic:spPr>
                </pic:pic>
              </a:graphicData>
            </a:graphic>
          </wp:inline>
        </w:drawing>
      </w:r>
    </w:p>
    <w:p>
      <w:pPr>
        <w:pStyle w:val="Normal"/>
        <w:pBdr>
          <w:bottom w:val="single" w:sz="12" w:space="6" w:color="E0890F"/>
        </w:pBdr>
        <w:spacing w:before="120" w:after="60"/>
        <w:rPr/>
      </w:pPr>
      <w:r>
        <w:rPr>
          <w:b/>
          <w:bCs/>
          <w:color w:val="0F2440"/>
          <w:sz w:val="26"/>
          <w:szCs w:val="26"/>
        </w:rPr>
        <w:t>BÁO CÁO CHIẾN LƯỢC DÀNH CHO BAN LÃNH ĐẠO</w:t>
      </w:r>
    </w:p>
    <w:p>
      <w:pPr>
        <w:pStyle w:val="Normal"/>
        <w:spacing w:before="140" w:after="40"/>
        <w:rPr/>
      </w:pPr>
      <w:r>
        <w:rPr>
          <w:color w:val="16233B"/>
          <w:sz w:val="24"/>
          <w:szCs w:val="24"/>
        </w:rPr>
        <w:t>Sự phát triển, ứng dụng thực chiến và dự báo tiến hóa của AI Agent trong công việc, kinh doanh và vận hành doanh nghiệp</w:t>
      </w:r>
    </w:p>
    <w:p>
      <w:pPr>
        <w:pStyle w:val="Normal"/>
        <w:spacing w:before="0" w:after="260"/>
        <w:rPr/>
      </w:pPr>
      <w:r>
        <w:rPr/>
      </w:r>
    </w:p>
    <w:p>
      <w:pPr>
        <w:pStyle w:val="Normal"/>
        <w:spacing w:before="0" w:after="50"/>
        <w:rPr/>
      </w:pPr>
      <w:r>
        <w:rPr>
          <w:b/>
          <w:bCs/>
          <w:color w:val="1C6DD0"/>
          <w:sz w:val="21"/>
          <w:szCs w:val="21"/>
        </w:rPr>
        <w:t xml:space="preserve">Loại tài liệu:  </w:t>
      </w:r>
      <w:r>
        <w:rPr>
          <w:color w:val="16233B"/>
          <w:sz w:val="21"/>
          <w:szCs w:val="21"/>
        </w:rPr>
        <w:t>Báo cáo phân tích &amp; dự báo chiến lược</w:t>
      </w:r>
    </w:p>
    <w:p>
      <w:pPr>
        <w:pStyle w:val="Normal"/>
        <w:spacing w:before="0" w:after="50"/>
        <w:rPr/>
      </w:pPr>
      <w:r>
        <w:rPr>
          <w:b/>
          <w:bCs/>
          <w:color w:val="1C6DD0"/>
          <w:sz w:val="21"/>
          <w:szCs w:val="21"/>
        </w:rPr>
        <w:t xml:space="preserve">Đối tượng:  </w:t>
      </w:r>
      <w:r>
        <w:rPr>
          <w:color w:val="16233B"/>
          <w:sz w:val="21"/>
          <w:szCs w:val="21"/>
        </w:rPr>
        <w:t>Ban Lãnh đạo / C-level</w:t>
      </w:r>
    </w:p>
    <w:p>
      <w:pPr>
        <w:pStyle w:val="Normal"/>
        <w:spacing w:before="0" w:after="50"/>
        <w:rPr/>
      </w:pPr>
      <w:r>
        <w:rPr>
          <w:b/>
          <w:bCs/>
          <w:color w:val="1C6DD0"/>
          <w:sz w:val="21"/>
          <w:szCs w:val="21"/>
        </w:rPr>
        <w:t xml:space="preserve">Phạm vi:  </w:t>
      </w:r>
      <w:r>
        <w:rPr>
          <w:color w:val="16233B"/>
          <w:sz w:val="21"/>
          <w:szCs w:val="21"/>
        </w:rPr>
        <w:t>Đa ngành · Tài chính – Ngân hàng · Bán lẻ – TMĐT · Sản xuất – Logistics</w:t>
      </w:r>
    </w:p>
    <w:p>
      <w:pPr>
        <w:pStyle w:val="Normal"/>
        <w:spacing w:before="0" w:after="50"/>
        <w:rPr/>
      </w:pPr>
      <w:r>
        <w:rPr>
          <w:b/>
          <w:bCs/>
          <w:color w:val="1C6DD0"/>
          <w:sz w:val="21"/>
          <w:szCs w:val="21"/>
        </w:rPr>
        <w:t xml:space="preserve">Thời điểm:  </w:t>
      </w:r>
      <w:r>
        <w:rPr>
          <w:color w:val="16233B"/>
          <w:sz w:val="21"/>
          <w:szCs w:val="21"/>
        </w:rPr>
        <w:t>Tháng 6 năm 2026</w:t>
      </w:r>
    </w:p>
    <w:p>
      <w:pPr>
        <w:pStyle w:val="Normal"/>
        <w:spacing w:before="0" w:after="50"/>
        <w:rPr/>
      </w:pPr>
      <w:r>
        <w:rPr>
          <w:b/>
          <w:bCs/>
          <w:color w:val="1C6DD0"/>
          <w:sz w:val="21"/>
          <w:szCs w:val="21"/>
        </w:rPr>
        <w:t xml:space="preserve">Phiên bản:  </w:t>
      </w:r>
      <w:r>
        <w:rPr>
          <w:color w:val="16233B"/>
          <w:sz w:val="21"/>
          <w:szCs w:val="21"/>
        </w:rPr>
        <w:t>1.0</w:t>
      </w:r>
    </w:p>
    <w:p>
      <w:pPr>
        <w:pStyle w:val="Normal"/>
        <w:spacing w:before="0" w:after="220"/>
        <w:rPr/>
      </w:pPr>
      <w:r>
        <w:rPr/>
      </w:r>
    </w:p>
    <w:p>
      <w:pPr>
        <w:pStyle w:val="Normal"/>
        <w:pBdr>
          <w:top w:val="single" w:sz="6" w:space="8" w:color="C9D6E5"/>
        </w:pBdr>
        <w:spacing w:before="120" w:after="0"/>
        <w:rPr/>
        <w:sectPr>
          <w:headerReference w:type="even" r:id="rId3"/>
          <w:headerReference w:type="default" r:id="rId4"/>
          <w:headerReference w:type="first" r:id="rId5"/>
          <w:footerReference w:type="even" r:id="rId6"/>
          <w:footerReference w:type="default" r:id="rId7"/>
          <w:footerReference w:type="first" r:id="rId8"/>
          <w:type w:val="nextPage"/>
          <w:pgSz w:w="12240" w:h="15840"/>
          <w:pgMar w:left="1080" w:right="1080" w:gutter="0" w:header="708" w:top="1080" w:footer="708" w:bottom="1080"/>
          <w:pgNumType w:fmt="decimal"/>
          <w:formProt w:val="false"/>
          <w:textDirection w:val="lrTb"/>
          <w:docGrid w:type="default" w:linePitch="360" w:charSpace="0"/>
        </w:sectPr>
      </w:pPr>
      <w:r>
        <w:rPr>
          <w:i/>
          <w:iCs/>
          <w:color w:val="5B6675"/>
          <w:sz w:val="18"/>
          <w:szCs w:val="18"/>
        </w:rPr>
        <w:t>Báo cáo tổng hợp từ các nguồn nghiên cứu thị trường và khảo sát doanh nghiệp công bố giai đoạn 2025–2026 (Gartner, McKinsey, Deloitte, Capgemini, Salesforce, Microsoft cùng các nguồn khác — xem Phụ lục Nguồn tham khảo).</w:t>
      </w:r>
    </w:p>
    <w:p>
      <w:pPr>
        <w:pStyle w:val="Normal"/>
        <w:spacing w:before="0" w:after="160"/>
        <w:rPr/>
      </w:pPr>
      <w:r>
        <w:rPr>
          <w:b/>
          <w:bCs/>
          <w:color w:val="0F2440"/>
          <w:sz w:val="30"/>
          <w:szCs w:val="30"/>
        </w:rPr>
        <w:t>MỤC LỤC</w:t>
      </w:r>
    </w:p>
    <w:sdt>
      <w:sdtPr>
        <w:docPartObj>
          <w:docPartGallery w:val="Table of Contents"/>
          <w:docPartUnique w:val="true"/>
        </w:docPartObj>
      </w:sdtPr>
      <w:sdtContent>
        <w:p>
          <w:pPr>
            <w:pStyle w:val="TOC1"/>
            <w:tabs>
              <w:tab w:val="clear" w:pos="10080"/>
              <w:tab w:val="right" w:pos="9359" w:leader="dot"/>
            </w:tabs>
            <w:rPr/>
          </w:pPr>
          <w:r>
            <w:fldChar w:fldCharType="begin"/>
          </w:r>
          <w:r>
            <w:rPr>
              <w:rStyle w:val="IndexLink"/>
            </w:rPr>
            <w:instrText xml:space="preserve"> TOC \o "1-3" \h</w:instrText>
          </w:r>
          <w:r>
            <w:rPr>
              <w:rStyle w:val="IndexLink"/>
            </w:rPr>
            <w:fldChar w:fldCharType="separate"/>
          </w:r>
          <w:hyperlink w:anchor="__RefHeading___Toc1173_217012103" w:tooltip="Tóm tắt dành cho Lãnh đạo">
            <w:r>
              <w:rPr>
                <w:rStyle w:val="IndexLink"/>
              </w:rPr>
              <w:t>Tóm tắt dành cho Lãnh đạo</w:t>
              <w:tab/>
              <w:t>3</w:t>
            </w:r>
          </w:hyperlink>
        </w:p>
        <w:p>
          <w:pPr>
            <w:pStyle w:val="TOC1"/>
            <w:tabs>
              <w:tab w:val="clear" w:pos="10080"/>
              <w:tab w:val="right" w:pos="9359" w:leader="dot"/>
            </w:tabs>
            <w:rPr/>
          </w:pPr>
          <w:hyperlink w:anchor="__RefHeading___Toc1175_217012103" w:tooltip="Phần 1 — Tổng quan và sự phát triển của AI Agent">
            <w:r>
              <w:rPr>
                <w:rStyle w:val="IndexLink"/>
              </w:rPr>
              <w:t>Phần 1 — Tổng quan và sự phát triển của AI Agent</w:t>
              <w:tab/>
              <w:t>4</w:t>
            </w:r>
          </w:hyperlink>
        </w:p>
        <w:p>
          <w:pPr>
            <w:pStyle w:val="TOC2"/>
            <w:tabs>
              <w:tab w:val="clear" w:pos="9797"/>
              <w:tab w:val="right" w:pos="9359" w:leader="dot"/>
            </w:tabs>
            <w:rPr/>
          </w:pPr>
          <w:hyperlink w:anchor="__RefHeading___Toc1177_217012103" w:tooltip="1.1. AI Agent là gì?">
            <w:r>
              <w:rPr>
                <w:rStyle w:val="IndexLink"/>
              </w:rPr>
              <w:t>1.1. AI Agent là gì?</w:t>
              <w:tab/>
              <w:t>4</w:t>
            </w:r>
          </w:hyperlink>
        </w:p>
        <w:p>
          <w:pPr>
            <w:pStyle w:val="TOC2"/>
            <w:tabs>
              <w:tab w:val="clear" w:pos="9797"/>
              <w:tab w:val="right" w:pos="9359" w:leader="dot"/>
            </w:tabs>
            <w:rPr/>
          </w:pPr>
          <w:hyperlink w:anchor="__RefHeading___Toc1179_217012103" w:tooltip="1.2. Hành trình tiến hóa: từ chatbot đến tác tử tự chủ">
            <w:r>
              <w:rPr>
                <w:rStyle w:val="IndexLink"/>
              </w:rPr>
              <w:t>1.2. Hành trình tiến hóa: từ chatbot đến tác tử tự chủ</w:t>
              <w:tab/>
              <w:t>4</w:t>
            </w:r>
          </w:hyperlink>
        </w:p>
        <w:p>
          <w:pPr>
            <w:pStyle w:val="TOC2"/>
            <w:tabs>
              <w:tab w:val="clear" w:pos="9797"/>
              <w:tab w:val="right" w:pos="9359" w:leader="dot"/>
            </w:tabs>
            <w:rPr/>
          </w:pPr>
          <w:hyperlink w:anchor="__RefHeading___Toc1181_217012103" w:tooltip="1.3. Kiến trúc và cách thức hoạt động">
            <w:r>
              <w:rPr>
                <w:rStyle w:val="IndexLink"/>
              </w:rPr>
              <w:t>1.3. Kiến trúc và cách thức hoạt động</w:t>
              <w:tab/>
              <w:t>5</w:t>
            </w:r>
          </w:hyperlink>
        </w:p>
        <w:p>
          <w:pPr>
            <w:pStyle w:val="TOC2"/>
            <w:tabs>
              <w:tab w:val="clear" w:pos="9797"/>
              <w:tab w:val="right" w:pos="9359" w:leader="dot"/>
            </w:tabs>
            <w:rPr/>
          </w:pPr>
          <w:hyperlink w:anchor="__RefHeading___Toc1183_217012103" w:tooltip="1.4. Năm cấp độ tự chủ">
            <w:r>
              <w:rPr>
                <w:rStyle w:val="IndexLink"/>
              </w:rPr>
              <w:t>1.4. Năm cấp độ tự chủ</w:t>
              <w:tab/>
              <w:t>6</w:t>
            </w:r>
          </w:hyperlink>
        </w:p>
        <w:p>
          <w:pPr>
            <w:pStyle w:val="TOC2"/>
            <w:tabs>
              <w:tab w:val="clear" w:pos="9797"/>
              <w:tab w:val="right" w:pos="9359" w:leader="dot"/>
            </w:tabs>
            <w:rPr/>
          </w:pPr>
          <w:hyperlink w:anchor="__RefHeading___Toc1185_217012103" w:tooltip="1.5. Hạ tầng và giao thức: nền móng cho “Internet của các tác tử”">
            <w:r>
              <w:rPr>
                <w:rStyle w:val="IndexLink"/>
              </w:rPr>
              <w:t>1.5. Hạ tầng và giao thức: nền móng cho “Internet của các tác tử”</w:t>
              <w:tab/>
              <w:t>7</w:t>
            </w:r>
          </w:hyperlink>
        </w:p>
        <w:p>
          <w:pPr>
            <w:pStyle w:val="TOC2"/>
            <w:tabs>
              <w:tab w:val="clear" w:pos="9797"/>
              <w:tab w:val="right" w:pos="9359" w:leader="dot"/>
            </w:tabs>
            <w:rPr/>
          </w:pPr>
          <w:hyperlink w:anchor="__RefHeading___Toc1187_217012103" w:tooltip="1.6. Quy mô thị trường và động lực tăng trưởng">
            <w:r>
              <w:rPr>
                <w:rStyle w:val="IndexLink"/>
              </w:rPr>
              <w:t>1.6. Quy mô thị trường và động lực tăng trưởng</w:t>
              <w:tab/>
              <w:t>7</w:t>
            </w:r>
          </w:hyperlink>
        </w:p>
        <w:p>
          <w:pPr>
            <w:pStyle w:val="TOC2"/>
            <w:tabs>
              <w:tab w:val="clear" w:pos="9797"/>
              <w:tab w:val="right" w:pos="9359" w:leader="dot"/>
            </w:tabs>
            <w:rPr/>
          </w:pPr>
          <w:hyperlink w:anchor="__RefHeading___Toc1189_217012103" w:tooltip="1.7. Bức tranh áp dụng: rộng nhưng chưa sâu">
            <w:r>
              <w:rPr>
                <w:rStyle w:val="IndexLink"/>
              </w:rPr>
              <w:t>1.7. Bức tranh áp dụng: rộng nhưng chưa sâu</w:t>
              <w:tab/>
              <w:t>8</w:t>
            </w:r>
          </w:hyperlink>
        </w:p>
        <w:p>
          <w:pPr>
            <w:pStyle w:val="TOC2"/>
            <w:tabs>
              <w:tab w:val="clear" w:pos="9797"/>
              <w:tab w:val="right" w:pos="9359" w:leader="dot"/>
            </w:tabs>
            <w:rPr/>
          </w:pPr>
          <w:hyperlink w:anchor="__RefHeading___Toc1191_217012103" w:tooltip="1.8. Công nghệ nền tảng và khung phát triển">
            <w:r>
              <w:rPr>
                <w:rStyle w:val="IndexLink"/>
              </w:rPr>
              <w:t>1.8. Công nghệ nền tảng và khung phát triển</w:t>
              <w:tab/>
              <w:t>9</w:t>
            </w:r>
          </w:hyperlink>
        </w:p>
        <w:p>
          <w:pPr>
            <w:pStyle w:val="TOC2"/>
            <w:tabs>
              <w:tab w:val="clear" w:pos="9797"/>
              <w:tab w:val="right" w:pos="9359" w:leader="dot"/>
            </w:tabs>
            <w:rPr/>
          </w:pPr>
          <w:hyperlink w:anchor="__RefHeading___Toc1193_217012103" w:tooltip="1.9. Vì sao là lúc này? Ba động lực hội tụ">
            <w:r>
              <w:rPr>
                <w:rStyle w:val="IndexLink"/>
              </w:rPr>
              <w:t>1.9. Vì sao là lúc này? Ba động lực hội tụ</w:t>
              <w:tab/>
              <w:t>10</w:t>
            </w:r>
          </w:hyperlink>
        </w:p>
        <w:p>
          <w:pPr>
            <w:pStyle w:val="TOC1"/>
            <w:tabs>
              <w:tab w:val="clear" w:pos="10080"/>
              <w:tab w:val="right" w:pos="9359" w:leader="dot"/>
            </w:tabs>
            <w:rPr/>
          </w:pPr>
          <w:hyperlink w:anchor="__RefHeading___Toc1195_217012103" w:tooltip="Phần 2 — Ứng dụng thực chiến trong công việc và vận hành">
            <w:r>
              <w:rPr>
                <w:rStyle w:val="IndexLink"/>
              </w:rPr>
              <w:t>Phần 2 — Ứng dụng thực chiến trong công việc và vận hành</w:t>
              <w:tab/>
              <w:t>11</w:t>
            </w:r>
          </w:hyperlink>
        </w:p>
        <w:p>
          <w:pPr>
            <w:pStyle w:val="TOC2"/>
            <w:tabs>
              <w:tab w:val="clear" w:pos="9797"/>
              <w:tab w:val="right" w:pos="9359" w:leader="dot"/>
            </w:tabs>
            <w:rPr/>
          </w:pPr>
          <w:hyperlink w:anchor="__RefHeading___Toc1197_217012103" w:tooltip="2.1. Bản đồ ứng dụng theo chức năng">
            <w:r>
              <w:rPr>
                <w:rStyle w:val="IndexLink"/>
              </w:rPr>
              <w:t>2.1. Bản đồ ứng dụng theo chức năng</w:t>
              <w:tab/>
              <w:t>11</w:t>
            </w:r>
          </w:hyperlink>
        </w:p>
        <w:p>
          <w:pPr>
            <w:pStyle w:val="TOC2"/>
            <w:tabs>
              <w:tab w:val="clear" w:pos="9797"/>
              <w:tab w:val="right" w:pos="9359" w:leader="dot"/>
            </w:tabs>
            <w:rPr/>
          </w:pPr>
          <w:hyperlink w:anchor="__RefHeading___Toc1199_217012103" w:tooltip="2.2. Các nền tảng doanh nghiệp dẫn dắt thị trường">
            <w:r>
              <w:rPr>
                <w:rStyle w:val="IndexLink"/>
              </w:rPr>
              <w:t>2.2. Các nền tảng doanh nghiệp dẫn dắt thị trường</w:t>
              <w:tab/>
              <w:t>12</w:t>
            </w:r>
          </w:hyperlink>
        </w:p>
        <w:p>
          <w:pPr>
            <w:pStyle w:val="TOC3"/>
            <w:tabs>
              <w:tab w:val="clear" w:pos="9513"/>
              <w:tab w:val="right" w:pos="9359" w:leader="dot"/>
            </w:tabs>
            <w:rPr/>
          </w:pPr>
          <w:hyperlink w:anchor="__RefHeading___Toc1201_217012103" w:tooltip="Salesforce Agentforce">
            <w:r>
              <w:rPr>
                <w:rStyle w:val="IndexLink"/>
              </w:rPr>
              <w:t>Salesforce Agentforce</w:t>
              <w:tab/>
              <w:t>12</w:t>
            </w:r>
          </w:hyperlink>
        </w:p>
        <w:p>
          <w:pPr>
            <w:pStyle w:val="TOC3"/>
            <w:tabs>
              <w:tab w:val="clear" w:pos="9513"/>
              <w:tab w:val="right" w:pos="9359" w:leader="dot"/>
            </w:tabs>
            <w:rPr/>
          </w:pPr>
          <w:hyperlink w:anchor="__RefHeading___Toc1203_217012103" w:tooltip="Microsoft 365 Copilot và Copilot Studio">
            <w:r>
              <w:rPr>
                <w:rStyle w:val="IndexLink"/>
              </w:rPr>
              <w:t>Microsoft 365 Copilot và Copilot Studio</w:t>
              <w:tab/>
              <w:t>12</w:t>
            </w:r>
          </w:hyperlink>
        </w:p>
        <w:p>
          <w:pPr>
            <w:pStyle w:val="TOC2"/>
            <w:tabs>
              <w:tab w:val="clear" w:pos="9797"/>
              <w:tab w:val="right" w:pos="9359" w:leader="dot"/>
            </w:tabs>
            <w:rPr/>
          </w:pPr>
          <w:hyperlink w:anchor="__RefHeading___Toc1205_217012103" w:tooltip="2.3. Giá trị kinh tế và lợi tức đầu tư (ROI)">
            <w:r>
              <w:rPr>
                <w:rStyle w:val="IndexLink"/>
              </w:rPr>
              <w:t>2.3. Giá trị kinh tế và lợi tức đầu tư (ROI)</w:t>
              <w:tab/>
              <w:t>12</w:t>
            </w:r>
          </w:hyperlink>
        </w:p>
        <w:p>
          <w:pPr>
            <w:pStyle w:val="TOC2"/>
            <w:tabs>
              <w:tab w:val="clear" w:pos="9797"/>
              <w:tab w:val="right" w:pos="9359" w:leader="dot"/>
            </w:tabs>
            <w:rPr/>
          </w:pPr>
          <w:hyperlink w:anchor="__RefHeading___Toc1207_217012103" w:tooltip="2.4. Xây dựng hay mua, và kinh tế học của tác tử">
            <w:r>
              <w:rPr>
                <w:rStyle w:val="IndexLink"/>
              </w:rPr>
              <w:t>2.4. Xây dựng hay mua, và kinh tế học của tác tử</w:t>
              <w:tab/>
              <w:t>14</w:t>
            </w:r>
          </w:hyperlink>
        </w:p>
        <w:p>
          <w:pPr>
            <w:pStyle w:val="TOC2"/>
            <w:tabs>
              <w:tab w:val="clear" w:pos="9797"/>
              <w:tab w:val="right" w:pos="9359" w:leader="dot"/>
            </w:tabs>
            <w:rPr/>
          </w:pPr>
          <w:hyperlink w:anchor="__RefHeading___Toc1209_217012103" w:tooltip="2.5. Đo lường thành công: các chỉ số then chốt">
            <w:r>
              <w:rPr>
                <w:rStyle w:val="IndexLink"/>
              </w:rPr>
              <w:t>2.5. Đo lường thành công: các chỉ số then chốt</w:t>
              <w:tab/>
              <w:t>14</w:t>
            </w:r>
          </w:hyperlink>
        </w:p>
        <w:p>
          <w:pPr>
            <w:pStyle w:val="TOC1"/>
            <w:tabs>
              <w:tab w:val="clear" w:pos="10080"/>
              <w:tab w:val="right" w:pos="9359" w:leader="dot"/>
            </w:tabs>
            <w:rPr/>
          </w:pPr>
          <w:hyperlink w:anchor="__RefHeading___Toc1211_217012103" w:tooltip="Phần 3 — Ứng dụng theo ngành trọng điểm">
            <w:r>
              <w:rPr>
                <w:rStyle w:val="IndexLink"/>
              </w:rPr>
              <w:t>Phần 3 — Ứng dụng theo ngành trọng điểm</w:t>
              <w:tab/>
              <w:t>16</w:t>
            </w:r>
          </w:hyperlink>
        </w:p>
        <w:p>
          <w:pPr>
            <w:pStyle w:val="TOC2"/>
            <w:tabs>
              <w:tab w:val="clear" w:pos="9797"/>
              <w:tab w:val="right" w:pos="9359" w:leader="dot"/>
            </w:tabs>
            <w:rPr/>
          </w:pPr>
          <w:hyperlink w:anchor="__RefHeading___Toc1213_217012103" w:tooltip="3.1. Tài chính – Ngân hàng">
            <w:r>
              <w:rPr>
                <w:rStyle w:val="IndexLink"/>
              </w:rPr>
              <w:t>3.1. Tài chính – Ngân hàng</w:t>
              <w:tab/>
              <w:t>16</w:t>
            </w:r>
          </w:hyperlink>
        </w:p>
        <w:p>
          <w:pPr>
            <w:pStyle w:val="TOC3"/>
            <w:tabs>
              <w:tab w:val="clear" w:pos="9513"/>
              <w:tab w:val="right" w:pos="9359" w:leader="dot"/>
            </w:tabs>
            <w:rPr/>
          </w:pPr>
          <w:hyperlink w:anchor="__RefHeading___Toc1215_217012103" w:tooltip="Các use case tiêu biểu trong ngân hàng">
            <w:r>
              <w:rPr>
                <w:rStyle w:val="IndexLink"/>
              </w:rPr>
              <w:t>Các use case tiêu biểu trong ngân hàng</w:t>
              <w:tab/>
              <w:t>17</w:t>
            </w:r>
          </w:hyperlink>
        </w:p>
        <w:p>
          <w:pPr>
            <w:pStyle w:val="TOC2"/>
            <w:tabs>
              <w:tab w:val="clear" w:pos="9797"/>
              <w:tab w:val="right" w:pos="9359" w:leader="dot"/>
            </w:tabs>
            <w:rPr/>
          </w:pPr>
          <w:hyperlink w:anchor="__RefHeading___Toc1217_217012103" w:tooltip="3.2. Bán lẻ – Thương mại điện tử">
            <w:r>
              <w:rPr>
                <w:rStyle w:val="IndexLink"/>
              </w:rPr>
              <w:t>3.2. Bán lẻ – Thương mại điện tử</w:t>
              <w:tab/>
              <w:t>17</w:t>
            </w:r>
          </w:hyperlink>
        </w:p>
        <w:p>
          <w:pPr>
            <w:pStyle w:val="TOC3"/>
            <w:tabs>
              <w:tab w:val="clear" w:pos="9513"/>
              <w:tab w:val="right" w:pos="9359" w:leader="dot"/>
            </w:tabs>
            <w:rPr/>
          </w:pPr>
          <w:hyperlink w:anchor="__RefHeading___Toc1219_217012103" w:tooltip="Các use case tiêu biểu trong bán lẻ – TMĐT">
            <w:r>
              <w:rPr>
                <w:rStyle w:val="IndexLink"/>
              </w:rPr>
              <w:t>Các use case tiêu biểu trong bán lẻ – TMĐT</w:t>
              <w:tab/>
              <w:t>18</w:t>
            </w:r>
          </w:hyperlink>
        </w:p>
        <w:p>
          <w:pPr>
            <w:pStyle w:val="TOC2"/>
            <w:tabs>
              <w:tab w:val="clear" w:pos="9797"/>
              <w:tab w:val="right" w:pos="9359" w:leader="dot"/>
            </w:tabs>
            <w:rPr/>
          </w:pPr>
          <w:hyperlink w:anchor="__RefHeading___Toc1221_217012103" w:tooltip="3.3. Sản xuất – Logistics và chuỗi cung ứng">
            <w:r>
              <w:rPr>
                <w:rStyle w:val="IndexLink"/>
              </w:rPr>
              <w:t>3.3. Sản xuất – Logistics và chuỗi cung ứng</w:t>
              <w:tab/>
              <w:t>18</w:t>
            </w:r>
          </w:hyperlink>
        </w:p>
        <w:p>
          <w:pPr>
            <w:pStyle w:val="TOC3"/>
            <w:tabs>
              <w:tab w:val="clear" w:pos="9513"/>
              <w:tab w:val="right" w:pos="9359" w:leader="dot"/>
            </w:tabs>
            <w:rPr/>
          </w:pPr>
          <w:hyperlink w:anchor="__RefHeading___Toc1223_217012103" w:tooltip="Các use case tiêu biểu trong sản xuất – logistics">
            <w:r>
              <w:rPr>
                <w:rStyle w:val="IndexLink"/>
              </w:rPr>
              <w:t>Các use case tiêu biểu trong sản xuất – logistics</w:t>
              <w:tab/>
              <w:t>19</w:t>
            </w:r>
          </w:hyperlink>
        </w:p>
        <w:p>
          <w:pPr>
            <w:pStyle w:val="TOC2"/>
            <w:tabs>
              <w:tab w:val="clear" w:pos="9797"/>
              <w:tab w:val="right" w:pos="9359" w:leader="dot"/>
            </w:tabs>
            <w:rPr/>
          </w:pPr>
          <w:hyperlink w:anchor="__RefHeading___Toc1225_217012103" w:tooltip="3.4. Các lĩnh vực khác đang tăng tốc">
            <w:r>
              <w:rPr>
                <w:rStyle w:val="IndexLink"/>
              </w:rPr>
              <w:t>3.4. Các lĩnh vực khác đang tăng tốc</w:t>
              <w:tab/>
              <w:t>19</w:t>
            </w:r>
          </w:hyperlink>
        </w:p>
        <w:p>
          <w:pPr>
            <w:pStyle w:val="TOC1"/>
            <w:tabs>
              <w:tab w:val="clear" w:pos="10080"/>
              <w:tab w:val="right" w:pos="9359" w:leader="dot"/>
            </w:tabs>
            <w:rPr/>
          </w:pPr>
          <w:hyperlink w:anchor="__RefHeading___Toc1227_217012103" w:tooltip="Phần 4 — Rủi ro, quản trị và bài học triển khai">
            <w:r>
              <w:rPr>
                <w:rStyle w:val="IndexLink"/>
              </w:rPr>
              <w:t>Phần 4 — Rủi ro, quản trị và bài học triển khai</w:t>
              <w:tab/>
              <w:t>21</w:t>
            </w:r>
          </w:hyperlink>
        </w:p>
        <w:p>
          <w:pPr>
            <w:pStyle w:val="TOC2"/>
            <w:tabs>
              <w:tab w:val="clear" w:pos="9797"/>
              <w:tab w:val="right" w:pos="9359" w:leader="dot"/>
            </w:tabs>
            <w:rPr/>
          </w:pPr>
          <w:hyperlink w:anchor="__RefHeading___Toc1229_217012103" w:tooltip="4.1. Vì sao nhiều dự án AI Agent thất bại">
            <w:r>
              <w:rPr>
                <w:rStyle w:val="IndexLink"/>
              </w:rPr>
              <w:t>4.1. Vì sao nhiều dự án AI Agent thất bại</w:t>
              <w:tab/>
              <w:t>21</w:t>
            </w:r>
          </w:hyperlink>
        </w:p>
        <w:p>
          <w:pPr>
            <w:pStyle w:val="TOC2"/>
            <w:tabs>
              <w:tab w:val="clear" w:pos="9797"/>
              <w:tab w:val="right" w:pos="9359" w:leader="dot"/>
            </w:tabs>
            <w:rPr/>
          </w:pPr>
          <w:hyperlink w:anchor="__RefHeading___Toc1231_217012103" w:tooltip="4.2. Rủi ro an ninh và khoảng trống quản trị">
            <w:r>
              <w:rPr>
                <w:rStyle w:val="IndexLink"/>
              </w:rPr>
              <w:t>4.2. Rủi ro an ninh và khoảng trống quản trị</w:t>
              <w:tab/>
              <w:t>21</w:t>
            </w:r>
          </w:hyperlink>
        </w:p>
        <w:p>
          <w:pPr>
            <w:pStyle w:val="TOC2"/>
            <w:tabs>
              <w:tab w:val="clear" w:pos="9797"/>
              <w:tab w:val="right" w:pos="9359" w:leader="dot"/>
            </w:tabs>
            <w:rPr/>
          </w:pPr>
          <w:hyperlink w:anchor="__RefHeading___Toc1233_217012103" w:tooltip="4.3. Khung triển khai thành công">
            <w:r>
              <w:rPr>
                <w:rStyle w:val="IndexLink"/>
              </w:rPr>
              <w:t>4.3. Khung triển khai thành công</w:t>
              <w:tab/>
              <w:t>22</w:t>
            </w:r>
          </w:hyperlink>
        </w:p>
        <w:p>
          <w:pPr>
            <w:pStyle w:val="TOC2"/>
            <w:tabs>
              <w:tab w:val="clear" w:pos="9797"/>
              <w:tab w:val="right" w:pos="9359" w:leader="dot"/>
            </w:tabs>
            <w:rPr/>
          </w:pPr>
          <w:hyperlink w:anchor="__RefHeading___Toc1235_217012103" w:tooltip="4.4. Đạo đức, tuân thủ và AI có trách nhiệm">
            <w:r>
              <w:rPr>
                <w:rStyle w:val="IndexLink"/>
              </w:rPr>
              <w:t>4.4. Đạo đức, tuân thủ và AI có trách nhiệm</w:t>
              <w:tab/>
              <w:t>23</w:t>
            </w:r>
          </w:hyperlink>
        </w:p>
        <w:p>
          <w:pPr>
            <w:pStyle w:val="TOC1"/>
            <w:tabs>
              <w:tab w:val="clear" w:pos="10080"/>
              <w:tab w:val="right" w:pos="9359" w:leader="dot"/>
            </w:tabs>
            <w:rPr/>
          </w:pPr>
          <w:hyperlink w:anchor="__RefHeading___Toc1237_217012103" w:tooltip="Phần 5 — Dự báo tiến hóa AI Agent 2026–2029">
            <w:r>
              <w:rPr>
                <w:rStyle w:val="IndexLink"/>
              </w:rPr>
              <w:t>Phần 5 — Dự báo tiến hóa AI Agent 2026–2029</w:t>
              <w:tab/>
              <w:t>24</w:t>
            </w:r>
          </w:hyperlink>
        </w:p>
        <w:p>
          <w:pPr>
            <w:pStyle w:val="TOC2"/>
            <w:tabs>
              <w:tab w:val="clear" w:pos="9797"/>
              <w:tab w:val="right" w:pos="9359" w:leader="dot"/>
            </w:tabs>
            <w:rPr/>
          </w:pPr>
          <w:hyperlink w:anchor="__RefHeading___Toc1239_217012103" w:tooltip="5.1. Lộ trình ba năm theo dự báo của Gartner">
            <w:r>
              <w:rPr>
                <w:rStyle w:val="IndexLink"/>
              </w:rPr>
              <w:t>5.1. Lộ trình ba năm theo dự báo của Gartner</w:t>
              <w:tab/>
              <w:t>24</w:t>
            </w:r>
          </w:hyperlink>
        </w:p>
        <w:p>
          <w:pPr>
            <w:pStyle w:val="TOC2"/>
            <w:tabs>
              <w:tab w:val="clear" w:pos="9797"/>
              <w:tab w:val="right" w:pos="9359" w:leader="dot"/>
            </w:tabs>
            <w:rPr/>
          </w:pPr>
          <w:hyperlink w:anchor="__RefHeading___Toc1241_217012103" w:tooltip="5.2. Sáu xu hướng định hình giai đoạn 2026–2029">
            <w:r>
              <w:rPr>
                <w:rStyle w:val="IndexLink"/>
              </w:rPr>
              <w:t>5.2. Sáu xu hướng định hình giai đoạn 2026–2029</w:t>
              <w:tab/>
              <w:t>25</w:t>
            </w:r>
          </w:hyperlink>
        </w:p>
        <w:p>
          <w:pPr>
            <w:pStyle w:val="TOC2"/>
            <w:tabs>
              <w:tab w:val="clear" w:pos="9797"/>
              <w:tab w:val="right" w:pos="9359" w:leader="dot"/>
            </w:tabs>
            <w:rPr/>
          </w:pPr>
          <w:hyperlink w:anchor="__RefHeading___Toc1243_217012103" w:tooltip="5.3. Tác động tới lực lượng lao động và mô hình kinh doanh">
            <w:r>
              <w:rPr>
                <w:rStyle w:val="IndexLink"/>
              </w:rPr>
              <w:t>5.3. Tác động tới lực lượng lao động và mô hình kinh doanh</w:t>
              <w:tab/>
              <w:t>25</w:t>
            </w:r>
          </w:hyperlink>
        </w:p>
        <w:p>
          <w:pPr>
            <w:pStyle w:val="TOC2"/>
            <w:tabs>
              <w:tab w:val="clear" w:pos="9797"/>
              <w:tab w:val="right" w:pos="9359" w:leader="dot"/>
            </w:tabs>
            <w:rPr/>
          </w:pPr>
          <w:hyperlink w:anchor="__RefHeading___Toc1245_217012103" w:tooltip="5.4. Ba kịch bản cho doanh nghiệp">
            <w:r>
              <w:rPr>
                <w:rStyle w:val="IndexLink"/>
              </w:rPr>
              <w:t>5.4. Ba kịch bản cho doanh nghiệp</w:t>
              <w:tab/>
              <w:t>26</w:t>
            </w:r>
          </w:hyperlink>
        </w:p>
        <w:p>
          <w:pPr>
            <w:pStyle w:val="TOC1"/>
            <w:tabs>
              <w:tab w:val="clear" w:pos="10080"/>
              <w:tab w:val="right" w:pos="9359" w:leader="dot"/>
            </w:tabs>
            <w:rPr/>
          </w:pPr>
          <w:hyperlink w:anchor="__RefHeading___Toc1247_217012103" w:tooltip="Phần 6 — Khuyến nghị hành động cho Ban Lãnh đạo">
            <w:r>
              <w:rPr>
                <w:rStyle w:val="IndexLink"/>
              </w:rPr>
              <w:t>Phần 6 — Khuyến nghị hành động cho Ban Lãnh đạo</w:t>
              <w:tab/>
              <w:t>27</w:t>
            </w:r>
          </w:hyperlink>
        </w:p>
        <w:p>
          <w:pPr>
            <w:pStyle w:val="TOC3"/>
            <w:tabs>
              <w:tab w:val="clear" w:pos="9513"/>
              <w:tab w:val="right" w:pos="9359" w:leader="dot"/>
            </w:tabs>
            <w:rPr/>
          </w:pPr>
          <w:hyperlink w:anchor="__RefHeading___Toc1249_217012103" w:tooltip="Trong 90 ngày tới — Tạo nền và chứng minh giá trị">
            <w:r>
              <w:rPr>
                <w:rStyle w:val="IndexLink"/>
              </w:rPr>
              <w:t>Trong 90 ngày tới — Tạo nền và chứng minh giá trị</w:t>
              <w:tab/>
              <w:t>27</w:t>
            </w:r>
          </w:hyperlink>
        </w:p>
        <w:p>
          <w:pPr>
            <w:pStyle w:val="TOC3"/>
            <w:tabs>
              <w:tab w:val="clear" w:pos="9513"/>
              <w:tab w:val="right" w:pos="9359" w:leader="dot"/>
            </w:tabs>
            <w:rPr/>
          </w:pPr>
          <w:hyperlink w:anchor="__RefHeading___Toc1251_217012103" w:tooltip="Trong 12 tháng — Mở rộng có kỷ luật">
            <w:r>
              <w:rPr>
                <w:rStyle w:val="IndexLink"/>
              </w:rPr>
              <w:t>Trong 12 tháng — Mở rộng có kỷ luật</w:t>
              <w:tab/>
              <w:t>27</w:t>
            </w:r>
          </w:hyperlink>
        </w:p>
        <w:p>
          <w:pPr>
            <w:pStyle w:val="TOC3"/>
            <w:tabs>
              <w:tab w:val="clear" w:pos="9513"/>
              <w:tab w:val="right" w:pos="9359" w:leader="dot"/>
            </w:tabs>
            <w:rPr/>
          </w:pPr>
          <w:hyperlink w:anchor="__RefHeading___Toc1253_217012103" w:tooltip="Trong 3 năm — Tái định hình năng lực cạnh tranh">
            <w:r>
              <w:rPr>
                <w:rStyle w:val="IndexLink"/>
              </w:rPr>
              <w:t>Trong 3 năm — Tái định hình năng lực cạnh tranh</w:t>
              <w:tab/>
              <w:t>27</w:t>
            </w:r>
          </w:hyperlink>
        </w:p>
        <w:p>
          <w:pPr>
            <w:pStyle w:val="TOC1"/>
            <w:tabs>
              <w:tab w:val="clear" w:pos="10080"/>
              <w:tab w:val="right" w:pos="9359" w:leader="dot"/>
            </w:tabs>
            <w:rPr/>
          </w:pPr>
          <w:hyperlink w:anchor="__RefHeading___Toc1255_217012103" w:tooltip="Phần 7 — Lộ trình triển khai (Playbook 5 bước)">
            <w:r>
              <w:rPr>
                <w:rStyle w:val="IndexLink"/>
              </w:rPr>
              <w:t>Phần 7 — Lộ trình triển khai (Playbook 5 bước)</w:t>
              <w:tab/>
              <w:t>28</w:t>
            </w:r>
          </w:hyperlink>
        </w:p>
        <w:p>
          <w:pPr>
            <w:pStyle w:val="TOC3"/>
            <w:tabs>
              <w:tab w:val="clear" w:pos="9513"/>
              <w:tab w:val="right" w:pos="9359" w:leader="dot"/>
            </w:tabs>
            <w:rPr/>
          </w:pPr>
          <w:hyperlink w:anchor="__RefHeading___Toc1257_217012103" w:tooltip="Các yếu tố thành công then chốt">
            <w:r>
              <w:rPr>
                <w:rStyle w:val="IndexLink"/>
              </w:rPr>
              <w:t>Các yếu tố thành công then chốt</w:t>
              <w:tab/>
              <w:t>28</w:t>
            </w:r>
          </w:hyperlink>
        </w:p>
        <w:p>
          <w:pPr>
            <w:pStyle w:val="TOC1"/>
            <w:tabs>
              <w:tab w:val="clear" w:pos="10080"/>
              <w:tab w:val="right" w:pos="9359" w:leader="dot"/>
            </w:tabs>
            <w:rPr/>
          </w:pPr>
          <w:hyperlink w:anchor="__RefHeading___Toc1259_217012103" w:tooltip="Kết luận">
            <w:r>
              <w:rPr>
                <w:rStyle w:val="IndexLink"/>
              </w:rPr>
              <w:t>Kết luận</w:t>
              <w:tab/>
              <w:t>29</w:t>
            </w:r>
          </w:hyperlink>
        </w:p>
        <w:p>
          <w:pPr>
            <w:pStyle w:val="TOC1"/>
            <w:tabs>
              <w:tab w:val="clear" w:pos="10080"/>
              <w:tab w:val="right" w:pos="9359" w:leader="dot"/>
            </w:tabs>
            <w:rPr/>
          </w:pPr>
          <w:hyperlink w:anchor="__RefHeading___Toc1261_217012103" w:tooltip="Phụ lục A — Thuật ngữ">
            <w:r>
              <w:rPr>
                <w:rStyle w:val="IndexLink"/>
              </w:rPr>
              <w:t>Phụ lục A — Thuật ngữ</w:t>
              <w:tab/>
              <w:t>30</w:t>
            </w:r>
          </w:hyperlink>
        </w:p>
        <w:p>
          <w:pPr>
            <w:pStyle w:val="TOC1"/>
            <w:tabs>
              <w:tab w:val="clear" w:pos="10080"/>
              <w:tab w:val="right" w:pos="9359" w:leader="dot"/>
            </w:tabs>
            <w:rPr/>
          </w:pPr>
          <w:hyperlink w:anchor="__RefHeading___Toc1263_217012103" w:tooltip="Phụ lục B — Tự đánh giá mức độ sẵn sàng">
            <w:r>
              <w:rPr>
                <w:rStyle w:val="IndexLink"/>
              </w:rPr>
              <w:t>Phụ lục B — Tự đánh giá mức độ sẵn sàng</w:t>
              <w:tab/>
              <w:t>31</w:t>
            </w:r>
          </w:hyperlink>
        </w:p>
        <w:p>
          <w:pPr>
            <w:pStyle w:val="TOC1"/>
            <w:tabs>
              <w:tab w:val="clear" w:pos="10080"/>
              <w:tab w:val="right" w:pos="9359" w:leader="dot"/>
            </w:tabs>
            <w:rPr/>
          </w:pPr>
          <w:hyperlink w:anchor="__RefHeading___Toc1265_217012103" w:tooltip="Phụ lục C — Câu hỏi thường gặp dành cho lãnh đạo">
            <w:r>
              <w:rPr>
                <w:rStyle w:val="IndexLink"/>
              </w:rPr>
              <w:t>Phụ lục C — Câu hỏi thường gặp dành cho lãnh đạo</w:t>
              <w:tab/>
              <w:t>32</w:t>
            </w:r>
          </w:hyperlink>
        </w:p>
        <w:p>
          <w:pPr>
            <w:pStyle w:val="TOC3"/>
            <w:tabs>
              <w:tab w:val="clear" w:pos="9513"/>
              <w:tab w:val="right" w:pos="9359" w:leader="dot"/>
            </w:tabs>
            <w:rPr/>
          </w:pPr>
          <w:hyperlink w:anchor="__RefHeading___Toc1267_217012103" w:tooltip="AI Agent có thay thế nhân viên của chúng ta không?">
            <w:r>
              <w:rPr>
                <w:rStyle w:val="IndexLink"/>
              </w:rPr>
              <w:t>AI Agent có thay thế nhân viên của chúng ta không?</w:t>
              <w:tab/>
              <w:t>32</w:t>
            </w:r>
          </w:hyperlink>
        </w:p>
        <w:p>
          <w:pPr>
            <w:pStyle w:val="TOC3"/>
            <w:tabs>
              <w:tab w:val="clear" w:pos="9513"/>
              <w:tab w:val="right" w:pos="9359" w:leader="dot"/>
            </w:tabs>
            <w:rPr/>
          </w:pPr>
          <w:hyperlink w:anchor="__RefHeading___Toc1269_217012103" w:tooltip="Chúng ta nên bắt đầu từ đâu?">
            <w:r>
              <w:rPr>
                <w:rStyle w:val="IndexLink"/>
              </w:rPr>
              <w:t>Chúng ta nên bắt đầu từ đâu?</w:t>
              <w:tab/>
              <w:t>32</w:t>
            </w:r>
          </w:hyperlink>
        </w:p>
        <w:p>
          <w:pPr>
            <w:pStyle w:val="TOC3"/>
            <w:tabs>
              <w:tab w:val="clear" w:pos="9513"/>
              <w:tab w:val="right" w:pos="9359" w:leader="dot"/>
            </w:tabs>
            <w:rPr/>
          </w:pPr>
          <w:hyperlink w:anchor="__RefHeading___Toc1271_217012103" w:tooltip="Rủi ro lớn nhất là gì?">
            <w:r>
              <w:rPr>
                <w:rStyle w:val="IndexLink"/>
              </w:rPr>
              <w:t>Rủi ro lớn nhất là gì?</w:t>
              <w:tab/>
              <w:t>32</w:t>
            </w:r>
          </w:hyperlink>
        </w:p>
        <w:p>
          <w:pPr>
            <w:pStyle w:val="TOC3"/>
            <w:tabs>
              <w:tab w:val="clear" w:pos="9513"/>
              <w:tab w:val="right" w:pos="9359" w:leader="dot"/>
            </w:tabs>
            <w:rPr/>
          </w:pPr>
          <w:hyperlink w:anchor="__RefHeading___Toc1273_217012103" w:tooltip="Mất bao lâu để thấy giá trị?">
            <w:r>
              <w:rPr>
                <w:rStyle w:val="IndexLink"/>
              </w:rPr>
              <w:t>Mất bao lâu để thấy giá trị?</w:t>
              <w:tab/>
              <w:t>32</w:t>
            </w:r>
          </w:hyperlink>
        </w:p>
        <w:p>
          <w:pPr>
            <w:pStyle w:val="TOC3"/>
            <w:tabs>
              <w:tab w:val="clear" w:pos="9513"/>
              <w:tab w:val="right" w:pos="9359" w:leader="dot"/>
            </w:tabs>
            <w:rPr/>
          </w:pPr>
          <w:hyperlink w:anchor="__RefHeading___Toc1275_217012103" w:tooltip="Chi phí có kiểm soát được không?">
            <w:r>
              <w:rPr>
                <w:rStyle w:val="IndexLink"/>
              </w:rPr>
              <w:t>Chi phí có kiểm soát được không?</w:t>
              <w:tab/>
              <w:t>32</w:t>
            </w:r>
          </w:hyperlink>
        </w:p>
        <w:p>
          <w:pPr>
            <w:pStyle w:val="TOC3"/>
            <w:tabs>
              <w:tab w:val="clear" w:pos="9513"/>
              <w:tab w:val="right" w:pos="9359" w:leader="dot"/>
            </w:tabs>
            <w:rPr/>
          </w:pPr>
          <w:hyperlink w:anchor="__RefHeading___Toc1277_217012103" w:tooltip="Chúng ta có cần tự xây mô hình AI riêng không?">
            <w:r>
              <w:rPr>
                <w:rStyle w:val="IndexLink"/>
              </w:rPr>
              <w:t>Chúng ta có cần tự xây mô hình AI riêng không?</w:t>
              <w:tab/>
              <w:t>32</w:t>
            </w:r>
          </w:hyperlink>
        </w:p>
        <w:p>
          <w:pPr>
            <w:pStyle w:val="TOC1"/>
            <w:tabs>
              <w:tab w:val="clear" w:pos="10080"/>
              <w:tab w:val="right" w:pos="9359" w:leader="dot"/>
            </w:tabs>
            <w:rPr/>
          </w:pPr>
          <w:hyperlink w:anchor="__RefHeading___Toc1279_217012103" w:tooltip="Phụ lục D — Nguồn tham khảo">
            <w:r>
              <w:rPr>
                <w:rStyle w:val="IndexLink"/>
              </w:rPr>
              <w:t>Phụ lục D — Nguồn tham khảo</w:t>
              <w:tab/>
              <w:t>33</w:t>
            </w:r>
          </w:hyperlink>
          <w:r>
            <w:rPr>
              <w:rStyle w:val="IndexLink"/>
            </w:rPr>
            <w:fldChar w:fldCharType="end"/>
          </w:r>
        </w:p>
      </w:sdtContent>
    </w:sdt>
    <w:p>
      <w:pPr>
        <w:pStyle w:val="Normal"/>
        <w:rPr/>
      </w:pPr>
      <w:r>
        <w:rPr/>
      </w:r>
    </w:p>
    <w:p>
      <w:pPr>
        <w:pStyle w:val="Heading1"/>
        <w:rPr/>
      </w:pPr>
      <w:bookmarkStart w:id="0" w:name="__RefHeading___Toc1173_217012103"/>
      <w:bookmarkEnd w:id="0"/>
      <w:r>
        <w:rPr/>
        <w:t>Tóm tắt dành cho Lãnh đạo</w:t>
      </w:r>
    </w:p>
    <w:p>
      <w:pPr>
        <w:pStyle w:val="Normal"/>
        <w:spacing w:lineRule="auto" w:line="319" w:before="0" w:after="185"/>
        <w:jc w:val="both"/>
        <w:rPr/>
      </w:pPr>
      <w:r>
        <w:rPr>
          <w:color w:val="16233B"/>
          <w:sz w:val="25"/>
          <w:szCs w:val="25"/>
        </w:rPr>
        <w:t>Năm 2026 đánh dấu thời điểm AI Agent — các tác tử trí tuệ nhân tạo có khả năng tự lập kế hoạch, ra quyết định và hành động — chuyển từ giai đoạn thử nghiệm sang trở thành một lớp năng lực vận hành cốt lõi của doanh nghiệp. Đây không còn là câu hỏi “có nên dùng hay không”, mà là “triển khai ở đâu, với tốc độ nào và kiểm soát rủi ro ra sao”.</w:t>
      </w:r>
    </w:p>
    <w:p>
      <w:pPr>
        <w:pStyle w:val="Normal"/>
        <w:spacing w:lineRule="auto" w:line="314" w:before="0" w:after="165"/>
        <w:jc w:val="both"/>
        <w:rPr/>
      </w:pPr>
      <w:r>
        <w:rPr/>
        <w:t xml:space="preserve">Khác với chatbot trả lời câu hỏi hay phần mềm tự động hóa quy tắc (RPA), AI Agent </w:t>
      </w:r>
      <w:r>
        <w:rPr>
          <w:b/>
          <w:bCs/>
        </w:rPr>
        <w:t>tiếp quản cả lớp thực thi</w:t>
      </w:r>
      <w:r>
        <w:rPr/>
        <w:t>: hiểu mục tiêu, chia nhỏ công việc, gọi công cụ và API, cập nhật dữ liệu, xử lý ngoại lệ và hành động chủ động xuyên nhiều hệ thống. Sự kết hợp giữa các mô hình suy luận thế hệ mới và các giao thức mở (MCP, A2A) đã hạ thấp rào cản kỹ thuật, biến tác tử thành một “lực lượng lao động số” có thể mở rộng.</w:t>
      </w:r>
    </w:p>
    <w:tbl>
      <w:tblPr>
        <w:tblW w:w="9360" w:type="dxa"/>
        <w:jc w:val="left"/>
        <w:tblInd w:w="255" w:type="dxa"/>
        <w:tblLayout w:type="fixed"/>
        <w:tblCellMar>
          <w:top w:w="140" w:type="dxa"/>
          <w:left w:w="220" w:type="dxa"/>
          <w:bottom w:w="140" w:type="dxa"/>
          <w:right w:w="200" w:type="dxa"/>
        </w:tblCellMar>
      </w:tblPr>
      <w:tblGrid>
        <w:gridCol w:w="9360"/>
      </w:tblGrid>
      <w:tr>
        <w:trPr/>
        <w:tc>
          <w:tcPr>
            <w:tcW w:w="9360" w:type="dxa"/>
            <w:tcBorders>
              <w:top w:val="single" w:sz="2" w:space="0" w:color="FBF1DD"/>
              <w:left w:val="single" w:sz="28" w:space="0" w:color="E0890F"/>
              <w:bottom w:val="single" w:sz="2" w:space="0" w:color="FBF1DD"/>
              <w:right w:val="single" w:sz="2" w:space="0" w:color="FBF1DD"/>
            </w:tcBorders>
            <w:shd w:fill="FBF1DD" w:val="clear"/>
          </w:tcPr>
          <w:p>
            <w:pPr>
              <w:pStyle w:val="Normal"/>
              <w:spacing w:before="0" w:after="60"/>
              <w:rPr/>
            </w:pPr>
            <w:r>
              <w:rPr>
                <w:b/>
                <w:bCs/>
                <w:color w:val="E0890F"/>
                <w:sz w:val="23"/>
                <w:szCs w:val="23"/>
              </w:rPr>
              <w:t>Năm thông điệp cốt lõi</w:t>
            </w:r>
          </w:p>
          <w:p>
            <w:pPr>
              <w:pStyle w:val="Normal"/>
              <w:spacing w:lineRule="auto" w:line="281" w:before="0" w:after="70"/>
              <w:rPr/>
            </w:pPr>
            <w:r>
              <w:rPr>
                <w:b/>
                <w:bCs/>
                <w:sz w:val="22"/>
                <w:szCs w:val="22"/>
              </w:rPr>
              <w:t>1. Thị trường tăng tốc theo cấp số nhân.</w:t>
            </w:r>
            <w:r>
              <w:rPr>
                <w:sz w:val="22"/>
                <w:szCs w:val="22"/>
              </w:rPr>
              <w:t xml:space="preserve"> Quy mô thị trường AI Agent toàn cầu ước đạt khoảng 7,8 tỷ USD năm 2025 và được dự báo lên ~52,6 tỷ USD vào năm 2030 (CAGR ~46%/năm).</w:t>
            </w:r>
          </w:p>
          <w:p>
            <w:pPr>
              <w:pStyle w:val="Normal"/>
              <w:spacing w:lineRule="auto" w:line="281" w:before="0" w:after="70"/>
              <w:rPr/>
            </w:pPr>
            <w:r>
              <w:rPr>
                <w:b/>
                <w:bCs/>
                <w:sz w:val="22"/>
                <w:szCs w:val="22"/>
              </w:rPr>
              <w:t>2. Áp dụng rộng nhưng triển khai thật còn hẹp.</w:t>
            </w:r>
            <w:r>
              <w:rPr>
                <w:sz w:val="22"/>
                <w:szCs w:val="22"/>
              </w:rPr>
              <w:t xml:space="preserve"> 88% tổ chức đã dùng AI ở ít nhất một nghiệp vụ, song chỉ khoảng 11% thực sự vận hành AI Agent trong môi trường production — đây chính là khoảng trống cơ hội.</w:t>
            </w:r>
          </w:p>
          <w:p>
            <w:pPr>
              <w:pStyle w:val="Normal"/>
              <w:spacing w:lineRule="auto" w:line="281" w:before="0" w:after="70"/>
              <w:rPr/>
            </w:pPr>
            <w:r>
              <w:rPr>
                <w:b/>
                <w:bCs/>
                <w:sz w:val="22"/>
                <w:szCs w:val="22"/>
              </w:rPr>
              <w:t>3. ROI đã được chứng minh.</w:t>
            </w:r>
            <w:r>
              <w:rPr>
                <w:sz w:val="22"/>
                <w:szCs w:val="22"/>
              </w:rPr>
              <w:t xml:space="preserve"> Các doanh nghiệp triển khai bài bản ghi nhận ROI trung bình ~171% (Mỹ: 192%), cùng nhiều bằng chứng giảm 30–35% chi phí dịch vụ và tăng ~34% năng suất.</w:t>
            </w:r>
          </w:p>
          <w:p>
            <w:pPr>
              <w:pStyle w:val="Normal"/>
              <w:spacing w:lineRule="auto" w:line="281" w:before="0" w:after="70"/>
              <w:rPr/>
            </w:pPr>
            <w:r>
              <w:rPr>
                <w:b/>
                <w:bCs/>
                <w:sz w:val="22"/>
                <w:szCs w:val="22"/>
              </w:rPr>
              <w:t>4. Quản trị là yếu tố quyết định thành bại.</w:t>
            </w:r>
            <w:r>
              <w:rPr>
                <w:sz w:val="22"/>
                <w:szCs w:val="22"/>
              </w:rPr>
              <w:t xml:space="preserve"> Gartner cảnh báo hơn 40% dự án agentic AI có nguy cơ bị hủy trước cuối 2027 vì chi phí leo thang, giá trị mơ hồ và thiếu kiểm soát.</w:t>
            </w:r>
          </w:p>
          <w:p>
            <w:pPr>
              <w:pStyle w:val="Normal"/>
              <w:spacing w:lineRule="auto" w:line="281" w:before="0" w:after="0"/>
              <w:rPr/>
            </w:pPr>
            <w:r>
              <w:rPr>
                <w:b/>
                <w:bCs/>
                <w:sz w:val="22"/>
                <w:szCs w:val="22"/>
              </w:rPr>
              <w:t>5. Ba năm tới sẽ định hình lại mô hình kinh doanh.</w:t>
            </w:r>
            <w:r>
              <w:rPr>
                <w:sz w:val="22"/>
                <w:szCs w:val="22"/>
              </w:rPr>
              <w:t xml:space="preserve"> Đến 2028, 15% quyết định công việc hằng ngày được tự động hóa và 90% giao dịch mua sắm B2B sẽ qua trung gian AI Agent.</w:t>
            </w:r>
          </w:p>
        </w:tc>
      </w:tr>
    </w:tbl>
    <w:p>
      <w:pPr>
        <w:pStyle w:val="Normal"/>
        <w:spacing w:before="0" w:after="60"/>
        <w:rPr/>
      </w:pPr>
      <w:r>
        <w:rPr/>
      </w:r>
    </w:p>
    <w:p>
      <w:pPr>
        <w:pStyle w:val="Normal"/>
        <w:spacing w:lineRule="auto" w:line="314" w:before="0" w:after="165"/>
        <w:jc w:val="both"/>
        <w:rPr/>
      </w:pPr>
      <w:r>
        <w:rPr/>
        <w:t>Báo cáo này cung cấp cho Ban Lãnh đạo một bức tranh toàn diện: (i) bản chất và sự tiến hóa của công nghệ AI Agent; (ii) các ứng dụng thực chiến đã tạo ra giá trị đo lường được trong vận hành chung và ở ba ngành trọng điểm; (iii) rủi ro, bài học triển khai; và (iv) dự báo tiến hóa giai đoạn 2026–2029 kèm khuyến nghị hành động cụ thể.</w:t>
      </w:r>
    </w:p>
    <w:p>
      <w:pPr>
        <w:pStyle w:val="Heading1"/>
        <w:rPr/>
      </w:pPr>
      <w:bookmarkStart w:id="1" w:name="__RefHeading___Toc1175_217012103"/>
      <w:bookmarkEnd w:id="1"/>
      <w:r>
        <w:rPr/>
        <w:t>Phần 1 — Tổng quan và sự phát triển của AI Agent</w:t>
      </w:r>
    </w:p>
    <w:p>
      <w:pPr>
        <w:pStyle w:val="Heading2"/>
        <w:rPr/>
      </w:pPr>
      <w:bookmarkStart w:id="2" w:name="__RefHeading___Toc1177_217012103"/>
      <w:bookmarkEnd w:id="2"/>
      <w:r>
        <w:rPr/>
        <w:t>1.1. AI Agent là gì?</w:t>
      </w:r>
    </w:p>
    <w:p>
      <w:pPr>
        <w:pStyle w:val="Normal"/>
        <w:spacing w:lineRule="auto" w:line="314" w:before="0" w:after="165"/>
        <w:jc w:val="both"/>
        <w:rPr/>
      </w:pPr>
      <w:r>
        <w:rPr/>
        <w:t xml:space="preserve">AI Agent (tác tử trí tuệ nhân tạo) là hệ thống phần mềm sử dụng mô hình ngôn ngữ lớn (LLM) làm “bộ não” suy luận, có khả năng </w:t>
      </w:r>
      <w:r>
        <w:rPr>
          <w:b/>
          <w:bCs/>
        </w:rPr>
        <w:t>nhận thức môi trường, tự lập kế hoạch, ra quyết định và thực thi hành động</w:t>
      </w:r>
      <w:r>
        <w:rPr/>
        <w:t xml:space="preserve"> nhằm đạt một mục tiêu được giao — với mức độ giám sát tối thiểu của con người. Thay vì chỉ tạo ra văn bản hay câu trả lời, tác tử có thể gọi công cụ, truy vấn cơ sở dữ liệu, thao tác trên ứng dụng, ghi nhớ ngữ cảnh qua thời gian và tự điều chỉnh chiến lược khi gặp lỗi.</w:t>
      </w:r>
    </w:p>
    <w:p>
      <w:pPr>
        <w:pStyle w:val="Normal"/>
        <w:spacing w:lineRule="auto" w:line="314" w:before="0" w:after="165"/>
        <w:jc w:val="both"/>
        <w:rPr/>
      </w:pPr>
      <w:r>
        <w:rPr/>
        <w:t xml:space="preserve">Điểm khác biệt căn bản nằm ở </w:t>
      </w:r>
      <w:r>
        <w:rPr>
          <w:b/>
          <w:bCs/>
        </w:rPr>
        <w:t>quyền tự chủ (autonomy)</w:t>
      </w:r>
      <w:r>
        <w:rPr/>
        <w:t xml:space="preserve"> và </w:t>
      </w:r>
      <w:r>
        <w:rPr>
          <w:b/>
          <w:bCs/>
        </w:rPr>
        <w:t>khả năng hành động (agency)</w:t>
      </w:r>
      <w:r>
        <w:rPr/>
        <w:t>. Một trợ lý AI gợi ý câu trả lời để con người duyệt; một AI Agent được giao mục tiêu “xử lý yêu cầu hoàn tiền của khách” sẽ tự tra cứu đơn hàng, kiểm tra chính sách, thực hiện hoàn tiền và gửi xác nhận — khép kín toàn bộ quy trình.</w:t>
      </w:r>
    </w:p>
    <w:tbl>
      <w:tblPr>
        <w:tblW w:w="9360" w:type="dxa"/>
        <w:jc w:val="left"/>
        <w:tblInd w:w="111" w:type="dxa"/>
        <w:tblLayout w:type="fixed"/>
        <w:tblCellMar>
          <w:top w:w="70" w:type="dxa"/>
          <w:left w:w="110" w:type="dxa"/>
          <w:bottom w:w="70" w:type="dxa"/>
          <w:right w:w="110" w:type="dxa"/>
        </w:tblCellMar>
      </w:tblPr>
      <w:tblGrid>
        <w:gridCol w:w="1699"/>
        <w:gridCol w:w="2541"/>
        <w:gridCol w:w="2519"/>
        <w:gridCol w:w="2601"/>
      </w:tblGrid>
      <w:tr>
        <w:trPr>
          <w:tblHeader w:val="true"/>
        </w:trPr>
        <w:tc>
          <w:tcPr>
            <w:tcW w:w="1699" w:type="dxa"/>
            <w:tcBorders>
              <w:top w:val="single" w:sz="2" w:space="0" w:color="C9D6E5"/>
              <w:left w:val="single" w:sz="2" w:space="0" w:color="C9D6E5"/>
              <w:bottom w:val="single" w:sz="2" w:space="0" w:color="C9D6E5"/>
              <w:right w:val="single" w:sz="2" w:space="0" w:color="C9D6E5"/>
            </w:tcBorders>
            <w:shd w:fill="0F2440" w:val="clear"/>
            <w:vAlign w:val="center"/>
          </w:tcPr>
          <w:p>
            <w:pPr>
              <w:pStyle w:val="Normal"/>
              <w:rPr/>
            </w:pPr>
            <w:r>
              <w:rPr>
                <w:b/>
                <w:bCs/>
                <w:color w:val="FFFFFF"/>
                <w:sz w:val="21"/>
                <w:szCs w:val="21"/>
              </w:rPr>
              <w:t>Tiêu chí</w:t>
            </w:r>
          </w:p>
        </w:tc>
        <w:tc>
          <w:tcPr>
            <w:tcW w:w="2541" w:type="dxa"/>
            <w:tcBorders>
              <w:top w:val="single" w:sz="2" w:space="0" w:color="C9D6E5"/>
              <w:left w:val="single" w:sz="2" w:space="0" w:color="C9D6E5"/>
              <w:bottom w:val="single" w:sz="2" w:space="0" w:color="C9D6E5"/>
              <w:right w:val="single" w:sz="2" w:space="0" w:color="C9D6E5"/>
            </w:tcBorders>
            <w:shd w:fill="0F2440" w:val="clear"/>
            <w:vAlign w:val="center"/>
          </w:tcPr>
          <w:p>
            <w:pPr>
              <w:pStyle w:val="Normal"/>
              <w:rPr/>
            </w:pPr>
            <w:r>
              <w:rPr>
                <w:b/>
                <w:bCs/>
                <w:color w:val="FFFFFF"/>
                <w:sz w:val="21"/>
                <w:szCs w:val="21"/>
              </w:rPr>
              <w:t>RPA / Tự động hóa</w:t>
            </w:r>
          </w:p>
        </w:tc>
        <w:tc>
          <w:tcPr>
            <w:tcW w:w="2519" w:type="dxa"/>
            <w:tcBorders>
              <w:top w:val="single" w:sz="2" w:space="0" w:color="C9D6E5"/>
              <w:left w:val="single" w:sz="2" w:space="0" w:color="C9D6E5"/>
              <w:bottom w:val="single" w:sz="2" w:space="0" w:color="C9D6E5"/>
              <w:right w:val="single" w:sz="2" w:space="0" w:color="C9D6E5"/>
            </w:tcBorders>
            <w:shd w:fill="0F2440" w:val="clear"/>
            <w:vAlign w:val="center"/>
          </w:tcPr>
          <w:p>
            <w:pPr>
              <w:pStyle w:val="Normal"/>
              <w:rPr/>
            </w:pPr>
            <w:r>
              <w:rPr>
                <w:b/>
                <w:bCs/>
                <w:color w:val="FFFFFF"/>
                <w:sz w:val="21"/>
                <w:szCs w:val="21"/>
              </w:rPr>
              <w:t>Chatbot / Trợ lý</w:t>
            </w:r>
          </w:p>
        </w:tc>
        <w:tc>
          <w:tcPr>
            <w:tcW w:w="2601" w:type="dxa"/>
            <w:tcBorders>
              <w:top w:val="single" w:sz="2" w:space="0" w:color="C9D6E5"/>
              <w:left w:val="single" w:sz="2" w:space="0" w:color="C9D6E5"/>
              <w:bottom w:val="single" w:sz="2" w:space="0" w:color="C9D6E5"/>
              <w:right w:val="single" w:sz="2" w:space="0" w:color="C9D6E5"/>
            </w:tcBorders>
            <w:shd w:fill="0F2440" w:val="clear"/>
            <w:vAlign w:val="center"/>
          </w:tcPr>
          <w:p>
            <w:pPr>
              <w:pStyle w:val="Normal"/>
              <w:rPr/>
            </w:pPr>
            <w:r>
              <w:rPr>
                <w:b/>
                <w:bCs/>
                <w:color w:val="FFFFFF"/>
                <w:sz w:val="21"/>
                <w:szCs w:val="21"/>
              </w:rPr>
              <w:t>AI Agent</w:t>
            </w:r>
          </w:p>
        </w:tc>
      </w:tr>
      <w:tr>
        <w:trPr/>
        <w:tc>
          <w:tcPr>
            <w:tcW w:w="1699" w:type="dxa"/>
            <w:tcBorders>
              <w:top w:val="single" w:sz="2" w:space="0" w:color="C9D6E5"/>
              <w:left w:val="single" w:sz="2" w:space="0" w:color="C9D6E5"/>
              <w:bottom w:val="single" w:sz="2" w:space="0" w:color="C9D6E5"/>
              <w:right w:val="single" w:sz="2" w:space="0" w:color="C9D6E5"/>
            </w:tcBorders>
            <w:shd w:fill="FFFFFF" w:val="clear"/>
            <w:tcMar>
              <w:top w:w="60" w:type="dxa"/>
              <w:bottom w:w="60" w:type="dxa"/>
            </w:tcMar>
            <w:vAlign w:val="center"/>
          </w:tcPr>
          <w:p>
            <w:pPr>
              <w:pStyle w:val="Normal"/>
              <w:spacing w:lineRule="auto" w:line="271"/>
              <w:rPr/>
            </w:pPr>
            <w:r>
              <w:rPr>
                <w:sz w:val="21"/>
                <w:szCs w:val="21"/>
              </w:rPr>
              <w:t>Cơ chế</w:t>
            </w:r>
          </w:p>
        </w:tc>
        <w:tc>
          <w:tcPr>
            <w:tcW w:w="2541" w:type="dxa"/>
            <w:tcBorders>
              <w:top w:val="single" w:sz="2" w:space="0" w:color="C9D6E5"/>
              <w:left w:val="single" w:sz="2" w:space="0" w:color="C9D6E5"/>
              <w:bottom w:val="single" w:sz="2" w:space="0" w:color="C9D6E5"/>
              <w:right w:val="single" w:sz="2" w:space="0" w:color="C9D6E5"/>
            </w:tcBorders>
            <w:shd w:fill="FFFFFF" w:val="clear"/>
            <w:tcMar>
              <w:top w:w="60" w:type="dxa"/>
              <w:bottom w:w="60" w:type="dxa"/>
            </w:tcMar>
            <w:vAlign w:val="center"/>
          </w:tcPr>
          <w:p>
            <w:pPr>
              <w:pStyle w:val="Normal"/>
              <w:spacing w:lineRule="auto" w:line="271"/>
              <w:rPr/>
            </w:pPr>
            <w:r>
              <w:rPr>
                <w:sz w:val="21"/>
                <w:szCs w:val="21"/>
              </w:rPr>
              <w:t>Kịch bản &amp; quy tắc cố định</w:t>
            </w:r>
          </w:p>
        </w:tc>
        <w:tc>
          <w:tcPr>
            <w:tcW w:w="2519" w:type="dxa"/>
            <w:tcBorders>
              <w:top w:val="single" w:sz="2" w:space="0" w:color="C9D6E5"/>
              <w:left w:val="single" w:sz="2" w:space="0" w:color="C9D6E5"/>
              <w:bottom w:val="single" w:sz="2" w:space="0" w:color="C9D6E5"/>
              <w:right w:val="single" w:sz="2" w:space="0" w:color="C9D6E5"/>
            </w:tcBorders>
            <w:shd w:fill="FFFFFF" w:val="clear"/>
            <w:tcMar>
              <w:top w:w="60" w:type="dxa"/>
              <w:bottom w:w="60" w:type="dxa"/>
            </w:tcMar>
            <w:vAlign w:val="center"/>
          </w:tcPr>
          <w:p>
            <w:pPr>
              <w:pStyle w:val="Normal"/>
              <w:spacing w:lineRule="auto" w:line="271"/>
              <w:rPr/>
            </w:pPr>
            <w:r>
              <w:rPr>
                <w:sz w:val="21"/>
                <w:szCs w:val="21"/>
              </w:rPr>
              <w:t>Hỏi–đáp theo mẫu / LLM</w:t>
            </w:r>
          </w:p>
        </w:tc>
        <w:tc>
          <w:tcPr>
            <w:tcW w:w="2601" w:type="dxa"/>
            <w:tcBorders>
              <w:top w:val="single" w:sz="2" w:space="0" w:color="C9D6E5"/>
              <w:left w:val="single" w:sz="2" w:space="0" w:color="C9D6E5"/>
              <w:bottom w:val="single" w:sz="2" w:space="0" w:color="C9D6E5"/>
              <w:right w:val="single" w:sz="2" w:space="0" w:color="C9D6E5"/>
            </w:tcBorders>
            <w:shd w:fill="FFFFFF" w:val="clear"/>
            <w:tcMar>
              <w:top w:w="60" w:type="dxa"/>
              <w:bottom w:w="60" w:type="dxa"/>
            </w:tcMar>
            <w:vAlign w:val="center"/>
          </w:tcPr>
          <w:p>
            <w:pPr>
              <w:pStyle w:val="Normal"/>
              <w:spacing w:lineRule="auto" w:line="271"/>
              <w:rPr/>
            </w:pPr>
            <w:r>
              <w:rPr>
                <w:sz w:val="21"/>
                <w:szCs w:val="21"/>
              </w:rPr>
              <w:t>Suy luận + lập kế hoạch + hành động</w:t>
            </w:r>
          </w:p>
        </w:tc>
      </w:tr>
      <w:tr>
        <w:trPr/>
        <w:tc>
          <w:tcPr>
            <w:tcW w:w="1699" w:type="dxa"/>
            <w:tcBorders>
              <w:top w:val="single" w:sz="2" w:space="0" w:color="C9D6E5"/>
              <w:left w:val="single" w:sz="2" w:space="0" w:color="C9D6E5"/>
              <w:bottom w:val="single" w:sz="2" w:space="0" w:color="C9D6E5"/>
              <w:right w:val="single" w:sz="2" w:space="0" w:color="C9D6E5"/>
            </w:tcBorders>
            <w:shd w:fill="F4F7FB" w:val="clear"/>
            <w:tcMar>
              <w:top w:w="60" w:type="dxa"/>
              <w:bottom w:w="60" w:type="dxa"/>
            </w:tcMar>
            <w:vAlign w:val="center"/>
          </w:tcPr>
          <w:p>
            <w:pPr>
              <w:pStyle w:val="Normal"/>
              <w:spacing w:lineRule="auto" w:line="271"/>
              <w:rPr/>
            </w:pPr>
            <w:r>
              <w:rPr>
                <w:sz w:val="21"/>
                <w:szCs w:val="21"/>
              </w:rPr>
              <w:t>Xử lý ngoại lệ</w:t>
            </w:r>
          </w:p>
        </w:tc>
        <w:tc>
          <w:tcPr>
            <w:tcW w:w="2541" w:type="dxa"/>
            <w:tcBorders>
              <w:top w:val="single" w:sz="2" w:space="0" w:color="C9D6E5"/>
              <w:left w:val="single" w:sz="2" w:space="0" w:color="C9D6E5"/>
              <w:bottom w:val="single" w:sz="2" w:space="0" w:color="C9D6E5"/>
              <w:right w:val="single" w:sz="2" w:space="0" w:color="C9D6E5"/>
            </w:tcBorders>
            <w:shd w:fill="F4F7FB" w:val="clear"/>
            <w:tcMar>
              <w:top w:w="60" w:type="dxa"/>
              <w:bottom w:w="60" w:type="dxa"/>
            </w:tcMar>
            <w:vAlign w:val="center"/>
          </w:tcPr>
          <w:p>
            <w:pPr>
              <w:pStyle w:val="Normal"/>
              <w:spacing w:lineRule="auto" w:line="271"/>
              <w:rPr/>
            </w:pPr>
            <w:r>
              <w:rPr>
                <w:sz w:val="21"/>
                <w:szCs w:val="21"/>
              </w:rPr>
              <w:t>Hỏng khi lệch kịch bản</w:t>
            </w:r>
          </w:p>
        </w:tc>
        <w:tc>
          <w:tcPr>
            <w:tcW w:w="2519" w:type="dxa"/>
            <w:tcBorders>
              <w:top w:val="single" w:sz="2" w:space="0" w:color="C9D6E5"/>
              <w:left w:val="single" w:sz="2" w:space="0" w:color="C9D6E5"/>
              <w:bottom w:val="single" w:sz="2" w:space="0" w:color="C9D6E5"/>
              <w:right w:val="single" w:sz="2" w:space="0" w:color="C9D6E5"/>
            </w:tcBorders>
            <w:shd w:fill="F4F7FB" w:val="clear"/>
            <w:tcMar>
              <w:top w:w="60" w:type="dxa"/>
              <w:bottom w:w="60" w:type="dxa"/>
            </w:tcMar>
            <w:vAlign w:val="center"/>
          </w:tcPr>
          <w:p>
            <w:pPr>
              <w:pStyle w:val="Normal"/>
              <w:spacing w:lineRule="auto" w:line="271"/>
              <w:rPr/>
            </w:pPr>
            <w:r>
              <w:rPr>
                <w:sz w:val="21"/>
                <w:szCs w:val="21"/>
              </w:rPr>
              <w:t>Hạn chế</w:t>
            </w:r>
          </w:p>
        </w:tc>
        <w:tc>
          <w:tcPr>
            <w:tcW w:w="2601" w:type="dxa"/>
            <w:tcBorders>
              <w:top w:val="single" w:sz="2" w:space="0" w:color="C9D6E5"/>
              <w:left w:val="single" w:sz="2" w:space="0" w:color="C9D6E5"/>
              <w:bottom w:val="single" w:sz="2" w:space="0" w:color="C9D6E5"/>
              <w:right w:val="single" w:sz="2" w:space="0" w:color="C9D6E5"/>
            </w:tcBorders>
            <w:shd w:fill="F4F7FB" w:val="clear"/>
            <w:tcMar>
              <w:top w:w="60" w:type="dxa"/>
              <w:bottom w:w="60" w:type="dxa"/>
            </w:tcMar>
            <w:vAlign w:val="center"/>
          </w:tcPr>
          <w:p>
            <w:pPr>
              <w:pStyle w:val="Normal"/>
              <w:spacing w:lineRule="auto" w:line="271"/>
              <w:rPr/>
            </w:pPr>
            <w:r>
              <w:rPr>
                <w:sz w:val="21"/>
                <w:szCs w:val="21"/>
              </w:rPr>
              <w:t>Tự thích ứng, thử lại</w:t>
            </w:r>
          </w:p>
        </w:tc>
      </w:tr>
      <w:tr>
        <w:trPr/>
        <w:tc>
          <w:tcPr>
            <w:tcW w:w="1699" w:type="dxa"/>
            <w:tcBorders>
              <w:top w:val="single" w:sz="2" w:space="0" w:color="C9D6E5"/>
              <w:left w:val="single" w:sz="2" w:space="0" w:color="C9D6E5"/>
              <w:bottom w:val="single" w:sz="2" w:space="0" w:color="C9D6E5"/>
              <w:right w:val="single" w:sz="2" w:space="0" w:color="C9D6E5"/>
            </w:tcBorders>
            <w:shd w:fill="FFFFFF" w:val="clear"/>
            <w:tcMar>
              <w:top w:w="60" w:type="dxa"/>
              <w:bottom w:w="60" w:type="dxa"/>
            </w:tcMar>
            <w:vAlign w:val="center"/>
          </w:tcPr>
          <w:p>
            <w:pPr>
              <w:pStyle w:val="Normal"/>
              <w:spacing w:lineRule="auto" w:line="271"/>
              <w:rPr/>
            </w:pPr>
            <w:r>
              <w:rPr>
                <w:sz w:val="21"/>
                <w:szCs w:val="21"/>
              </w:rPr>
              <w:t>Phạm vi</w:t>
            </w:r>
          </w:p>
        </w:tc>
        <w:tc>
          <w:tcPr>
            <w:tcW w:w="2541" w:type="dxa"/>
            <w:tcBorders>
              <w:top w:val="single" w:sz="2" w:space="0" w:color="C9D6E5"/>
              <w:left w:val="single" w:sz="2" w:space="0" w:color="C9D6E5"/>
              <w:bottom w:val="single" w:sz="2" w:space="0" w:color="C9D6E5"/>
              <w:right w:val="single" w:sz="2" w:space="0" w:color="C9D6E5"/>
            </w:tcBorders>
            <w:shd w:fill="FFFFFF" w:val="clear"/>
            <w:tcMar>
              <w:top w:w="60" w:type="dxa"/>
              <w:bottom w:w="60" w:type="dxa"/>
            </w:tcMar>
            <w:vAlign w:val="center"/>
          </w:tcPr>
          <w:p>
            <w:pPr>
              <w:pStyle w:val="Normal"/>
              <w:spacing w:lineRule="auto" w:line="271"/>
              <w:rPr/>
            </w:pPr>
            <w:r>
              <w:rPr>
                <w:sz w:val="21"/>
                <w:szCs w:val="21"/>
              </w:rPr>
              <w:t>Một tác vụ lặp lại</w:t>
            </w:r>
          </w:p>
        </w:tc>
        <w:tc>
          <w:tcPr>
            <w:tcW w:w="2519" w:type="dxa"/>
            <w:tcBorders>
              <w:top w:val="single" w:sz="2" w:space="0" w:color="C9D6E5"/>
              <w:left w:val="single" w:sz="2" w:space="0" w:color="C9D6E5"/>
              <w:bottom w:val="single" w:sz="2" w:space="0" w:color="C9D6E5"/>
              <w:right w:val="single" w:sz="2" w:space="0" w:color="C9D6E5"/>
            </w:tcBorders>
            <w:shd w:fill="FFFFFF" w:val="clear"/>
            <w:tcMar>
              <w:top w:w="60" w:type="dxa"/>
              <w:bottom w:w="60" w:type="dxa"/>
            </w:tcMar>
            <w:vAlign w:val="center"/>
          </w:tcPr>
          <w:p>
            <w:pPr>
              <w:pStyle w:val="Normal"/>
              <w:spacing w:lineRule="auto" w:line="271"/>
              <w:rPr/>
            </w:pPr>
            <w:r>
              <w:rPr>
                <w:sz w:val="21"/>
                <w:szCs w:val="21"/>
              </w:rPr>
              <w:t>Hội thoại đơn lẻ</w:t>
            </w:r>
          </w:p>
        </w:tc>
        <w:tc>
          <w:tcPr>
            <w:tcW w:w="2601" w:type="dxa"/>
            <w:tcBorders>
              <w:top w:val="single" w:sz="2" w:space="0" w:color="C9D6E5"/>
              <w:left w:val="single" w:sz="2" w:space="0" w:color="C9D6E5"/>
              <w:bottom w:val="single" w:sz="2" w:space="0" w:color="C9D6E5"/>
              <w:right w:val="single" w:sz="2" w:space="0" w:color="C9D6E5"/>
            </w:tcBorders>
            <w:shd w:fill="FFFFFF" w:val="clear"/>
            <w:tcMar>
              <w:top w:w="60" w:type="dxa"/>
              <w:bottom w:w="60" w:type="dxa"/>
            </w:tcMar>
            <w:vAlign w:val="center"/>
          </w:tcPr>
          <w:p>
            <w:pPr>
              <w:pStyle w:val="Normal"/>
              <w:spacing w:lineRule="auto" w:line="271"/>
              <w:rPr/>
            </w:pPr>
            <w:r>
              <w:rPr>
                <w:sz w:val="21"/>
                <w:szCs w:val="21"/>
              </w:rPr>
              <w:t>Quy trình đầu–cuối, đa hệ thống</w:t>
            </w:r>
          </w:p>
        </w:tc>
      </w:tr>
      <w:tr>
        <w:trPr/>
        <w:tc>
          <w:tcPr>
            <w:tcW w:w="1699" w:type="dxa"/>
            <w:tcBorders>
              <w:top w:val="single" w:sz="2" w:space="0" w:color="C9D6E5"/>
              <w:left w:val="single" w:sz="2" w:space="0" w:color="C9D6E5"/>
              <w:bottom w:val="single" w:sz="2" w:space="0" w:color="C9D6E5"/>
              <w:right w:val="single" w:sz="2" w:space="0" w:color="C9D6E5"/>
            </w:tcBorders>
            <w:shd w:fill="F4F7FB" w:val="clear"/>
            <w:tcMar>
              <w:top w:w="60" w:type="dxa"/>
              <w:bottom w:w="60" w:type="dxa"/>
            </w:tcMar>
            <w:vAlign w:val="center"/>
          </w:tcPr>
          <w:p>
            <w:pPr>
              <w:pStyle w:val="Normal"/>
              <w:spacing w:lineRule="auto" w:line="271"/>
              <w:rPr/>
            </w:pPr>
            <w:r>
              <w:rPr>
                <w:sz w:val="21"/>
                <w:szCs w:val="21"/>
              </w:rPr>
              <w:t>Vai trò con người</w:t>
            </w:r>
          </w:p>
        </w:tc>
        <w:tc>
          <w:tcPr>
            <w:tcW w:w="2541" w:type="dxa"/>
            <w:tcBorders>
              <w:top w:val="single" w:sz="2" w:space="0" w:color="C9D6E5"/>
              <w:left w:val="single" w:sz="2" w:space="0" w:color="C9D6E5"/>
              <w:bottom w:val="single" w:sz="2" w:space="0" w:color="C9D6E5"/>
              <w:right w:val="single" w:sz="2" w:space="0" w:color="C9D6E5"/>
            </w:tcBorders>
            <w:shd w:fill="F4F7FB" w:val="clear"/>
            <w:tcMar>
              <w:top w:w="60" w:type="dxa"/>
              <w:bottom w:w="60" w:type="dxa"/>
            </w:tcMar>
            <w:vAlign w:val="center"/>
          </w:tcPr>
          <w:p>
            <w:pPr>
              <w:pStyle w:val="Normal"/>
              <w:spacing w:lineRule="auto" w:line="271"/>
              <w:rPr/>
            </w:pPr>
            <w:r>
              <w:rPr>
                <w:sz w:val="21"/>
                <w:szCs w:val="21"/>
              </w:rPr>
              <w:t>Lập trình quy tắc</w:t>
            </w:r>
          </w:p>
        </w:tc>
        <w:tc>
          <w:tcPr>
            <w:tcW w:w="2519" w:type="dxa"/>
            <w:tcBorders>
              <w:top w:val="single" w:sz="2" w:space="0" w:color="C9D6E5"/>
              <w:left w:val="single" w:sz="2" w:space="0" w:color="C9D6E5"/>
              <w:bottom w:val="single" w:sz="2" w:space="0" w:color="C9D6E5"/>
              <w:right w:val="single" w:sz="2" w:space="0" w:color="C9D6E5"/>
            </w:tcBorders>
            <w:shd w:fill="F4F7FB" w:val="clear"/>
            <w:tcMar>
              <w:top w:w="60" w:type="dxa"/>
              <w:bottom w:w="60" w:type="dxa"/>
            </w:tcMar>
            <w:vAlign w:val="center"/>
          </w:tcPr>
          <w:p>
            <w:pPr>
              <w:pStyle w:val="Normal"/>
              <w:spacing w:lineRule="auto" w:line="271"/>
              <w:rPr/>
            </w:pPr>
            <w:r>
              <w:rPr>
                <w:sz w:val="21"/>
                <w:szCs w:val="21"/>
              </w:rPr>
              <w:t>Giám sát hội thoại</w:t>
            </w:r>
          </w:p>
        </w:tc>
        <w:tc>
          <w:tcPr>
            <w:tcW w:w="2601" w:type="dxa"/>
            <w:tcBorders>
              <w:top w:val="single" w:sz="2" w:space="0" w:color="C9D6E5"/>
              <w:left w:val="single" w:sz="2" w:space="0" w:color="C9D6E5"/>
              <w:bottom w:val="single" w:sz="2" w:space="0" w:color="C9D6E5"/>
              <w:right w:val="single" w:sz="2" w:space="0" w:color="C9D6E5"/>
            </w:tcBorders>
            <w:shd w:fill="F4F7FB" w:val="clear"/>
            <w:tcMar>
              <w:top w:w="60" w:type="dxa"/>
              <w:bottom w:w="60" w:type="dxa"/>
            </w:tcMar>
            <w:vAlign w:val="center"/>
          </w:tcPr>
          <w:p>
            <w:pPr>
              <w:pStyle w:val="Normal"/>
              <w:spacing w:lineRule="auto" w:line="271"/>
              <w:rPr/>
            </w:pPr>
            <w:r>
              <w:rPr>
                <w:sz w:val="21"/>
                <w:szCs w:val="21"/>
              </w:rPr>
              <w:t>Giao mục tiêu &amp; giám sát kết quả</w:t>
            </w:r>
          </w:p>
        </w:tc>
      </w:tr>
      <w:tr>
        <w:trPr/>
        <w:tc>
          <w:tcPr>
            <w:tcW w:w="1699" w:type="dxa"/>
            <w:tcBorders>
              <w:top w:val="single" w:sz="2" w:space="0" w:color="C9D6E5"/>
              <w:left w:val="single" w:sz="2" w:space="0" w:color="C9D6E5"/>
              <w:bottom w:val="single" w:sz="2" w:space="0" w:color="C9D6E5"/>
              <w:right w:val="single" w:sz="2" w:space="0" w:color="C9D6E5"/>
            </w:tcBorders>
            <w:shd w:fill="FFFFFF" w:val="clear"/>
            <w:tcMar>
              <w:top w:w="60" w:type="dxa"/>
              <w:bottom w:w="60" w:type="dxa"/>
            </w:tcMar>
            <w:vAlign w:val="center"/>
          </w:tcPr>
          <w:p>
            <w:pPr>
              <w:pStyle w:val="Normal"/>
              <w:spacing w:lineRule="auto" w:line="271"/>
              <w:rPr/>
            </w:pPr>
            <w:r>
              <w:rPr>
                <w:sz w:val="21"/>
                <w:szCs w:val="21"/>
              </w:rPr>
              <w:t>Giá trị</w:t>
            </w:r>
          </w:p>
        </w:tc>
        <w:tc>
          <w:tcPr>
            <w:tcW w:w="2541" w:type="dxa"/>
            <w:tcBorders>
              <w:top w:val="single" w:sz="2" w:space="0" w:color="C9D6E5"/>
              <w:left w:val="single" w:sz="2" w:space="0" w:color="C9D6E5"/>
              <w:bottom w:val="single" w:sz="2" w:space="0" w:color="C9D6E5"/>
              <w:right w:val="single" w:sz="2" w:space="0" w:color="C9D6E5"/>
            </w:tcBorders>
            <w:shd w:fill="FFFFFF" w:val="clear"/>
            <w:tcMar>
              <w:top w:w="60" w:type="dxa"/>
              <w:bottom w:w="60" w:type="dxa"/>
            </w:tcMar>
            <w:vAlign w:val="center"/>
          </w:tcPr>
          <w:p>
            <w:pPr>
              <w:pStyle w:val="Normal"/>
              <w:spacing w:lineRule="auto" w:line="271"/>
              <w:rPr/>
            </w:pPr>
            <w:r>
              <w:rPr>
                <w:sz w:val="21"/>
                <w:szCs w:val="21"/>
              </w:rPr>
              <w:t>Hiệu suất tác vụ</w:t>
            </w:r>
          </w:p>
        </w:tc>
        <w:tc>
          <w:tcPr>
            <w:tcW w:w="2519" w:type="dxa"/>
            <w:tcBorders>
              <w:top w:val="single" w:sz="2" w:space="0" w:color="C9D6E5"/>
              <w:left w:val="single" w:sz="2" w:space="0" w:color="C9D6E5"/>
              <w:bottom w:val="single" w:sz="2" w:space="0" w:color="C9D6E5"/>
              <w:right w:val="single" w:sz="2" w:space="0" w:color="C9D6E5"/>
            </w:tcBorders>
            <w:shd w:fill="FFFFFF" w:val="clear"/>
            <w:tcMar>
              <w:top w:w="60" w:type="dxa"/>
              <w:bottom w:w="60" w:type="dxa"/>
            </w:tcMar>
            <w:vAlign w:val="center"/>
          </w:tcPr>
          <w:p>
            <w:pPr>
              <w:pStyle w:val="Normal"/>
              <w:spacing w:lineRule="auto" w:line="271"/>
              <w:rPr/>
            </w:pPr>
            <w:r>
              <w:rPr>
                <w:sz w:val="21"/>
                <w:szCs w:val="21"/>
              </w:rPr>
              <w:t>Trải nghiệm tức thời</w:t>
            </w:r>
          </w:p>
        </w:tc>
        <w:tc>
          <w:tcPr>
            <w:tcW w:w="2601" w:type="dxa"/>
            <w:tcBorders>
              <w:top w:val="single" w:sz="2" w:space="0" w:color="C9D6E5"/>
              <w:left w:val="single" w:sz="2" w:space="0" w:color="C9D6E5"/>
              <w:bottom w:val="single" w:sz="2" w:space="0" w:color="C9D6E5"/>
              <w:right w:val="single" w:sz="2" w:space="0" w:color="C9D6E5"/>
            </w:tcBorders>
            <w:shd w:fill="FFFFFF" w:val="clear"/>
            <w:tcMar>
              <w:top w:w="60" w:type="dxa"/>
              <w:bottom w:w="60" w:type="dxa"/>
            </w:tcMar>
            <w:vAlign w:val="center"/>
          </w:tcPr>
          <w:p>
            <w:pPr>
              <w:pStyle w:val="Normal"/>
              <w:spacing w:lineRule="auto" w:line="271"/>
              <w:rPr/>
            </w:pPr>
            <w:r>
              <w:rPr>
                <w:sz w:val="21"/>
                <w:szCs w:val="21"/>
              </w:rPr>
              <w:t>Tự động hóa cả chuỗi công việc</w:t>
            </w:r>
          </w:p>
        </w:tc>
      </w:tr>
    </w:tbl>
    <w:p>
      <w:pPr>
        <w:pStyle w:val="Normal"/>
        <w:spacing w:before="0" w:after="40"/>
        <w:rPr/>
      </w:pPr>
      <w:r>
        <w:rPr/>
      </w:r>
    </w:p>
    <w:p>
      <w:pPr>
        <w:pStyle w:val="Heading2"/>
        <w:rPr/>
      </w:pPr>
      <w:bookmarkStart w:id="3" w:name="__RefHeading___Toc1179_217012103"/>
      <w:bookmarkEnd w:id="3"/>
      <w:r>
        <w:rPr/>
        <w:t>1.2. Hành trình tiến hóa: từ chatbot đến tác tử tự chủ</w:t>
      </w:r>
    </w:p>
    <w:p>
      <w:pPr>
        <w:pStyle w:val="Normal"/>
        <w:spacing w:lineRule="auto" w:line="314" w:before="0" w:after="165"/>
        <w:jc w:val="both"/>
        <w:rPr/>
      </w:pPr>
      <w:r>
        <w:rPr/>
        <w:t>AI Agent là đỉnh của một hành trình kéo dài gần sáu thập kỷ. Từ ELIZA — chatbot quy tắc đầu tiên năm 1966 — công nghệ đã đi qua kỷ nguyên trợ lý ảo dựa trên xử lý ý định (Siri, Alexa) và tự động hóa quy trình bằng robot (RPA) trong thập niên 2010, trước khi mô hình ngôn ngữ lớn tạo sinh (ChatGPT, GPT</w:t>
        <w:noBreakHyphen/>
        <w:t>4) tạo bước nhảy về khả năng suy luận năm 2022–2023. Giai đoạn 2024–2025 chứng kiến sự ra đời của lớp “agentic” đích thực với các sản phẩm như OpenAI Operator, Claude Computer Use và hệ sinh thái giao thức mở.</w:t>
      </w:r>
    </w:p>
    <w:p>
      <w:pPr>
        <w:pStyle w:val="Normal"/>
        <w:spacing w:before="80" w:after="40"/>
        <w:jc w:val="center"/>
        <w:rPr/>
      </w:pPr>
      <w:r>
        <w:rPr/>
        <w:drawing>
          <wp:inline distT="0" distB="0" distL="0" distR="0">
            <wp:extent cx="5715000" cy="2219325"/>
            <wp:effectExtent l="0" t="0" r="0" b="0"/>
            <wp:docPr id="2" name="evolution_timeline.png" descr="evolution_timeline.png&#10;evolution_time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evolution_timeline.png" descr="evolution_timeline.png&#10;evolution_timeline.png"/>
                    <pic:cNvPicPr>
                      <a:picLocks noChangeAspect="1" noChangeArrowheads="1"/>
                    </pic:cNvPicPr>
                  </pic:nvPicPr>
                  <pic:blipFill>
                    <a:blip r:embed="rId9"/>
                    <a:stretch>
                      <a:fillRect/>
                    </a:stretch>
                  </pic:blipFill>
                  <pic:spPr bwMode="auto">
                    <a:xfrm>
                      <a:off x="0" y="0"/>
                      <a:ext cx="5715000" cy="2219325"/>
                    </a:xfrm>
                    <a:prstGeom prst="rect">
                      <a:avLst/>
                    </a:prstGeom>
                    <a:noFill/>
                  </pic:spPr>
                </pic:pic>
              </a:graphicData>
            </a:graphic>
          </wp:inline>
        </w:drawing>
      </w:r>
    </w:p>
    <w:p>
      <w:pPr>
        <w:pStyle w:val="Normal"/>
        <w:spacing w:before="0" w:after="200"/>
        <w:jc w:val="center"/>
        <w:rPr/>
      </w:pPr>
      <w:r>
        <w:rPr>
          <w:b/>
          <w:bCs/>
          <w:i/>
          <w:iCs/>
          <w:color w:val="5B6675"/>
          <w:sz w:val="18"/>
          <w:szCs w:val="18"/>
        </w:rPr>
        <w:t xml:space="preserve">Hình 1. </w:t>
      </w:r>
      <w:r>
        <w:rPr>
          <w:i/>
          <w:iCs/>
          <w:color w:val="5B6675"/>
          <w:sz w:val="18"/>
          <w:szCs w:val="18"/>
        </w:rPr>
        <w:t>Hành trình tiến hóa của AI Agent qua các thế hệ công nghệ.</w:t>
      </w:r>
    </w:p>
    <w:p>
      <w:pPr>
        <w:pStyle w:val="Normal"/>
        <w:spacing w:lineRule="auto" w:line="314" w:before="0" w:after="165"/>
        <w:jc w:val="both"/>
        <w:rPr/>
      </w:pPr>
      <w:r>
        <w:rPr/>
        <w:t xml:space="preserve">Mỗi bước chuyển không chỉ là cải tiến mô hình, mà là sự dịch chuyển về </w:t>
      </w:r>
      <w:r>
        <w:rPr>
          <w:b/>
          <w:bCs/>
        </w:rPr>
        <w:t>mức độ tự chủ</w:t>
      </w:r>
      <w:r>
        <w:rPr/>
        <w:t>: từ phản hồi theo từ khóa, sang hiểu ý định, sang sinh nội dung, và cuối cùng là tự hành động. Đây là lý do AI Agent được nhiều nhà phân tích xem là làn sóng chuyển đổi lớn ngang tầm với sự xuất hiện của điện toán đám mây hay internet di động.</w:t>
      </w:r>
    </w:p>
    <w:p>
      <w:pPr>
        <w:pStyle w:val="Heading2"/>
        <w:rPr/>
      </w:pPr>
      <w:bookmarkStart w:id="4" w:name="__RefHeading___Toc1181_217012103"/>
      <w:bookmarkEnd w:id="4"/>
      <w:r>
        <w:rPr/>
        <w:t>1.3. Kiến trúc và cách thức hoạt động</w:t>
      </w:r>
    </w:p>
    <w:p>
      <w:pPr>
        <w:pStyle w:val="Normal"/>
        <w:spacing w:lineRule="auto" w:line="314" w:before="0" w:after="165"/>
        <w:jc w:val="both"/>
        <w:rPr/>
      </w:pPr>
      <w:r>
        <w:rPr/>
        <w:t>Một AI Agent điển hình được cấu thành từ một lõi suy luận (LLM) bao quanh bởi các mô</w:t>
        <w:noBreakHyphen/>
        <w:t>đun chức năng phối hợp với nhau theo một vòng lặp “cảm nhận – suy nghĩ – hành động”.</w:t>
      </w:r>
    </w:p>
    <w:p>
      <w:pPr>
        <w:pStyle w:val="Normal"/>
        <w:spacing w:before="80" w:after="40"/>
        <w:jc w:val="center"/>
        <w:rPr/>
      </w:pPr>
      <w:r>
        <w:rPr/>
        <w:drawing>
          <wp:inline distT="0" distB="0" distL="0" distR="0">
            <wp:extent cx="5334000" cy="3200400"/>
            <wp:effectExtent l="0" t="0" r="0" b="0"/>
            <wp:docPr id="3" name="architecture.png" descr="architecture.png&#10;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rchitecture.png" descr="architecture.png&#10;architecture.png"/>
                    <pic:cNvPicPr>
                      <a:picLocks noChangeAspect="1" noChangeArrowheads="1"/>
                    </pic:cNvPicPr>
                  </pic:nvPicPr>
                  <pic:blipFill>
                    <a:blip r:embed="rId10"/>
                    <a:stretch>
                      <a:fillRect/>
                    </a:stretch>
                  </pic:blipFill>
                  <pic:spPr bwMode="auto">
                    <a:xfrm>
                      <a:off x="0" y="0"/>
                      <a:ext cx="5334000" cy="3200400"/>
                    </a:xfrm>
                    <a:prstGeom prst="rect">
                      <a:avLst/>
                    </a:prstGeom>
                    <a:noFill/>
                  </pic:spPr>
                </pic:pic>
              </a:graphicData>
            </a:graphic>
          </wp:inline>
        </w:drawing>
      </w:r>
    </w:p>
    <w:p>
      <w:pPr>
        <w:pStyle w:val="Normal"/>
        <w:spacing w:before="0" w:after="200"/>
        <w:jc w:val="center"/>
        <w:rPr/>
      </w:pPr>
      <w:r>
        <w:rPr>
          <w:b/>
          <w:bCs/>
          <w:i/>
          <w:iCs/>
          <w:color w:val="5B6675"/>
          <w:sz w:val="18"/>
          <w:szCs w:val="18"/>
        </w:rPr>
        <w:t xml:space="preserve">Hình 2. </w:t>
      </w:r>
      <w:r>
        <w:rPr>
          <w:i/>
          <w:iCs/>
          <w:color w:val="5B6675"/>
          <w:sz w:val="18"/>
          <w:szCs w:val="18"/>
        </w:rPr>
        <w:t>Kiến trúc thành phần của một AI Agent điển hình.</w:t>
      </w:r>
    </w:p>
    <w:p>
      <w:pPr>
        <w:pStyle w:val="Normal"/>
        <w:spacing w:lineRule="auto" w:line="314" w:before="0" w:after="165"/>
        <w:jc w:val="both"/>
        <w:rPr/>
      </w:pPr>
      <w:r>
        <w:rPr/>
        <w:t>Các thành phần chính bao gồm:</w:t>
      </w:r>
    </w:p>
    <w:p>
      <w:pPr>
        <w:pStyle w:val="ListParagraph"/>
        <w:numPr>
          <w:ilvl w:val="0"/>
          <w:numId w:val="4"/>
        </w:numPr>
        <w:spacing w:lineRule="auto" w:line="302" w:before="0" w:after="98"/>
        <w:jc w:val="both"/>
        <w:rPr/>
      </w:pPr>
      <w:r>
        <w:rPr>
          <w:b/>
          <w:bCs/>
        </w:rPr>
        <w:t>Lõi lý luận (LLM):</w:t>
      </w:r>
      <w:r>
        <w:rPr/>
        <w:t xml:space="preserve"> diễn giải mục tiêu, suy luận và quyết định bước tiếp theo.</w:t>
      </w:r>
    </w:p>
    <w:p>
      <w:pPr>
        <w:pStyle w:val="ListParagraph"/>
        <w:numPr>
          <w:ilvl w:val="0"/>
          <w:numId w:val="1"/>
        </w:numPr>
        <w:spacing w:lineRule="auto" w:line="302" w:before="0" w:after="98"/>
        <w:jc w:val="both"/>
        <w:rPr/>
      </w:pPr>
      <w:r>
        <w:rPr>
          <w:b/>
          <w:bCs/>
        </w:rPr>
        <w:t>Nhận thức &amp; đầu vào:</w:t>
      </w:r>
      <w:r>
        <w:rPr/>
        <w:t xml:space="preserve"> tiếp nhận yêu cầu, dữ liệu, tín hiệu từ môi trường (văn bản, hình ảnh, sự kiện hệ thống).</w:t>
      </w:r>
    </w:p>
    <w:p>
      <w:pPr>
        <w:pStyle w:val="ListParagraph"/>
        <w:numPr>
          <w:ilvl w:val="0"/>
          <w:numId w:val="1"/>
        </w:numPr>
        <w:spacing w:lineRule="auto" w:line="302" w:before="0" w:after="98"/>
        <w:jc w:val="both"/>
        <w:rPr/>
      </w:pPr>
      <w:r>
        <w:rPr>
          <w:b/>
          <w:bCs/>
        </w:rPr>
        <w:t>Bộ nhớ:</w:t>
      </w:r>
      <w:r>
        <w:rPr/>
        <w:t xml:space="preserve"> ngắn hạn (ngữ cảnh phiên làm việc) và dài hạn (kiến thức, lịch sử tương tác) giúp tác tử duy trì tính nhất quán.</w:t>
      </w:r>
    </w:p>
    <w:p>
      <w:pPr>
        <w:pStyle w:val="ListParagraph"/>
        <w:numPr>
          <w:ilvl w:val="0"/>
          <w:numId w:val="1"/>
        </w:numPr>
        <w:spacing w:lineRule="auto" w:line="302" w:before="0" w:after="98"/>
        <w:jc w:val="both"/>
        <w:rPr/>
      </w:pPr>
      <w:r>
        <w:rPr>
          <w:b/>
          <w:bCs/>
        </w:rPr>
        <w:t>Lập kế hoạch &amp; phân rã nhiệm vụ:</w:t>
      </w:r>
      <w:r>
        <w:rPr/>
        <w:t xml:space="preserve"> chia mục tiêu lớn thành các bước khả thi, sắp xếp trình tự thực thi.</w:t>
      </w:r>
    </w:p>
    <w:p>
      <w:pPr>
        <w:pStyle w:val="ListParagraph"/>
        <w:numPr>
          <w:ilvl w:val="0"/>
          <w:numId w:val="1"/>
        </w:numPr>
        <w:spacing w:lineRule="auto" w:line="302" w:before="0" w:after="98"/>
        <w:jc w:val="both"/>
        <w:rPr/>
      </w:pPr>
      <w:r>
        <w:rPr>
          <w:b/>
          <w:bCs/>
        </w:rPr>
        <w:t>Công cụ &amp; hành động:</w:t>
      </w:r>
      <w:r>
        <w:rPr/>
        <w:t xml:space="preserve"> gọi API, truy vấn cơ sở dữ liệu, thao tác ứng dụng — nơi tác tử thực sự “làm việc”.</w:t>
      </w:r>
    </w:p>
    <w:p>
      <w:pPr>
        <w:pStyle w:val="ListParagraph"/>
        <w:numPr>
          <w:ilvl w:val="0"/>
          <w:numId w:val="1"/>
        </w:numPr>
        <w:spacing w:lineRule="auto" w:line="302" w:before="0" w:after="98"/>
        <w:jc w:val="both"/>
        <w:rPr/>
      </w:pPr>
      <w:r>
        <w:rPr>
          <w:b/>
          <w:bCs/>
        </w:rPr>
        <w:t>Lớp điều phối (orchestration):</w:t>
      </w:r>
      <w:r>
        <w:rPr/>
        <w:t xml:space="preserve"> điều phối nhiều tác tử/công cụ; </w:t>
      </w:r>
      <w:r>
        <w:rPr>
          <w:b/>
          <w:bCs/>
        </w:rPr>
        <w:t>giám sát của con người (human</w:t>
        <w:noBreakHyphen/>
        <w:t>in</w:t>
        <w:noBreakHyphen/>
        <w:t>the</w:t>
        <w:noBreakHyphen/>
        <w:t>loop)</w:t>
      </w:r>
      <w:r>
        <w:rPr/>
        <w:t xml:space="preserve"> và hàng rào an toàn bảo đảm tác tử hành động trong giới hạn cho phép.</w:t>
      </w:r>
    </w:p>
    <w:p>
      <w:pPr>
        <w:pStyle w:val="Heading2"/>
        <w:rPr/>
      </w:pPr>
      <w:bookmarkStart w:id="5" w:name="__RefHeading___Toc1183_217012103"/>
      <w:bookmarkEnd w:id="5"/>
      <w:r>
        <w:rPr/>
        <w:t>1.4. Năm cấp độ tự chủ</w:t>
      </w:r>
    </w:p>
    <w:p>
      <w:pPr>
        <w:pStyle w:val="Normal"/>
        <w:spacing w:lineRule="auto" w:line="314" w:before="0" w:after="165"/>
        <w:jc w:val="both"/>
        <w:rPr/>
      </w:pPr>
      <w:r>
        <w:rPr/>
        <w:t>Để hoạch định lộ trình ứng dụng, lãnh đạo nên hình dung AI Agent theo một thang tự chủ tăng dần. Việc xác định doanh nghiệp đang ở đâu trên thang này giúp đặt kỳ vọng đúng và phân bổ nguồn lực hợp lý.</w:t>
      </w:r>
    </w:p>
    <w:p>
      <w:pPr>
        <w:pStyle w:val="Normal"/>
        <w:spacing w:before="80" w:after="40"/>
        <w:jc w:val="center"/>
        <w:rPr/>
      </w:pPr>
      <w:r>
        <w:rPr/>
        <w:drawing>
          <wp:inline distT="0" distB="0" distL="0" distR="0">
            <wp:extent cx="5524500" cy="3000375"/>
            <wp:effectExtent l="0" t="0" r="0" b="0"/>
            <wp:docPr id="4" name="autonomy_levels.png" descr="autonomy_levels.png&#10;autonomy_level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utonomy_levels.png" descr="autonomy_levels.png&#10;autonomy_levels.png"/>
                    <pic:cNvPicPr>
                      <a:picLocks noChangeAspect="1" noChangeArrowheads="1"/>
                    </pic:cNvPicPr>
                  </pic:nvPicPr>
                  <pic:blipFill>
                    <a:blip r:embed="rId11"/>
                    <a:stretch>
                      <a:fillRect/>
                    </a:stretch>
                  </pic:blipFill>
                  <pic:spPr bwMode="auto">
                    <a:xfrm>
                      <a:off x="0" y="0"/>
                      <a:ext cx="5524500" cy="3000375"/>
                    </a:xfrm>
                    <a:prstGeom prst="rect">
                      <a:avLst/>
                    </a:prstGeom>
                    <a:noFill/>
                  </pic:spPr>
                </pic:pic>
              </a:graphicData>
            </a:graphic>
          </wp:inline>
        </w:drawing>
      </w:r>
    </w:p>
    <w:p>
      <w:pPr>
        <w:pStyle w:val="Normal"/>
        <w:spacing w:before="0" w:after="200"/>
        <w:jc w:val="center"/>
        <w:rPr/>
      </w:pPr>
      <w:r>
        <w:rPr>
          <w:b/>
          <w:bCs/>
          <w:i/>
          <w:iCs/>
          <w:color w:val="5B6675"/>
          <w:sz w:val="18"/>
          <w:szCs w:val="18"/>
        </w:rPr>
        <w:t xml:space="preserve">Hình 3. </w:t>
      </w:r>
      <w:r>
        <w:rPr>
          <w:i/>
          <w:iCs/>
          <w:color w:val="5B6675"/>
          <w:sz w:val="18"/>
          <w:szCs w:val="18"/>
        </w:rPr>
        <w:t>Năm cấp độ tự chủ của AI Agent, từ tự động hóa quy tắc đến hệ sinh thái đa tác tử.</w:t>
      </w:r>
    </w:p>
    <w:p>
      <w:pPr>
        <w:pStyle w:val="Normal"/>
        <w:spacing w:lineRule="auto" w:line="314" w:before="0" w:after="165"/>
        <w:jc w:val="both"/>
        <w:rPr/>
      </w:pPr>
      <w:r>
        <w:rPr/>
        <w:t>Phần lớn doanh nghiệp năm 2026 đang vận hành ở cấp độ L1–L2 (trợ lý và bán tự chủ có giám sát). Giá trị đột phá — và cả rủi ro lớn nhất — nằm ở bước chuyển lên L3 (tự chủ) và L4 (hệ sinh thái đa tác tử), nơi nhiều tác tử chuyên biệt phối hợp xử lý các quy trình phức tạp xuyên phòng ban.</w:t>
      </w:r>
    </w:p>
    <w:p>
      <w:pPr>
        <w:pStyle w:val="Heading2"/>
        <w:rPr/>
      </w:pPr>
      <w:bookmarkStart w:id="6" w:name="__RefHeading___Toc1185_217012103"/>
      <w:bookmarkEnd w:id="6"/>
      <w:r>
        <w:rPr/>
        <w:t>1.5. Hạ tầng và giao thức: nền móng cho “Internet của các tác tử”</w:t>
      </w:r>
    </w:p>
    <w:p>
      <w:pPr>
        <w:pStyle w:val="Normal"/>
        <w:spacing w:lineRule="auto" w:line="314" w:before="0" w:after="165"/>
        <w:jc w:val="both"/>
        <w:rPr/>
      </w:pPr>
      <w:r>
        <w:rPr/>
        <w:t>Yếu tố thúc đẩy AI Agent bùng nổ trong 2025–2026 không chỉ là mô hình mạnh hơn, mà còn là sự chuẩn hóa hạ tầng kết nối. Hai giao thức mở đóng vai trò nền tảng:</w:t>
      </w:r>
    </w:p>
    <w:p>
      <w:pPr>
        <w:pStyle w:val="ListParagraph"/>
        <w:numPr>
          <w:ilvl w:val="0"/>
          <w:numId w:val="1"/>
        </w:numPr>
        <w:spacing w:lineRule="auto" w:line="302" w:before="0" w:after="98"/>
        <w:jc w:val="both"/>
        <w:rPr/>
      </w:pPr>
      <w:r>
        <w:rPr>
          <w:b/>
          <w:bCs/>
        </w:rPr>
        <w:t>MCP (Model Context Protocol)</w:t>
      </w:r>
      <w:r>
        <w:rPr/>
        <w:t xml:space="preserve"> — Anthropic giới thiệu tháng 11/2024, được ví như “cổng USB</w:t>
        <w:noBreakHyphen/>
        <w:t xml:space="preserve">C cho AI”: chuẩn hóa cách tác tử kết nối tới công cụ, dữ liệu và dịch vụ bên ngoài. MCP tăng trưởng từ ~100.000 lượt tải khi ra mắt lên khoảng </w:t>
      </w:r>
      <w:r>
        <w:rPr>
          <w:b/>
          <w:bCs/>
        </w:rPr>
        <w:t>97 triệu lượt tải SDK mỗi tháng</w:t>
      </w:r>
      <w:r>
        <w:rPr/>
        <w:t xml:space="preserve"> vào cuối 2025.</w:t>
      </w:r>
    </w:p>
    <w:p>
      <w:pPr>
        <w:pStyle w:val="ListParagraph"/>
        <w:numPr>
          <w:ilvl w:val="0"/>
          <w:numId w:val="1"/>
        </w:numPr>
        <w:spacing w:lineRule="auto" w:line="302" w:before="0" w:after="98"/>
        <w:jc w:val="both"/>
        <w:rPr/>
      </w:pPr>
      <w:r>
        <w:rPr>
          <w:b/>
          <w:bCs/>
        </w:rPr>
        <w:t>A2A (Agent</w:t>
        <w:noBreakHyphen/>
        <w:t>to</w:t>
        <w:noBreakHyphen/>
        <w:t>Agent)</w:t>
      </w:r>
      <w:r>
        <w:rPr/>
        <w:t xml:space="preserve"> — Google công bố tháng 4/2025 với hơn 50 đối tác (Salesforce, PayPal, Atlassian cùng các hãng tư vấn lớn), chuẩn hóa cách các tác tử giao tiếp và phối hợp với nhau — “giao thức HTTP cho các tác tử”.</w:t>
      </w:r>
    </w:p>
    <w:p>
      <w:pPr>
        <w:pStyle w:val="Normal"/>
        <w:spacing w:lineRule="auto" w:line="314" w:before="0" w:after="165"/>
        <w:jc w:val="both"/>
        <w:rPr/>
      </w:pPr>
      <w:r>
        <w:rPr/>
        <w:t xml:space="preserve">Một cột mốc quan trọng: tháng 12/2025, cả MCP và A2A được đưa về </w:t>
      </w:r>
      <w:r>
        <w:rPr>
          <w:b/>
          <w:bCs/>
        </w:rPr>
        <w:t>Agentic AI Foundation thuộc Linux Foundation</w:t>
      </w:r>
      <w:r>
        <w:rPr/>
        <w:t>, với sáu đồng sáng lập gồm OpenAI, Anthropic, Google, Microsoft, AWS và Block. Việc các đối thủ cạnh tranh cùng chuẩn hóa hạ tầng cho thấy một hệ sinh thái mở đang hình thành — tiền đề để các tác tử của những nhà cung cấp khác nhau có thể hợp tác liền mạch.</w:t>
      </w:r>
    </w:p>
    <w:tbl>
      <w:tblPr>
        <w:tblW w:w="9360" w:type="dxa"/>
        <w:jc w:val="left"/>
        <w:tblInd w:w="255" w:type="dxa"/>
        <w:tblLayout w:type="fixed"/>
        <w:tblCellMar>
          <w:top w:w="140" w:type="dxa"/>
          <w:left w:w="220" w:type="dxa"/>
          <w:bottom w:w="140" w:type="dxa"/>
          <w:right w:w="200" w:type="dxa"/>
        </w:tblCellMar>
      </w:tblPr>
      <w:tblGrid>
        <w:gridCol w:w="9360"/>
      </w:tblGrid>
      <w:tr>
        <w:trPr/>
        <w:tc>
          <w:tcPr>
            <w:tcW w:w="9360" w:type="dxa"/>
            <w:tcBorders>
              <w:top w:val="single" w:sz="2" w:space="0" w:color="E2F4F3"/>
              <w:left w:val="single" w:sz="28" w:space="0" w:color="11A4A0"/>
              <w:bottom w:val="single" w:sz="2" w:space="0" w:color="E2F4F3"/>
              <w:right w:val="single" w:sz="2" w:space="0" w:color="E2F4F3"/>
            </w:tcBorders>
            <w:shd w:fill="E2F4F3" w:val="clear"/>
          </w:tcPr>
          <w:p>
            <w:pPr>
              <w:pStyle w:val="Normal"/>
              <w:spacing w:before="0" w:after="60"/>
              <w:rPr/>
            </w:pPr>
            <w:r>
              <w:rPr>
                <w:b/>
                <w:bCs/>
                <w:color w:val="11A4A0"/>
                <w:sz w:val="23"/>
                <w:szCs w:val="23"/>
              </w:rPr>
              <w:t>Hàm ý cho lãnh đạo</w:t>
            </w:r>
          </w:p>
          <w:p>
            <w:pPr>
              <w:pStyle w:val="Normal"/>
              <w:spacing w:lineRule="auto" w:line="281" w:before="0" w:after="0"/>
              <w:rPr/>
            </w:pPr>
            <w:r>
              <w:rPr>
                <w:sz w:val="22"/>
                <w:szCs w:val="22"/>
              </w:rPr>
              <w:t>Sự chuẩn hóa giao thức làm giảm rủi ro “khóa nhà cung cấp” (vendor lock</w:t>
              <w:noBreakHyphen/>
              <w:t>in) và chi phí tích hợp. Doanh nghiệp nên ưu tiên các nền tảng tương thích MCP/A2A để bảo đảm khả năng mở rộng và liên thông trong dài hạn.</w:t>
            </w:r>
          </w:p>
        </w:tc>
      </w:tr>
    </w:tbl>
    <w:p>
      <w:pPr>
        <w:pStyle w:val="Heading2"/>
        <w:rPr/>
      </w:pPr>
      <w:bookmarkStart w:id="7" w:name="__RefHeading___Toc1187_217012103"/>
      <w:bookmarkEnd w:id="7"/>
      <w:r>
        <w:rPr/>
        <w:t>1.6. Quy mô thị trường và động lực tăng trưởng</w:t>
      </w:r>
    </w:p>
    <w:p>
      <w:pPr>
        <w:pStyle w:val="Normal"/>
        <w:spacing w:lineRule="auto" w:line="314" w:before="0" w:after="165"/>
        <w:jc w:val="both"/>
        <w:rPr/>
      </w:pPr>
      <w:r>
        <w:rPr/>
        <w:t>AI Agent là một trong những phân khúc công nghệ doanh nghiệp tăng trưởng nhanh nhất hiện nay. Các hãng nghiên cứu đưa ra ước tính khác nhau về con số tuyệt đối nhưng đồng thuận về quỹ đạo: tăng trưởng kép gần 46%/năm.</w:t>
      </w:r>
    </w:p>
    <w:p>
      <w:pPr>
        <w:pStyle w:val="Normal"/>
        <w:spacing w:before="80" w:after="40"/>
        <w:jc w:val="center"/>
        <w:rPr/>
      </w:pPr>
      <w:r>
        <w:rPr/>
        <w:drawing>
          <wp:inline distT="0" distB="0" distL="0" distR="0">
            <wp:extent cx="5334000" cy="3438525"/>
            <wp:effectExtent l="0" t="0" r="0" b="0"/>
            <wp:docPr id="5" name="market_growth.png" descr="market_growth.png&#10;market_growt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market_growth.png" descr="market_growth.png&#10;market_growth.png"/>
                    <pic:cNvPicPr>
                      <a:picLocks noChangeAspect="1" noChangeArrowheads="1"/>
                    </pic:cNvPicPr>
                  </pic:nvPicPr>
                  <pic:blipFill>
                    <a:blip r:embed="rId12"/>
                    <a:stretch>
                      <a:fillRect/>
                    </a:stretch>
                  </pic:blipFill>
                  <pic:spPr bwMode="auto">
                    <a:xfrm>
                      <a:off x="0" y="0"/>
                      <a:ext cx="5334000" cy="3438525"/>
                    </a:xfrm>
                    <a:prstGeom prst="rect">
                      <a:avLst/>
                    </a:prstGeom>
                    <a:noFill/>
                  </pic:spPr>
                </pic:pic>
              </a:graphicData>
            </a:graphic>
          </wp:inline>
        </w:drawing>
      </w:r>
    </w:p>
    <w:p>
      <w:pPr>
        <w:pStyle w:val="Normal"/>
        <w:spacing w:before="0" w:after="200"/>
        <w:jc w:val="center"/>
        <w:rPr/>
      </w:pPr>
      <w:r>
        <w:rPr>
          <w:b/>
          <w:bCs/>
          <w:i/>
          <w:iCs/>
          <w:color w:val="5B6675"/>
          <w:sz w:val="18"/>
          <w:szCs w:val="18"/>
        </w:rPr>
        <w:t xml:space="preserve">Hình 4. </w:t>
      </w:r>
      <w:r>
        <w:rPr>
          <w:i/>
          <w:iCs/>
          <w:color w:val="5B6675"/>
          <w:sz w:val="18"/>
          <w:szCs w:val="18"/>
        </w:rPr>
        <w:t>Dự báo quy mô thị trường AI Agent toàn cầu 2024–2030 (tỷ USD).</w:t>
      </w:r>
    </w:p>
    <w:p>
      <w:pPr>
        <w:pStyle w:val="Normal"/>
        <w:spacing w:lineRule="auto" w:line="314" w:before="0" w:after="165"/>
        <w:jc w:val="both"/>
        <w:rPr/>
      </w:pPr>
      <w:r>
        <w:rPr/>
        <w:t xml:space="preserve">Từ mức khoảng </w:t>
      </w:r>
      <w:r>
        <w:rPr>
          <w:b/>
          <w:bCs/>
        </w:rPr>
        <w:t>7,8 tỷ USD năm 2025</w:t>
      </w:r>
      <w:r>
        <w:rPr/>
        <w:t xml:space="preserve">, thị trường được dự báo đạt </w:t>
      </w:r>
      <w:r>
        <w:rPr>
          <w:b/>
          <w:bCs/>
        </w:rPr>
        <w:t>~10,9 tỷ USD năm 2026</w:t>
      </w:r>
      <w:r>
        <w:rPr/>
        <w:t xml:space="preserve"> và vươn tới </w:t>
      </w:r>
      <w:r>
        <w:rPr>
          <w:b/>
          <w:bCs/>
        </w:rPr>
        <w:t>~52,6 tỷ USD vào năm 2030</w:t>
      </w:r>
      <w:r>
        <w:rPr/>
        <w:t>. Một số dự báo dài hạn còn đưa con số lên gần 295 tỷ USD vào năm 2035. Động lực tăng trưởng đến từ ba phía: năng lực mô hình tăng nhanh trong khi chi phí suy luận giảm; hạ tầng giao thức mở; và áp lực cạnh tranh buộc doanh nghiệp tự động hóa để bảo vệ biên lợi nhuận.</w:t>
      </w:r>
    </w:p>
    <w:p>
      <w:pPr>
        <w:pStyle w:val="Heading2"/>
        <w:rPr/>
      </w:pPr>
      <w:bookmarkStart w:id="8" w:name="__RefHeading___Toc1189_217012103"/>
      <w:bookmarkEnd w:id="8"/>
      <w:r>
        <w:rPr/>
        <w:t>1.7. Bức tranh áp dụng: rộng nhưng chưa sâu</w:t>
      </w:r>
    </w:p>
    <w:p>
      <w:pPr>
        <w:pStyle w:val="Normal"/>
        <w:spacing w:lineRule="auto" w:line="314" w:before="0" w:after="165"/>
        <w:jc w:val="both"/>
        <w:rPr/>
      </w:pPr>
      <w:r>
        <w:rPr/>
        <w:t>Mức độ quan tâm tới AI Agent gần như phổ quát, song khoảng cách giữa “thử nghiệm” và “vận hành thật ở quy mô” vẫn rất lớn — và chính khoảng cách này là nơi tạo ra lợi thế cạnh tranh cho những doanh nghiệp đi trước.</w:t>
      </w:r>
    </w:p>
    <w:p>
      <w:pPr>
        <w:pStyle w:val="Normal"/>
        <w:spacing w:before="80" w:after="40"/>
        <w:jc w:val="center"/>
        <w:rPr/>
      </w:pPr>
      <w:r>
        <w:rPr/>
        <w:drawing>
          <wp:inline distT="0" distB="0" distL="0" distR="0">
            <wp:extent cx="5334000" cy="3190875"/>
            <wp:effectExtent l="0" t="0" r="0" b="0"/>
            <wp:docPr id="6" name="adoption_gap.png" descr="adoption_gap.png&#10;adoption_g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adoption_gap.png" descr="adoption_gap.png&#10;adoption_gap.png"/>
                    <pic:cNvPicPr>
                      <a:picLocks noChangeAspect="1" noChangeArrowheads="1"/>
                    </pic:cNvPicPr>
                  </pic:nvPicPr>
                  <pic:blipFill>
                    <a:blip r:embed="rId13"/>
                    <a:stretch>
                      <a:fillRect/>
                    </a:stretch>
                  </pic:blipFill>
                  <pic:spPr bwMode="auto">
                    <a:xfrm>
                      <a:off x="0" y="0"/>
                      <a:ext cx="5334000" cy="3190875"/>
                    </a:xfrm>
                    <a:prstGeom prst="rect">
                      <a:avLst/>
                    </a:prstGeom>
                    <a:noFill/>
                  </pic:spPr>
                </pic:pic>
              </a:graphicData>
            </a:graphic>
          </wp:inline>
        </w:drawing>
      </w:r>
    </w:p>
    <w:p>
      <w:pPr>
        <w:pStyle w:val="Normal"/>
        <w:spacing w:before="0" w:after="200"/>
        <w:jc w:val="center"/>
        <w:rPr/>
      </w:pPr>
      <w:r>
        <w:rPr>
          <w:b/>
          <w:bCs/>
          <w:i/>
          <w:iCs/>
          <w:color w:val="5B6675"/>
          <w:sz w:val="18"/>
          <w:szCs w:val="18"/>
        </w:rPr>
        <w:t xml:space="preserve">Hình 5. </w:t>
      </w:r>
      <w:r>
        <w:rPr>
          <w:i/>
          <w:iCs/>
          <w:color w:val="5B6675"/>
          <w:sz w:val="18"/>
          <w:szCs w:val="18"/>
        </w:rPr>
        <w:t>Khoảng cách giữa áp dụng AI và triển khai AI Agent ở quy mô production.</w:t>
      </w:r>
    </w:p>
    <w:p>
      <w:pPr>
        <w:pStyle w:val="Normal"/>
        <w:spacing w:lineRule="auto" w:line="314" w:before="0" w:after="165"/>
        <w:jc w:val="both"/>
        <w:rPr/>
      </w:pPr>
      <w:r>
        <w:rPr/>
        <w:t xml:space="preserve">Theo khảo sát State of AI 2025 của McKinsey (1.993 lãnh đạo tại 105 quốc gia), </w:t>
      </w:r>
      <w:r>
        <w:rPr>
          <w:b/>
          <w:bCs/>
        </w:rPr>
        <w:t>88%</w:t>
      </w:r>
      <w:r>
        <w:rPr/>
        <w:t xml:space="preserve"> tổ chức đã dùng AI ở ít nhất một nghiệp vụ (so với 78% năm 2024) và </w:t>
      </w:r>
      <w:r>
        <w:rPr>
          <w:b/>
          <w:bCs/>
        </w:rPr>
        <w:t>62%</w:t>
      </w:r>
      <w:r>
        <w:rPr/>
        <w:t xml:space="preserve"> ít nhất đang thử nghiệm AI Agent. Tuy vậy chỉ khoảng </w:t>
      </w:r>
      <w:r>
        <w:rPr>
          <w:b/>
          <w:bCs/>
        </w:rPr>
        <w:t>23%</w:t>
      </w:r>
      <w:r>
        <w:rPr/>
        <w:t xml:space="preserve"> đang mở rộng (scaling) một hệ thống agentic và — theo Deloitte — chỉ khoảng </w:t>
      </w:r>
      <w:r>
        <w:rPr>
          <w:b/>
          <w:bCs/>
        </w:rPr>
        <w:t>11%</w:t>
      </w:r>
      <w:r>
        <w:rPr/>
        <w:t xml:space="preserve"> thực sự vận hành tác tử trong production. Đáng lưu ý, chỉ ~6% tổ chức đạt mức “AI high performer” với tác động trên 5% EBIT.</w:t>
      </w:r>
    </w:p>
    <w:tbl>
      <w:tblPr>
        <w:tblW w:w="9360" w:type="dxa"/>
        <w:jc w:val="left"/>
        <w:tblInd w:w="255" w:type="dxa"/>
        <w:tblLayout w:type="fixed"/>
        <w:tblCellMar>
          <w:top w:w="140" w:type="dxa"/>
          <w:left w:w="220" w:type="dxa"/>
          <w:bottom w:w="140" w:type="dxa"/>
          <w:right w:w="200" w:type="dxa"/>
        </w:tblCellMar>
      </w:tblPr>
      <w:tblGrid>
        <w:gridCol w:w="9360"/>
      </w:tblGrid>
      <w:tr>
        <w:trPr/>
        <w:tc>
          <w:tcPr>
            <w:tcW w:w="9360" w:type="dxa"/>
            <w:tcBorders>
              <w:top w:val="single" w:sz="2" w:space="0" w:color="EAF1FB"/>
              <w:left w:val="single" w:sz="28" w:space="0" w:color="1C6DD0"/>
              <w:bottom w:val="single" w:sz="2" w:space="0" w:color="EAF1FB"/>
              <w:right w:val="single" w:sz="2" w:space="0" w:color="EAF1FB"/>
            </w:tcBorders>
            <w:shd w:fill="EAF1FB" w:val="clear"/>
          </w:tcPr>
          <w:p>
            <w:pPr>
              <w:pStyle w:val="Normal"/>
              <w:spacing w:before="0" w:after="60"/>
              <w:rPr/>
            </w:pPr>
            <w:r>
              <w:rPr>
                <w:b/>
                <w:bCs/>
                <w:color w:val="1C6DD0"/>
                <w:sz w:val="23"/>
                <w:szCs w:val="23"/>
              </w:rPr>
              <w:t>Bối cảnh Việt Nam và Đông Nam Á</w:t>
            </w:r>
          </w:p>
          <w:p>
            <w:pPr>
              <w:pStyle w:val="Normal"/>
              <w:spacing w:lineRule="auto" w:line="281" w:before="0" w:after="70"/>
              <w:rPr/>
            </w:pPr>
            <w:r>
              <w:rPr>
                <w:sz w:val="22"/>
                <w:szCs w:val="22"/>
              </w:rPr>
              <w:t xml:space="preserve">Việt Nam xếp hạng 6 trong WIN World AI Index 2025 về mức độ sẵn sàng và áp dụng AI. Khoảng </w:t>
            </w:r>
            <w:r>
              <w:rPr>
                <w:b/>
                <w:bCs/>
                <w:sz w:val="22"/>
                <w:szCs w:val="22"/>
              </w:rPr>
              <w:t>73%</w:t>
            </w:r>
            <w:r>
              <w:rPr>
                <w:sz w:val="22"/>
                <w:szCs w:val="22"/>
              </w:rPr>
              <w:t xml:space="preserve"> doanh nghiệp Việt đã ứng dụng AI ở mức độ nào đó, song chỉ ~13,8% triển khai ở quy mô — phản ánh đúng khoảng cách “pilot</w:t>
              <w:noBreakHyphen/>
              <w:t>to</w:t>
              <w:noBreakHyphen/>
              <w:t>production” toàn cầu.</w:t>
            </w:r>
          </w:p>
          <w:p>
            <w:pPr>
              <w:pStyle w:val="Normal"/>
              <w:spacing w:lineRule="auto" w:line="281" w:before="0" w:after="0"/>
              <w:rPr/>
            </w:pPr>
            <w:r>
              <w:rPr>
                <w:b/>
                <w:bCs/>
                <w:sz w:val="22"/>
                <w:szCs w:val="22"/>
              </w:rPr>
              <w:t>Luật Trí tuệ nhân tạo</w:t>
            </w:r>
            <w:r>
              <w:rPr>
                <w:sz w:val="22"/>
                <w:szCs w:val="22"/>
              </w:rPr>
              <w:t xml:space="preserve"> được Quốc hội thông qua tháng 12/2025, hiệu lực từ 01/3/2026, đưa Việt Nam vào nhóm tiên phong khu vực về khung pháp lý AI dựa trên rủi ro. Trên bình diện khu vực, hơn 90% doanh nghiệp Đông Nam Á được khảo sát dự định thử nghiệm agentic AI trước cuối 2026.</w:t>
            </w:r>
          </w:p>
        </w:tc>
      </w:tr>
    </w:tbl>
    <w:p>
      <w:pPr>
        <w:pStyle w:val="Heading2"/>
        <w:rPr/>
      </w:pPr>
      <w:bookmarkStart w:id="9" w:name="__RefHeading___Toc1191_217012103"/>
      <w:bookmarkEnd w:id="9"/>
      <w:r>
        <w:rPr/>
        <w:t>1.8. Công nghệ nền tảng và khung phát triển</w:t>
      </w:r>
    </w:p>
    <w:p>
      <w:pPr>
        <w:pStyle w:val="Normal"/>
        <w:spacing w:lineRule="auto" w:line="314" w:before="0" w:after="165"/>
        <w:jc w:val="both"/>
        <w:rPr/>
      </w:pPr>
      <w:r>
        <w:rPr/>
        <w:t>Đằng sau mỗi AI Agent là một ngăn xếp công nghệ (technology stack) đang trưởng thành nhanh chóng. Ban Lãnh đạo không cần nắm chi tiết kỹ thuật, nhưng hiểu các lớp nền tảng giúp đánh giá đúng năng lực nhà cung cấp và mức độ sẵn sàng nội bộ.</w:t>
      </w:r>
    </w:p>
    <w:p>
      <w:pPr>
        <w:pStyle w:val="ListParagraph"/>
        <w:numPr>
          <w:ilvl w:val="0"/>
          <w:numId w:val="1"/>
        </w:numPr>
        <w:spacing w:lineRule="auto" w:line="302" w:before="0" w:after="98"/>
        <w:jc w:val="both"/>
        <w:rPr/>
      </w:pPr>
      <w:r>
        <w:rPr>
          <w:b/>
          <w:bCs/>
        </w:rPr>
        <w:t>Mô hình suy luận (reasoning models):</w:t>
      </w:r>
      <w:r>
        <w:rPr/>
        <w:t xml:space="preserve"> thế hệ mô hình được tối ưu cho tác vụ nhiều bước như Claude Opus 4.5 và GPT</w:t>
        <w:noBreakHyphen/>
        <w:t>5.x đã nâng đáng kể khả năng lập kế hoạch và lý luận dài hơi — nền tảng cho hành vi tự chủ.</w:t>
      </w:r>
    </w:p>
    <w:p>
      <w:pPr>
        <w:pStyle w:val="ListParagraph"/>
        <w:numPr>
          <w:ilvl w:val="0"/>
          <w:numId w:val="1"/>
        </w:numPr>
        <w:spacing w:lineRule="auto" w:line="302" w:before="0" w:after="98"/>
        <w:jc w:val="both"/>
        <w:rPr/>
      </w:pPr>
      <w:r>
        <w:rPr>
          <w:b/>
          <w:bCs/>
        </w:rPr>
        <w:t>Khung phát triển (agent frameworks):</w:t>
      </w:r>
      <w:r>
        <w:rPr/>
        <w:t xml:space="preserve"> các bộ công cụ như LangGraph, CrewAI, Microsoft AutoGen, OpenAI Agents SDK và Copilot Studio cung cấp sẵn cơ chế điều phối, gọi công cụ và quản lý nhiều tác tử — rút ngắn thời gian xây dựng.</w:t>
      </w:r>
    </w:p>
    <w:p>
      <w:pPr>
        <w:pStyle w:val="ListParagraph"/>
        <w:numPr>
          <w:ilvl w:val="0"/>
          <w:numId w:val="1"/>
        </w:numPr>
        <w:spacing w:lineRule="auto" w:line="302" w:before="0" w:after="98"/>
        <w:jc w:val="both"/>
        <w:rPr/>
      </w:pPr>
      <w:r>
        <w:rPr>
          <w:b/>
          <w:bCs/>
        </w:rPr>
        <w:t>Truy xuất &amp; bộ nhớ (RAG &amp; memory):</w:t>
      </w:r>
      <w:r>
        <w:rPr/>
        <w:t xml:space="preserve"> kỹ thuật tăng cường truy xuất (retrieval</w:t>
        <w:noBreakHyphen/>
        <w:t>augmented generation) và cơ sở dữ liệu vector cho phép tác tử dựa trên dữ liệu riêng của doanh nghiệp, giảm “ảo giác” và tăng độ chính xác.</w:t>
      </w:r>
    </w:p>
    <w:p>
      <w:pPr>
        <w:pStyle w:val="ListParagraph"/>
        <w:numPr>
          <w:ilvl w:val="0"/>
          <w:numId w:val="1"/>
        </w:numPr>
        <w:spacing w:lineRule="auto" w:line="302" w:before="0" w:after="98"/>
        <w:jc w:val="both"/>
        <w:rPr/>
      </w:pPr>
      <w:r>
        <w:rPr>
          <w:b/>
          <w:bCs/>
        </w:rPr>
        <w:t>Gọi công cụ &amp; hành động (function calling, computer use):</w:t>
      </w:r>
      <w:r>
        <w:rPr/>
        <w:t xml:space="preserve"> khả năng gọi API, thực thi mã và thao tác trực tiếp trên giao diện ứng dụng biến suy luận thành hành động thực tế.</w:t>
      </w:r>
    </w:p>
    <w:p>
      <w:pPr>
        <w:pStyle w:val="ListParagraph"/>
        <w:numPr>
          <w:ilvl w:val="0"/>
          <w:numId w:val="1"/>
        </w:numPr>
        <w:spacing w:lineRule="auto" w:line="302" w:before="0" w:after="98"/>
        <w:jc w:val="both"/>
        <w:rPr/>
      </w:pPr>
      <w:r>
        <w:rPr>
          <w:b/>
          <w:bCs/>
        </w:rPr>
        <w:t>Lớp điều phối &amp; quan sát (orchestration &amp; observability):</w:t>
      </w:r>
      <w:r>
        <w:rPr/>
        <w:t xml:space="preserve"> giám sát, ghi vết, đánh giá và kiểm soát chi phí — ngày càng quan trọng khi số lượng tác tử tăng lên.</w:t>
      </w:r>
    </w:p>
    <w:p>
      <w:pPr>
        <w:pStyle w:val="Normal"/>
        <w:spacing w:lineRule="auto" w:line="314" w:before="0" w:after="165"/>
        <w:jc w:val="both"/>
        <w:rPr/>
      </w:pPr>
      <w:r>
        <w:rPr/>
        <w:t xml:space="preserve">Xu hướng nổi bật là </w:t>
      </w:r>
      <w:r>
        <w:rPr>
          <w:b/>
          <w:bCs/>
        </w:rPr>
        <w:t>“giá trị dịch chuyển lên lớp điều phối và logic ứng dụng”</w:t>
      </w:r>
      <w:r>
        <w:rPr/>
        <w:t>: khi các mô hình nền tảng trở thành hàng hóa phổ biến, lợi thế cạnh tranh nằm ở cách doanh nghiệp ghép nối tác tử với quy trình, dữ liệu và hàng rào kiểm soát của riêng mình.</w:t>
      </w:r>
    </w:p>
    <w:p>
      <w:pPr>
        <w:pStyle w:val="Heading2"/>
        <w:rPr/>
      </w:pPr>
      <w:bookmarkStart w:id="10" w:name="__RefHeading___Toc1193_217012103"/>
      <w:bookmarkEnd w:id="10"/>
      <w:r>
        <w:rPr/>
        <w:t>1.9. Vì sao là lúc này? Ba động lực hội tụ</w:t>
      </w:r>
    </w:p>
    <w:p>
      <w:pPr>
        <w:pStyle w:val="Normal"/>
        <w:spacing w:lineRule="auto" w:line="314" w:before="0" w:after="165"/>
        <w:jc w:val="both"/>
        <w:rPr/>
      </w:pPr>
      <w:r>
        <w:rPr/>
        <w:t>Câu hỏi “vì sao AI Agent bùng nổ vào đúng giai đoạn này” có lời giải nằm ở sự hội tụ đồng thời của ba động lực:</w:t>
      </w:r>
    </w:p>
    <w:p>
      <w:pPr>
        <w:pStyle w:val="ListParagraph"/>
        <w:numPr>
          <w:ilvl w:val="0"/>
          <w:numId w:val="1"/>
        </w:numPr>
        <w:spacing w:lineRule="auto" w:line="302" w:before="0" w:after="98"/>
        <w:jc w:val="both"/>
        <w:rPr/>
      </w:pPr>
      <w:r>
        <w:rPr>
          <w:b/>
          <w:bCs/>
        </w:rPr>
        <w:t>Năng lực mô hình vượt ngưỡng:</w:t>
      </w:r>
      <w:r>
        <w:rPr/>
        <w:t xml:space="preserve"> các mô hình suy luận thế hệ mới đủ tin cậy để lập kế hoạch nhiều bước và sử dụng công cụ — điều mà các thế hệ trước chưa làm được ổn định.</w:t>
      </w:r>
    </w:p>
    <w:p>
      <w:pPr>
        <w:pStyle w:val="ListParagraph"/>
        <w:numPr>
          <w:ilvl w:val="0"/>
          <w:numId w:val="1"/>
        </w:numPr>
        <w:spacing w:lineRule="auto" w:line="302" w:before="0" w:after="98"/>
        <w:jc w:val="both"/>
        <w:rPr/>
      </w:pPr>
      <w:r>
        <w:rPr>
          <w:b/>
          <w:bCs/>
        </w:rPr>
        <w:t>Chi phí giảm nhanh:</w:t>
      </w:r>
      <w:r>
        <w:rPr/>
        <w:t xml:space="preserve"> chi phí trên mỗi đơn vị suy luận liên tục giảm, biến nhiều use case từ “không khả thi về kinh tế” thành có lãi.</w:t>
      </w:r>
    </w:p>
    <w:p>
      <w:pPr>
        <w:pStyle w:val="ListParagraph"/>
        <w:numPr>
          <w:ilvl w:val="0"/>
          <w:numId w:val="1"/>
        </w:numPr>
        <w:spacing w:lineRule="auto" w:line="302" w:before="0" w:after="98"/>
        <w:jc w:val="both"/>
        <w:rPr/>
      </w:pPr>
      <w:r>
        <w:rPr>
          <w:b/>
          <w:bCs/>
        </w:rPr>
        <w:t>Hạ tầng chuẩn hóa:</w:t>
      </w:r>
      <w:r>
        <w:rPr/>
        <w:t xml:space="preserve"> các giao thức mở (MCP, A2A) và khung phát triển trưởng thành giúp kết nối tác tử với hệ thống doanh nghiệp nhanh và an toàn hơn.</w:t>
      </w:r>
    </w:p>
    <w:p>
      <w:pPr>
        <w:pStyle w:val="Normal"/>
        <w:spacing w:lineRule="auto" w:line="314" w:before="0" w:after="165"/>
        <w:jc w:val="both"/>
        <w:rPr/>
      </w:pPr>
      <w:r>
        <w:rPr/>
        <w:t>Khi ba yếu tố này cùng chín muồi, rào cản triển khai hạ thấp đột ngột — tạo nên “điểm bùng phát” mà các tổ chức nhanh nhạy đang tận dụng để thiết lập lợi thế đi trước.</w:t>
      </w:r>
    </w:p>
    <w:p>
      <w:pPr>
        <w:pStyle w:val="Heading1"/>
        <w:rPr/>
      </w:pPr>
      <w:bookmarkStart w:id="11" w:name="__RefHeading___Toc1195_217012103"/>
      <w:bookmarkEnd w:id="11"/>
      <w:r>
        <w:rPr/>
        <w:t>Phần 2 — Ứng dụng thực chiến trong công việc và vận hành</w:t>
      </w:r>
    </w:p>
    <w:p>
      <w:pPr>
        <w:pStyle w:val="Normal"/>
        <w:spacing w:lineRule="auto" w:line="319" w:before="0" w:after="185"/>
        <w:jc w:val="both"/>
        <w:rPr/>
      </w:pPr>
      <w:r>
        <w:rPr>
          <w:color w:val="16233B"/>
          <w:sz w:val="25"/>
          <w:szCs w:val="25"/>
        </w:rPr>
        <w:t>AI Agent không còn là công nghệ trình diễn. Trên khắp các chức năng doanh nghiệp, tác tử đang đảm nhận những phần việc cụ thể, đo lường được bằng thời gian tiết kiệm, chi phí cắt giảm và doanh thu tạo thêm.</w:t>
      </w:r>
    </w:p>
    <w:p>
      <w:pPr>
        <w:pStyle w:val="Heading2"/>
        <w:rPr/>
      </w:pPr>
      <w:bookmarkStart w:id="12" w:name="__RefHeading___Toc1197_217012103"/>
      <w:bookmarkEnd w:id="12"/>
      <w:r>
        <w:rPr/>
        <w:t>2.1. Bản đồ ứng dụng theo chức năng</w:t>
      </w:r>
    </w:p>
    <w:p>
      <w:pPr>
        <w:pStyle w:val="Normal"/>
        <w:spacing w:lineRule="auto" w:line="314" w:before="0" w:after="165"/>
        <w:jc w:val="both"/>
        <w:rPr/>
      </w:pPr>
      <w:r>
        <w:rPr/>
        <w:t>Có thể nhóm các ứng dụng thực chiến phổ biến nhất của AI Agent theo các khối chức năng sau:</w:t>
      </w:r>
    </w:p>
    <w:p>
      <w:pPr>
        <w:pStyle w:val="ListParagraph"/>
        <w:numPr>
          <w:ilvl w:val="0"/>
          <w:numId w:val="1"/>
        </w:numPr>
        <w:spacing w:lineRule="auto" w:line="302" w:before="0" w:after="98"/>
        <w:jc w:val="both"/>
        <w:rPr/>
      </w:pPr>
      <w:r>
        <w:rPr>
          <w:b/>
          <w:bCs/>
        </w:rPr>
        <w:t>Dịch vụ &amp; chăm sóc khách hàng:</w:t>
      </w:r>
      <w:r>
        <w:rPr/>
        <w:t xml:space="preserve"> tự động phân loại, trả lời, giải quyết khiếu nại và hoàn tất giao dịch — lĩnh vực có tỷ lệ áp dụng cao nhất.</w:t>
      </w:r>
    </w:p>
    <w:p>
      <w:pPr>
        <w:pStyle w:val="ListParagraph"/>
        <w:numPr>
          <w:ilvl w:val="0"/>
          <w:numId w:val="1"/>
        </w:numPr>
        <w:spacing w:lineRule="auto" w:line="302" w:before="0" w:after="98"/>
        <w:jc w:val="both"/>
        <w:rPr/>
      </w:pPr>
      <w:r>
        <w:rPr>
          <w:b/>
          <w:bCs/>
        </w:rPr>
        <w:t>Công việc tri thức (knowledge work):</w:t>
      </w:r>
      <w:r>
        <w:rPr/>
        <w:t xml:space="preserve"> soạn thảo, tổng hợp tài liệu, nghiên cứu, phân tích dữ liệu, chuẩn bị báo cáo.</w:t>
      </w:r>
    </w:p>
    <w:p>
      <w:pPr>
        <w:pStyle w:val="ListParagraph"/>
        <w:numPr>
          <w:ilvl w:val="0"/>
          <w:numId w:val="1"/>
        </w:numPr>
        <w:spacing w:lineRule="auto" w:line="302" w:before="0" w:after="98"/>
        <w:jc w:val="both"/>
        <w:rPr/>
      </w:pPr>
      <w:r>
        <w:rPr>
          <w:b/>
          <w:bCs/>
        </w:rPr>
        <w:t>Phát triển phần mềm:</w:t>
      </w:r>
      <w:r>
        <w:rPr/>
        <w:t xml:space="preserve"> tác tử lập trình tự viết, kiểm thử và sửa lỗi mã nguồn, rút ngắn chu kỳ phát triển.</w:t>
      </w:r>
    </w:p>
    <w:p>
      <w:pPr>
        <w:pStyle w:val="ListParagraph"/>
        <w:numPr>
          <w:ilvl w:val="0"/>
          <w:numId w:val="1"/>
        </w:numPr>
        <w:spacing w:lineRule="auto" w:line="302" w:before="0" w:after="98"/>
        <w:jc w:val="both"/>
        <w:rPr/>
      </w:pPr>
      <w:r>
        <w:rPr>
          <w:b/>
          <w:bCs/>
        </w:rPr>
        <w:t>Bán hàng &amp; marketing:</w:t>
      </w:r>
      <w:r>
        <w:rPr/>
        <w:t xml:space="preserve"> khai thác khách hàng tiềm năng, cá nhân hóa nội dung, vận hành chiến dịch đa kênh.</w:t>
      </w:r>
    </w:p>
    <w:p>
      <w:pPr>
        <w:pStyle w:val="ListParagraph"/>
        <w:numPr>
          <w:ilvl w:val="0"/>
          <w:numId w:val="1"/>
        </w:numPr>
        <w:spacing w:lineRule="auto" w:line="302" w:before="0" w:after="98"/>
        <w:jc w:val="both"/>
        <w:rPr/>
      </w:pPr>
      <w:r>
        <w:rPr>
          <w:b/>
          <w:bCs/>
        </w:rPr>
        <w:t>Vận hành &amp; hỗ trợ nội bộ:</w:t>
      </w:r>
      <w:r>
        <w:rPr/>
        <w:t xml:space="preserve"> xử lý quy trình tài chính, mua sắm, nhân sự (HR), CNTT (IT helpdesk).</w:t>
      </w:r>
    </w:p>
    <w:p>
      <w:pPr>
        <w:pStyle w:val="ListParagraph"/>
        <w:numPr>
          <w:ilvl w:val="0"/>
          <w:numId w:val="1"/>
        </w:numPr>
        <w:spacing w:lineRule="auto" w:line="302" w:before="0" w:after="98"/>
        <w:jc w:val="both"/>
        <w:rPr/>
      </w:pPr>
      <w:r>
        <w:rPr>
          <w:b/>
          <w:bCs/>
        </w:rPr>
        <w:t>Phân tích &amp; ra quyết định:</w:t>
      </w:r>
      <w:r>
        <w:rPr/>
        <w:t xml:space="preserve"> giám sát chỉ số, phát hiện bất thường, đề xuất hành động theo thời gian thực.</w:t>
      </w:r>
    </w:p>
    <w:p>
      <w:pPr>
        <w:pStyle w:val="Normal"/>
        <w:spacing w:lineRule="auto" w:line="314" w:before="0" w:after="165"/>
        <w:jc w:val="both"/>
        <w:rPr/>
      </w:pPr>
      <w:r>
        <w:rPr/>
        <w:t>Bảng dưới đây tổng hợp các ứng dụng tiêu biểu theo chức năng cùng ví dụ kết quả đã được ghi nhận:</w:t>
      </w:r>
    </w:p>
    <w:tbl>
      <w:tblPr>
        <w:tblW w:w="9360" w:type="dxa"/>
        <w:jc w:val="left"/>
        <w:tblInd w:w="111" w:type="dxa"/>
        <w:tblLayout w:type="fixed"/>
        <w:tblCellMar>
          <w:top w:w="70" w:type="dxa"/>
          <w:left w:w="110" w:type="dxa"/>
          <w:bottom w:w="70" w:type="dxa"/>
          <w:right w:w="110" w:type="dxa"/>
        </w:tblCellMar>
      </w:tblPr>
      <w:tblGrid>
        <w:gridCol w:w="2000"/>
        <w:gridCol w:w="4059"/>
        <w:gridCol w:w="3301"/>
      </w:tblGrid>
      <w:tr>
        <w:trPr>
          <w:tblHeader w:val="true"/>
        </w:trPr>
        <w:tc>
          <w:tcPr>
            <w:tcW w:w="2000" w:type="dxa"/>
            <w:tcBorders>
              <w:top w:val="single" w:sz="2" w:space="0" w:color="C9D6E5"/>
              <w:left w:val="single" w:sz="2" w:space="0" w:color="C9D6E5"/>
              <w:bottom w:val="single" w:sz="2" w:space="0" w:color="C9D6E5"/>
              <w:right w:val="single" w:sz="2" w:space="0" w:color="C9D6E5"/>
            </w:tcBorders>
            <w:shd w:fill="0F2440" w:val="clear"/>
            <w:vAlign w:val="center"/>
          </w:tcPr>
          <w:p>
            <w:pPr>
              <w:pStyle w:val="Normal"/>
              <w:rPr/>
            </w:pPr>
            <w:r>
              <w:rPr>
                <w:b/>
                <w:bCs/>
                <w:color w:val="FFFFFF"/>
                <w:sz w:val="21"/>
                <w:szCs w:val="21"/>
              </w:rPr>
              <w:t>Chức năng</w:t>
            </w:r>
          </w:p>
        </w:tc>
        <w:tc>
          <w:tcPr>
            <w:tcW w:w="4059" w:type="dxa"/>
            <w:tcBorders>
              <w:top w:val="single" w:sz="2" w:space="0" w:color="C9D6E5"/>
              <w:left w:val="single" w:sz="2" w:space="0" w:color="C9D6E5"/>
              <w:bottom w:val="single" w:sz="2" w:space="0" w:color="C9D6E5"/>
              <w:right w:val="single" w:sz="2" w:space="0" w:color="C9D6E5"/>
            </w:tcBorders>
            <w:shd w:fill="0F2440" w:val="clear"/>
            <w:vAlign w:val="center"/>
          </w:tcPr>
          <w:p>
            <w:pPr>
              <w:pStyle w:val="Normal"/>
              <w:rPr/>
            </w:pPr>
            <w:r>
              <w:rPr>
                <w:b/>
                <w:bCs/>
                <w:color w:val="FFFFFF"/>
                <w:sz w:val="21"/>
                <w:szCs w:val="21"/>
              </w:rPr>
              <w:t>Ứng dụng tiêu biểu của AI Agent</w:t>
            </w:r>
          </w:p>
        </w:tc>
        <w:tc>
          <w:tcPr>
            <w:tcW w:w="3301" w:type="dxa"/>
            <w:tcBorders>
              <w:top w:val="single" w:sz="2" w:space="0" w:color="C9D6E5"/>
              <w:left w:val="single" w:sz="2" w:space="0" w:color="C9D6E5"/>
              <w:bottom w:val="single" w:sz="2" w:space="0" w:color="C9D6E5"/>
              <w:right w:val="single" w:sz="2" w:space="0" w:color="C9D6E5"/>
            </w:tcBorders>
            <w:shd w:fill="0F2440" w:val="clear"/>
            <w:vAlign w:val="center"/>
          </w:tcPr>
          <w:p>
            <w:pPr>
              <w:pStyle w:val="Normal"/>
              <w:rPr/>
            </w:pPr>
            <w:r>
              <w:rPr>
                <w:b/>
                <w:bCs/>
                <w:color w:val="FFFFFF"/>
                <w:sz w:val="21"/>
                <w:szCs w:val="21"/>
              </w:rPr>
              <w:t>Ví dụ kết quả ghi nhận</w:t>
            </w:r>
          </w:p>
        </w:tc>
      </w:tr>
      <w:tr>
        <w:trPr/>
        <w:tc>
          <w:tcPr>
            <w:tcW w:w="2000" w:type="dxa"/>
            <w:tcBorders>
              <w:top w:val="single" w:sz="2" w:space="0" w:color="C9D6E5"/>
              <w:left w:val="single" w:sz="2" w:space="0" w:color="C9D6E5"/>
              <w:bottom w:val="single" w:sz="2" w:space="0" w:color="C9D6E5"/>
              <w:right w:val="single" w:sz="2" w:space="0" w:color="C9D6E5"/>
            </w:tcBorders>
            <w:shd w:fill="FFFFFF" w:val="clear"/>
            <w:tcMar>
              <w:top w:w="60" w:type="dxa"/>
              <w:bottom w:w="60" w:type="dxa"/>
            </w:tcMar>
            <w:vAlign w:val="center"/>
          </w:tcPr>
          <w:p>
            <w:pPr>
              <w:pStyle w:val="Normal"/>
              <w:spacing w:lineRule="auto" w:line="271"/>
              <w:rPr/>
            </w:pPr>
            <w:r>
              <w:rPr>
                <w:sz w:val="21"/>
                <w:szCs w:val="21"/>
              </w:rPr>
              <w:t>Dịch vụ khách hàng</w:t>
            </w:r>
          </w:p>
        </w:tc>
        <w:tc>
          <w:tcPr>
            <w:tcW w:w="4059" w:type="dxa"/>
            <w:tcBorders>
              <w:top w:val="single" w:sz="2" w:space="0" w:color="C9D6E5"/>
              <w:left w:val="single" w:sz="2" w:space="0" w:color="C9D6E5"/>
              <w:bottom w:val="single" w:sz="2" w:space="0" w:color="C9D6E5"/>
              <w:right w:val="single" w:sz="2" w:space="0" w:color="C9D6E5"/>
            </w:tcBorders>
            <w:shd w:fill="FFFFFF" w:val="clear"/>
            <w:tcMar>
              <w:top w:w="60" w:type="dxa"/>
              <w:bottom w:w="60" w:type="dxa"/>
            </w:tcMar>
            <w:vAlign w:val="center"/>
          </w:tcPr>
          <w:p>
            <w:pPr>
              <w:pStyle w:val="Normal"/>
              <w:spacing w:lineRule="auto" w:line="271"/>
              <w:rPr/>
            </w:pPr>
            <w:r>
              <w:rPr>
                <w:sz w:val="21"/>
                <w:szCs w:val="21"/>
              </w:rPr>
              <w:t>Tự giải quyết yêu cầu đầu–cuối, đa ngôn ngữ</w:t>
            </w:r>
          </w:p>
        </w:tc>
        <w:tc>
          <w:tcPr>
            <w:tcW w:w="3301" w:type="dxa"/>
            <w:tcBorders>
              <w:top w:val="single" w:sz="2" w:space="0" w:color="C9D6E5"/>
              <w:left w:val="single" w:sz="2" w:space="0" w:color="C9D6E5"/>
              <w:bottom w:val="single" w:sz="2" w:space="0" w:color="C9D6E5"/>
              <w:right w:val="single" w:sz="2" w:space="0" w:color="C9D6E5"/>
            </w:tcBorders>
            <w:shd w:fill="FFFFFF" w:val="clear"/>
            <w:tcMar>
              <w:top w:w="60" w:type="dxa"/>
              <w:bottom w:w="60" w:type="dxa"/>
            </w:tcMar>
            <w:vAlign w:val="center"/>
          </w:tcPr>
          <w:p>
            <w:pPr>
              <w:pStyle w:val="Normal"/>
              <w:spacing w:lineRule="auto" w:line="271"/>
              <w:rPr/>
            </w:pPr>
            <w:r>
              <w:rPr>
                <w:sz w:val="21"/>
                <w:szCs w:val="21"/>
              </w:rPr>
              <w:t>Thời gian xử lý 11 phút → dưới 2 phút (Klarna)</w:t>
            </w:r>
          </w:p>
        </w:tc>
      </w:tr>
      <w:tr>
        <w:trPr/>
        <w:tc>
          <w:tcPr>
            <w:tcW w:w="2000" w:type="dxa"/>
            <w:tcBorders>
              <w:top w:val="single" w:sz="2" w:space="0" w:color="C9D6E5"/>
              <w:left w:val="single" w:sz="2" w:space="0" w:color="C9D6E5"/>
              <w:bottom w:val="single" w:sz="2" w:space="0" w:color="C9D6E5"/>
              <w:right w:val="single" w:sz="2" w:space="0" w:color="C9D6E5"/>
            </w:tcBorders>
            <w:shd w:fill="F4F7FB" w:val="clear"/>
            <w:tcMar>
              <w:top w:w="60" w:type="dxa"/>
              <w:bottom w:w="60" w:type="dxa"/>
            </w:tcMar>
            <w:vAlign w:val="center"/>
          </w:tcPr>
          <w:p>
            <w:pPr>
              <w:pStyle w:val="Normal"/>
              <w:spacing w:lineRule="auto" w:line="271"/>
              <w:rPr/>
            </w:pPr>
            <w:r>
              <w:rPr>
                <w:sz w:val="21"/>
                <w:szCs w:val="21"/>
              </w:rPr>
              <w:t>Công việc tri thức</w:t>
            </w:r>
          </w:p>
        </w:tc>
        <w:tc>
          <w:tcPr>
            <w:tcW w:w="4059" w:type="dxa"/>
            <w:tcBorders>
              <w:top w:val="single" w:sz="2" w:space="0" w:color="C9D6E5"/>
              <w:left w:val="single" w:sz="2" w:space="0" w:color="C9D6E5"/>
              <w:bottom w:val="single" w:sz="2" w:space="0" w:color="C9D6E5"/>
              <w:right w:val="single" w:sz="2" w:space="0" w:color="C9D6E5"/>
            </w:tcBorders>
            <w:shd w:fill="F4F7FB" w:val="clear"/>
            <w:tcMar>
              <w:top w:w="60" w:type="dxa"/>
              <w:bottom w:w="60" w:type="dxa"/>
            </w:tcMar>
            <w:vAlign w:val="center"/>
          </w:tcPr>
          <w:p>
            <w:pPr>
              <w:pStyle w:val="Normal"/>
              <w:spacing w:lineRule="auto" w:line="271"/>
              <w:rPr/>
            </w:pPr>
            <w:r>
              <w:rPr>
                <w:sz w:val="21"/>
                <w:szCs w:val="21"/>
              </w:rPr>
              <w:t>Soạn thảo, tổng hợp, nghiên cứu, phân tích</w:t>
            </w:r>
          </w:p>
        </w:tc>
        <w:tc>
          <w:tcPr>
            <w:tcW w:w="3301" w:type="dxa"/>
            <w:tcBorders>
              <w:top w:val="single" w:sz="2" w:space="0" w:color="C9D6E5"/>
              <w:left w:val="single" w:sz="2" w:space="0" w:color="C9D6E5"/>
              <w:bottom w:val="single" w:sz="2" w:space="0" w:color="C9D6E5"/>
              <w:right w:val="single" w:sz="2" w:space="0" w:color="C9D6E5"/>
            </w:tcBorders>
            <w:shd w:fill="F4F7FB" w:val="clear"/>
            <w:tcMar>
              <w:top w:w="60" w:type="dxa"/>
              <w:bottom w:w="60" w:type="dxa"/>
            </w:tcMar>
            <w:vAlign w:val="center"/>
          </w:tcPr>
          <w:p>
            <w:pPr>
              <w:pStyle w:val="Normal"/>
              <w:spacing w:lineRule="auto" w:line="271"/>
              <w:rPr/>
            </w:pPr>
            <w:r>
              <w:rPr>
                <w:sz w:val="21"/>
                <w:szCs w:val="21"/>
              </w:rPr>
              <w:t>Tiết kiệm ~26 phút/người/ngày (CP Anh)</w:t>
            </w:r>
          </w:p>
        </w:tc>
      </w:tr>
      <w:tr>
        <w:trPr/>
        <w:tc>
          <w:tcPr>
            <w:tcW w:w="2000" w:type="dxa"/>
            <w:tcBorders>
              <w:top w:val="single" w:sz="2" w:space="0" w:color="C9D6E5"/>
              <w:left w:val="single" w:sz="2" w:space="0" w:color="C9D6E5"/>
              <w:bottom w:val="single" w:sz="2" w:space="0" w:color="C9D6E5"/>
              <w:right w:val="single" w:sz="2" w:space="0" w:color="C9D6E5"/>
            </w:tcBorders>
            <w:shd w:fill="FFFFFF" w:val="clear"/>
            <w:tcMar>
              <w:top w:w="60" w:type="dxa"/>
              <w:bottom w:w="60" w:type="dxa"/>
            </w:tcMar>
            <w:vAlign w:val="center"/>
          </w:tcPr>
          <w:p>
            <w:pPr>
              <w:pStyle w:val="Normal"/>
              <w:spacing w:lineRule="auto" w:line="271"/>
              <w:rPr/>
            </w:pPr>
            <w:r>
              <w:rPr>
                <w:sz w:val="21"/>
                <w:szCs w:val="21"/>
              </w:rPr>
              <w:t>Phát triển phần mềm</w:t>
            </w:r>
          </w:p>
        </w:tc>
        <w:tc>
          <w:tcPr>
            <w:tcW w:w="4059" w:type="dxa"/>
            <w:tcBorders>
              <w:top w:val="single" w:sz="2" w:space="0" w:color="C9D6E5"/>
              <w:left w:val="single" w:sz="2" w:space="0" w:color="C9D6E5"/>
              <w:bottom w:val="single" w:sz="2" w:space="0" w:color="C9D6E5"/>
              <w:right w:val="single" w:sz="2" w:space="0" w:color="C9D6E5"/>
            </w:tcBorders>
            <w:shd w:fill="FFFFFF" w:val="clear"/>
            <w:tcMar>
              <w:top w:w="60" w:type="dxa"/>
              <w:bottom w:w="60" w:type="dxa"/>
            </w:tcMar>
            <w:vAlign w:val="center"/>
          </w:tcPr>
          <w:p>
            <w:pPr>
              <w:pStyle w:val="Normal"/>
              <w:spacing w:lineRule="auto" w:line="271"/>
              <w:rPr/>
            </w:pPr>
            <w:r>
              <w:rPr>
                <w:sz w:val="21"/>
                <w:szCs w:val="21"/>
              </w:rPr>
              <w:t>Tự viết, kiểm thử và sửa lỗi mã nguồn</w:t>
            </w:r>
          </w:p>
        </w:tc>
        <w:tc>
          <w:tcPr>
            <w:tcW w:w="3301" w:type="dxa"/>
            <w:tcBorders>
              <w:top w:val="single" w:sz="2" w:space="0" w:color="C9D6E5"/>
              <w:left w:val="single" w:sz="2" w:space="0" w:color="C9D6E5"/>
              <w:bottom w:val="single" w:sz="2" w:space="0" w:color="C9D6E5"/>
              <w:right w:val="single" w:sz="2" w:space="0" w:color="C9D6E5"/>
            </w:tcBorders>
            <w:shd w:fill="FFFFFF" w:val="clear"/>
            <w:tcMar>
              <w:top w:w="60" w:type="dxa"/>
              <w:bottom w:w="60" w:type="dxa"/>
            </w:tcMar>
            <w:vAlign w:val="center"/>
          </w:tcPr>
          <w:p>
            <w:pPr>
              <w:pStyle w:val="Normal"/>
              <w:spacing w:lineRule="auto" w:line="271"/>
              <w:rPr/>
            </w:pPr>
            <w:r>
              <w:rPr>
                <w:sz w:val="21"/>
                <w:szCs w:val="21"/>
              </w:rPr>
              <w:t>Rút ngắn chu kỳ phát triển, tăng sản lượng</w:t>
            </w:r>
          </w:p>
        </w:tc>
      </w:tr>
      <w:tr>
        <w:trPr/>
        <w:tc>
          <w:tcPr>
            <w:tcW w:w="2000" w:type="dxa"/>
            <w:tcBorders>
              <w:top w:val="single" w:sz="2" w:space="0" w:color="C9D6E5"/>
              <w:left w:val="single" w:sz="2" w:space="0" w:color="C9D6E5"/>
              <w:bottom w:val="single" w:sz="2" w:space="0" w:color="C9D6E5"/>
              <w:right w:val="single" w:sz="2" w:space="0" w:color="C9D6E5"/>
            </w:tcBorders>
            <w:shd w:fill="F4F7FB" w:val="clear"/>
            <w:tcMar>
              <w:top w:w="60" w:type="dxa"/>
              <w:bottom w:w="60" w:type="dxa"/>
            </w:tcMar>
            <w:vAlign w:val="center"/>
          </w:tcPr>
          <w:p>
            <w:pPr>
              <w:pStyle w:val="Normal"/>
              <w:spacing w:lineRule="auto" w:line="271"/>
              <w:rPr/>
            </w:pPr>
            <w:r>
              <w:rPr>
                <w:sz w:val="21"/>
                <w:szCs w:val="21"/>
              </w:rPr>
              <w:t>Bán hàng &amp; marketing</w:t>
            </w:r>
          </w:p>
        </w:tc>
        <w:tc>
          <w:tcPr>
            <w:tcW w:w="4059" w:type="dxa"/>
            <w:tcBorders>
              <w:top w:val="single" w:sz="2" w:space="0" w:color="C9D6E5"/>
              <w:left w:val="single" w:sz="2" w:space="0" w:color="C9D6E5"/>
              <w:bottom w:val="single" w:sz="2" w:space="0" w:color="C9D6E5"/>
              <w:right w:val="single" w:sz="2" w:space="0" w:color="C9D6E5"/>
            </w:tcBorders>
            <w:shd w:fill="F4F7FB" w:val="clear"/>
            <w:tcMar>
              <w:top w:w="60" w:type="dxa"/>
              <w:bottom w:w="60" w:type="dxa"/>
            </w:tcMar>
            <w:vAlign w:val="center"/>
          </w:tcPr>
          <w:p>
            <w:pPr>
              <w:pStyle w:val="Normal"/>
              <w:spacing w:lineRule="auto" w:line="271"/>
              <w:rPr/>
            </w:pPr>
            <w:r>
              <w:rPr>
                <w:sz w:val="21"/>
                <w:szCs w:val="21"/>
              </w:rPr>
              <w:t>Khai thác khách hàng tiềm năng, cá nhân hóa</w:t>
            </w:r>
          </w:p>
        </w:tc>
        <w:tc>
          <w:tcPr>
            <w:tcW w:w="3301" w:type="dxa"/>
            <w:tcBorders>
              <w:top w:val="single" w:sz="2" w:space="0" w:color="C9D6E5"/>
              <w:left w:val="single" w:sz="2" w:space="0" w:color="C9D6E5"/>
              <w:bottom w:val="single" w:sz="2" w:space="0" w:color="C9D6E5"/>
              <w:right w:val="single" w:sz="2" w:space="0" w:color="C9D6E5"/>
            </w:tcBorders>
            <w:shd w:fill="F4F7FB" w:val="clear"/>
            <w:tcMar>
              <w:top w:w="60" w:type="dxa"/>
              <w:bottom w:w="60" w:type="dxa"/>
            </w:tcMar>
            <w:vAlign w:val="center"/>
          </w:tcPr>
          <w:p>
            <w:pPr>
              <w:pStyle w:val="Normal"/>
              <w:spacing w:lineRule="auto" w:line="271"/>
              <w:rPr/>
            </w:pPr>
            <w:r>
              <w:rPr>
                <w:sz w:val="21"/>
                <w:szCs w:val="21"/>
              </w:rPr>
              <w:t>Tăng tỷ lệ chuyển đổi &amp; quy mô tiếp cận</w:t>
            </w:r>
          </w:p>
        </w:tc>
      </w:tr>
      <w:tr>
        <w:trPr/>
        <w:tc>
          <w:tcPr>
            <w:tcW w:w="2000" w:type="dxa"/>
            <w:tcBorders>
              <w:top w:val="single" w:sz="2" w:space="0" w:color="C9D6E5"/>
              <w:left w:val="single" w:sz="2" w:space="0" w:color="C9D6E5"/>
              <w:bottom w:val="single" w:sz="2" w:space="0" w:color="C9D6E5"/>
              <w:right w:val="single" w:sz="2" w:space="0" w:color="C9D6E5"/>
            </w:tcBorders>
            <w:shd w:fill="FFFFFF" w:val="clear"/>
            <w:tcMar>
              <w:top w:w="60" w:type="dxa"/>
              <w:bottom w:w="60" w:type="dxa"/>
            </w:tcMar>
            <w:vAlign w:val="center"/>
          </w:tcPr>
          <w:p>
            <w:pPr>
              <w:pStyle w:val="Normal"/>
              <w:spacing w:lineRule="auto" w:line="271"/>
              <w:rPr/>
            </w:pPr>
            <w:r>
              <w:rPr>
                <w:sz w:val="21"/>
                <w:szCs w:val="21"/>
              </w:rPr>
              <w:t>Tài chính – kế toán</w:t>
            </w:r>
          </w:p>
        </w:tc>
        <w:tc>
          <w:tcPr>
            <w:tcW w:w="4059" w:type="dxa"/>
            <w:tcBorders>
              <w:top w:val="single" w:sz="2" w:space="0" w:color="C9D6E5"/>
              <w:left w:val="single" w:sz="2" w:space="0" w:color="C9D6E5"/>
              <w:bottom w:val="single" w:sz="2" w:space="0" w:color="C9D6E5"/>
              <w:right w:val="single" w:sz="2" w:space="0" w:color="C9D6E5"/>
            </w:tcBorders>
            <w:shd w:fill="FFFFFF" w:val="clear"/>
            <w:tcMar>
              <w:top w:w="60" w:type="dxa"/>
              <w:bottom w:w="60" w:type="dxa"/>
            </w:tcMar>
            <w:vAlign w:val="center"/>
          </w:tcPr>
          <w:p>
            <w:pPr>
              <w:pStyle w:val="Normal"/>
              <w:spacing w:lineRule="auto" w:line="271"/>
              <w:rPr/>
            </w:pPr>
            <w:r>
              <w:rPr>
                <w:sz w:val="21"/>
                <w:szCs w:val="21"/>
              </w:rPr>
              <w:t>Đối soát, xử lý hóa đơn, lập báo cáo</w:t>
            </w:r>
          </w:p>
        </w:tc>
        <w:tc>
          <w:tcPr>
            <w:tcW w:w="3301" w:type="dxa"/>
            <w:tcBorders>
              <w:top w:val="single" w:sz="2" w:space="0" w:color="C9D6E5"/>
              <w:left w:val="single" w:sz="2" w:space="0" w:color="C9D6E5"/>
              <w:bottom w:val="single" w:sz="2" w:space="0" w:color="C9D6E5"/>
              <w:right w:val="single" w:sz="2" w:space="0" w:color="C9D6E5"/>
            </w:tcBorders>
            <w:shd w:fill="FFFFFF" w:val="clear"/>
            <w:tcMar>
              <w:top w:w="60" w:type="dxa"/>
              <w:bottom w:w="60" w:type="dxa"/>
            </w:tcMar>
            <w:vAlign w:val="center"/>
          </w:tcPr>
          <w:p>
            <w:pPr>
              <w:pStyle w:val="Normal"/>
              <w:spacing w:lineRule="auto" w:line="271"/>
              <w:rPr/>
            </w:pPr>
            <w:r>
              <w:rPr>
                <w:sz w:val="21"/>
                <w:szCs w:val="21"/>
              </w:rPr>
              <w:t>Giảm chi phí xử lý mỗi giao dịch</w:t>
            </w:r>
          </w:p>
        </w:tc>
      </w:tr>
      <w:tr>
        <w:trPr/>
        <w:tc>
          <w:tcPr>
            <w:tcW w:w="2000" w:type="dxa"/>
            <w:tcBorders>
              <w:top w:val="single" w:sz="2" w:space="0" w:color="C9D6E5"/>
              <w:left w:val="single" w:sz="2" w:space="0" w:color="C9D6E5"/>
              <w:bottom w:val="single" w:sz="2" w:space="0" w:color="C9D6E5"/>
              <w:right w:val="single" w:sz="2" w:space="0" w:color="C9D6E5"/>
            </w:tcBorders>
            <w:shd w:fill="F4F7FB" w:val="clear"/>
            <w:tcMar>
              <w:top w:w="60" w:type="dxa"/>
              <w:bottom w:w="60" w:type="dxa"/>
            </w:tcMar>
            <w:vAlign w:val="center"/>
          </w:tcPr>
          <w:p>
            <w:pPr>
              <w:pStyle w:val="Normal"/>
              <w:spacing w:lineRule="auto" w:line="271"/>
              <w:rPr/>
            </w:pPr>
            <w:r>
              <w:rPr>
                <w:sz w:val="21"/>
                <w:szCs w:val="21"/>
              </w:rPr>
              <w:t>Nhân sự &amp; CNTT nội bộ</w:t>
            </w:r>
          </w:p>
        </w:tc>
        <w:tc>
          <w:tcPr>
            <w:tcW w:w="4059" w:type="dxa"/>
            <w:tcBorders>
              <w:top w:val="single" w:sz="2" w:space="0" w:color="C9D6E5"/>
              <w:left w:val="single" w:sz="2" w:space="0" w:color="C9D6E5"/>
              <w:bottom w:val="single" w:sz="2" w:space="0" w:color="C9D6E5"/>
              <w:right w:val="single" w:sz="2" w:space="0" w:color="C9D6E5"/>
            </w:tcBorders>
            <w:shd w:fill="F4F7FB" w:val="clear"/>
            <w:tcMar>
              <w:top w:w="60" w:type="dxa"/>
              <w:bottom w:w="60" w:type="dxa"/>
            </w:tcMar>
            <w:vAlign w:val="center"/>
          </w:tcPr>
          <w:p>
            <w:pPr>
              <w:pStyle w:val="Normal"/>
              <w:spacing w:lineRule="auto" w:line="271"/>
              <w:rPr/>
            </w:pPr>
            <w:r>
              <w:rPr>
                <w:sz w:val="21"/>
                <w:szCs w:val="21"/>
              </w:rPr>
              <w:t>Hỗ trợ tuyển dụng, onboarding, IT helpdesk</w:t>
            </w:r>
          </w:p>
        </w:tc>
        <w:tc>
          <w:tcPr>
            <w:tcW w:w="3301" w:type="dxa"/>
            <w:tcBorders>
              <w:top w:val="single" w:sz="2" w:space="0" w:color="C9D6E5"/>
              <w:left w:val="single" w:sz="2" w:space="0" w:color="C9D6E5"/>
              <w:bottom w:val="single" w:sz="2" w:space="0" w:color="C9D6E5"/>
              <w:right w:val="single" w:sz="2" w:space="0" w:color="C9D6E5"/>
            </w:tcBorders>
            <w:shd w:fill="F4F7FB" w:val="clear"/>
            <w:tcMar>
              <w:top w:w="60" w:type="dxa"/>
              <w:bottom w:w="60" w:type="dxa"/>
            </w:tcMar>
            <w:vAlign w:val="center"/>
          </w:tcPr>
          <w:p>
            <w:pPr>
              <w:pStyle w:val="Normal"/>
              <w:spacing w:lineRule="auto" w:line="271"/>
              <w:rPr/>
            </w:pPr>
            <w:r>
              <w:rPr>
                <w:sz w:val="21"/>
                <w:szCs w:val="21"/>
              </w:rPr>
              <w:t>Giảm tải đáng kể cho đội ngũ hỗ trợ</w:t>
            </w:r>
          </w:p>
        </w:tc>
      </w:tr>
    </w:tbl>
    <w:p>
      <w:pPr>
        <w:pStyle w:val="Normal"/>
        <w:spacing w:before="0" w:after="40"/>
        <w:rPr/>
      </w:pPr>
      <w:r>
        <w:rPr/>
      </w:r>
    </w:p>
    <w:p>
      <w:pPr>
        <w:pStyle w:val="Heading2"/>
        <w:rPr/>
      </w:pPr>
      <w:bookmarkStart w:id="13" w:name="__RefHeading___Toc1199_217012103"/>
      <w:bookmarkEnd w:id="13"/>
      <w:r>
        <w:rPr/>
        <w:t>2.2. Các nền tảng doanh nghiệp dẫn dắt thị trường</w:t>
      </w:r>
    </w:p>
    <w:p>
      <w:pPr>
        <w:pStyle w:val="Normal"/>
        <w:spacing w:lineRule="auto" w:line="314" w:before="0" w:after="165"/>
        <w:jc w:val="both"/>
        <w:rPr/>
      </w:pPr>
      <w:r>
        <w:rPr/>
        <w:t>Hai ví dụ tiêu biểu cho thấy AI Agent đã được thương mại hóa và mở rộng ở quy mô lớn:</w:t>
      </w:r>
    </w:p>
    <w:p>
      <w:pPr>
        <w:pStyle w:val="Heading3"/>
        <w:rPr/>
      </w:pPr>
      <w:bookmarkStart w:id="14" w:name="__RefHeading___Toc1201_217012103"/>
      <w:bookmarkEnd w:id="14"/>
      <w:r>
        <w:rPr/>
        <w:t>Salesforce Agentforce</w:t>
      </w:r>
    </w:p>
    <w:p>
      <w:pPr>
        <w:pStyle w:val="Normal"/>
        <w:spacing w:lineRule="auto" w:line="314" w:before="0" w:after="165"/>
        <w:jc w:val="both"/>
        <w:rPr/>
      </w:pPr>
      <w:r>
        <w:rPr/>
        <w:t xml:space="preserve">Agentforce trở thành một trong những sản phẩm tăng trưởng nhanh nhất lịch sử Salesforce, đạt </w:t>
      </w:r>
      <w:r>
        <w:rPr>
          <w:b/>
          <w:bCs/>
        </w:rPr>
        <w:t>doanh thu định kỳ hằng năm (ARR) ~800 triệu USD</w:t>
      </w:r>
      <w:r>
        <w:rPr/>
        <w:t xml:space="preserve"> vào cuối năm tài chính 2026 (tăng 169% so với cùng kỳ). Trên toàn tập khách hàng, Salesforce ghi nhận </w:t>
      </w:r>
      <w:r>
        <w:rPr>
          <w:b/>
          <w:bCs/>
        </w:rPr>
        <w:t>hơn 100 triệu USD tiết kiệm chi phí</w:t>
      </w:r>
      <w:r>
        <w:rPr/>
        <w:t xml:space="preserve"> và </w:t>
      </w:r>
      <w:r>
        <w:rPr>
          <w:b/>
          <w:bCs/>
        </w:rPr>
        <w:t>năng suất tăng 34%</w:t>
      </w:r>
      <w:r>
        <w:rPr/>
        <w:t xml:space="preserve"> nhờ AI tạo sinh và agentic. Một số kết quả khách hàng: Nexo tự giải quyết 62% ca hỗ trợ; Engie hỗ trợ thành công 83% người dùng; 1</w:t>
        <w:noBreakHyphen/>
        <w:t>800Accountant tự xử lý 70% phiên trò chuyện trong mùa thuế. Bản thân Salesforce xử lý khoảng 32.000 hội thoại/tuần với tỷ lệ giải quyết 83% và giảm một nửa số ca phải chuyển cho người.</w:t>
      </w:r>
    </w:p>
    <w:p>
      <w:pPr>
        <w:pStyle w:val="Heading3"/>
        <w:rPr/>
      </w:pPr>
      <w:bookmarkStart w:id="15" w:name="__RefHeading___Toc1203_217012103"/>
      <w:bookmarkEnd w:id="15"/>
      <w:r>
        <w:rPr/>
        <w:t>Microsoft 365 Copilot và Copilot Studio</w:t>
      </w:r>
    </w:p>
    <w:p>
      <w:pPr>
        <w:pStyle w:val="Normal"/>
        <w:spacing w:lineRule="auto" w:line="314" w:before="0" w:after="165"/>
        <w:jc w:val="both"/>
        <w:rPr/>
      </w:pPr>
      <w:r>
        <w:rPr/>
        <w:t xml:space="preserve">Tính đến tháng 4/2026, Microsoft 365 Copilot vượt </w:t>
      </w:r>
      <w:r>
        <w:rPr>
          <w:b/>
          <w:bCs/>
        </w:rPr>
        <w:t>20 triệu ghế trả phí</w:t>
      </w:r>
      <w:r>
        <w:rPr/>
        <w:t xml:space="preserve">, với hơn 60% doanh nghiệp Fortune 500 triển khai ít nhất 10.000 ghế. Tại Accenture, triển khai cho 200.000 nhân viên cho thấy 97% hoàn thành các tác vụ thường nhật nhanh hơn đáng kể và 53% báo cáo cải thiện năng suất rõ rệt. Trong một thử nghiệm của chính phủ Anh với gần 14.500 công chức, Copilot giúp tiết kiệm trung bình </w:t>
      </w:r>
      <w:r>
        <w:rPr>
          <w:b/>
          <w:bCs/>
        </w:rPr>
        <w:t>26 phút/người/ngày</w:t>
      </w:r>
      <w:r>
        <w:rPr/>
        <w:t xml:space="preserve"> — tương đương khoảng hai tuần làm việc mỗi năm.</w:t>
      </w:r>
    </w:p>
    <w:p>
      <w:pPr>
        <w:pStyle w:val="Heading2"/>
        <w:rPr/>
      </w:pPr>
      <w:bookmarkStart w:id="16" w:name="__RefHeading___Toc1205_217012103"/>
      <w:bookmarkEnd w:id="16"/>
      <w:r>
        <w:rPr/>
        <w:t>2.3. Giá trị kinh tế và lợi tức đầu tư (ROI)</w:t>
      </w:r>
    </w:p>
    <w:p>
      <w:pPr>
        <w:pStyle w:val="Normal"/>
        <w:spacing w:lineRule="auto" w:line="314" w:before="0" w:after="165"/>
        <w:jc w:val="both"/>
        <w:rPr/>
      </w:pPr>
      <w:r>
        <w:rPr/>
        <w:t>Câu hỏi quan trọng nhất với lãnh đạo là: liệu khoản đầu tư có sinh lời? Bằng chứng tích lũy đến 2026 cho thấy câu trả lời là tích cực — với điều kiện triển khai bài bản.</w:t>
      </w:r>
    </w:p>
    <w:p>
      <w:pPr>
        <w:pStyle w:val="Normal"/>
        <w:spacing w:before="80" w:after="40"/>
        <w:jc w:val="center"/>
        <w:rPr/>
      </w:pPr>
      <w:r>
        <w:rPr/>
        <w:drawing>
          <wp:inline distT="0" distB="0" distL="0" distR="0">
            <wp:extent cx="4953000" cy="3219450"/>
            <wp:effectExtent l="0" t="0" r="0" b="0"/>
            <wp:docPr id="7" name="roi_comparison.png" descr="roi_comparison.png&#10;roi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roi_comparison.png" descr="roi_comparison.png&#10;roi_comparison.png"/>
                    <pic:cNvPicPr>
                      <a:picLocks noChangeAspect="1" noChangeArrowheads="1"/>
                    </pic:cNvPicPr>
                  </pic:nvPicPr>
                  <pic:blipFill>
                    <a:blip r:embed="rId14"/>
                    <a:stretch>
                      <a:fillRect/>
                    </a:stretch>
                  </pic:blipFill>
                  <pic:spPr bwMode="auto">
                    <a:xfrm>
                      <a:off x="0" y="0"/>
                      <a:ext cx="4953000" cy="3219450"/>
                    </a:xfrm>
                    <a:prstGeom prst="rect">
                      <a:avLst/>
                    </a:prstGeom>
                    <a:noFill/>
                  </pic:spPr>
                </pic:pic>
              </a:graphicData>
            </a:graphic>
          </wp:inline>
        </w:drawing>
      </w:r>
    </w:p>
    <w:p>
      <w:pPr>
        <w:pStyle w:val="Normal"/>
        <w:spacing w:before="0" w:after="200"/>
        <w:jc w:val="center"/>
        <w:rPr/>
      </w:pPr>
      <w:r>
        <w:rPr>
          <w:b/>
          <w:bCs/>
          <w:i/>
          <w:iCs/>
          <w:color w:val="5B6675"/>
          <w:sz w:val="18"/>
          <w:szCs w:val="18"/>
        </w:rPr>
        <w:t xml:space="preserve">Hình 6. </w:t>
      </w:r>
      <w:r>
        <w:rPr>
          <w:i/>
          <w:iCs/>
          <w:color w:val="5B6675"/>
          <w:sz w:val="18"/>
          <w:szCs w:val="18"/>
        </w:rPr>
        <w:t>So sánh ROI trung bình giữa tự động hóa truyền thống và AI Agent.</w:t>
      </w:r>
    </w:p>
    <w:p>
      <w:pPr>
        <w:pStyle w:val="Normal"/>
        <w:spacing w:lineRule="auto" w:line="314" w:before="0" w:after="165"/>
        <w:jc w:val="both"/>
        <w:rPr/>
      </w:pPr>
      <w:r>
        <w:rPr/>
        <w:t xml:space="preserve">Khảo sát doanh nghiệp ghi nhận </w:t>
      </w:r>
      <w:r>
        <w:rPr>
          <w:b/>
          <w:bCs/>
        </w:rPr>
        <w:t>ROI trung bình ~171%</w:t>
      </w:r>
      <w:r>
        <w:rPr/>
        <w:t xml:space="preserve"> từ các triển khai agentic AI, riêng doanh nghiệp Mỹ đạt ~192% — cao gấp khoảng ba lần so với tự động hóa truyền thống. Ở tầm vĩ mô, tiềm năng giá trị còn lớn hơn nhiều:</w:t>
      </w:r>
    </w:p>
    <w:p>
      <w:pPr>
        <w:pStyle w:val="Normal"/>
        <w:spacing w:before="80" w:after="40"/>
        <w:jc w:val="center"/>
        <w:rPr/>
      </w:pPr>
      <w:r>
        <w:rPr/>
        <w:drawing>
          <wp:inline distT="0" distB="0" distL="0" distR="0">
            <wp:extent cx="5715000" cy="1962150"/>
            <wp:effectExtent l="0" t="0" r="0" b="0"/>
            <wp:docPr id="8" name="economic_value.png" descr="economic_value.png&#10;economic_valu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economic_value.png" descr="economic_value.png&#10;economic_value.png"/>
                    <pic:cNvPicPr>
                      <a:picLocks noChangeAspect="1" noChangeArrowheads="1"/>
                    </pic:cNvPicPr>
                  </pic:nvPicPr>
                  <pic:blipFill>
                    <a:blip r:embed="rId15"/>
                    <a:stretch>
                      <a:fillRect/>
                    </a:stretch>
                  </pic:blipFill>
                  <pic:spPr bwMode="auto">
                    <a:xfrm>
                      <a:off x="0" y="0"/>
                      <a:ext cx="5715000" cy="1962150"/>
                    </a:xfrm>
                    <a:prstGeom prst="rect">
                      <a:avLst/>
                    </a:prstGeom>
                    <a:noFill/>
                  </pic:spPr>
                </pic:pic>
              </a:graphicData>
            </a:graphic>
          </wp:inline>
        </w:drawing>
      </w:r>
    </w:p>
    <w:p>
      <w:pPr>
        <w:pStyle w:val="Normal"/>
        <w:spacing w:before="0" w:after="200"/>
        <w:jc w:val="center"/>
        <w:rPr/>
      </w:pPr>
      <w:r>
        <w:rPr>
          <w:b/>
          <w:bCs/>
          <w:i/>
          <w:iCs/>
          <w:color w:val="5B6675"/>
          <w:sz w:val="18"/>
          <w:szCs w:val="18"/>
        </w:rPr>
        <w:t xml:space="preserve">Hình 7. </w:t>
      </w:r>
      <w:r>
        <w:rPr>
          <w:i/>
          <w:iCs/>
          <w:color w:val="5B6675"/>
          <w:sz w:val="18"/>
          <w:szCs w:val="18"/>
        </w:rPr>
        <w:t>Tiềm năng giá trị kinh tế của AI tạo sinh và AI Agent (theo McKinsey, Gartner).</w:t>
      </w:r>
    </w:p>
    <w:p>
      <w:pPr>
        <w:pStyle w:val="Normal"/>
        <w:spacing w:lineRule="auto" w:line="314" w:before="0" w:after="165"/>
        <w:jc w:val="both"/>
        <w:rPr/>
      </w:pPr>
      <w:r>
        <w:rPr/>
        <w:t xml:space="preserve">McKinsey ước tính AI tạo sinh có thể bổ sung </w:t>
      </w:r>
      <w:r>
        <w:rPr>
          <w:b/>
          <w:bCs/>
        </w:rPr>
        <w:t>2.600–4.400 tỷ USD giá trị mỗi năm</w:t>
      </w:r>
      <w:r>
        <w:rPr/>
        <w:t xml:space="preserve"> trên 63 nhóm ứng dụng (lên tới ~7.900 tỷ USD khi tích hợp rộng vào phần mềm hiện hữu), và có thể nâng lợi nhuận doanh nghiệp toàn cầu thêm tới </w:t>
      </w:r>
      <w:r>
        <w:rPr>
          <w:b/>
          <w:bCs/>
        </w:rPr>
        <w:t>4.400 tỷ USD/năm</w:t>
      </w:r>
      <w:r>
        <w:rPr/>
        <w:t xml:space="preserve">. Tổng thể, AI được dự báo đóng góp khoảng </w:t>
      </w:r>
      <w:r>
        <w:rPr>
          <w:b/>
          <w:bCs/>
        </w:rPr>
        <w:t>13.000 tỷ USD</w:t>
      </w:r>
      <w:r>
        <w:rPr/>
        <w:t xml:space="preserve"> vào GDP toàn cầu tới năm 2030.</w:t>
      </w:r>
    </w:p>
    <w:tbl>
      <w:tblPr>
        <w:tblW w:w="9360" w:type="dxa"/>
        <w:jc w:val="left"/>
        <w:tblInd w:w="255" w:type="dxa"/>
        <w:tblLayout w:type="fixed"/>
        <w:tblCellMar>
          <w:top w:w="140" w:type="dxa"/>
          <w:left w:w="220" w:type="dxa"/>
          <w:bottom w:w="140" w:type="dxa"/>
          <w:right w:w="200" w:type="dxa"/>
        </w:tblCellMar>
      </w:tblPr>
      <w:tblGrid>
        <w:gridCol w:w="9360"/>
      </w:tblGrid>
      <w:tr>
        <w:trPr/>
        <w:tc>
          <w:tcPr>
            <w:tcW w:w="9360" w:type="dxa"/>
            <w:tcBorders>
              <w:top w:val="single" w:sz="2" w:space="0" w:color="FBF1DD"/>
              <w:left w:val="single" w:sz="28" w:space="0" w:color="E0890F"/>
              <w:bottom w:val="single" w:sz="2" w:space="0" w:color="FBF1DD"/>
              <w:right w:val="single" w:sz="2" w:space="0" w:color="FBF1DD"/>
            </w:tcBorders>
            <w:shd w:fill="FBF1DD" w:val="clear"/>
          </w:tcPr>
          <w:p>
            <w:pPr>
              <w:pStyle w:val="Normal"/>
              <w:spacing w:before="0" w:after="60"/>
              <w:rPr/>
            </w:pPr>
            <w:r>
              <w:rPr>
                <w:b/>
                <w:bCs/>
                <w:color w:val="E0890F"/>
                <w:sz w:val="23"/>
                <w:szCs w:val="23"/>
              </w:rPr>
              <w:t>Hàm ý cho lãnh đạo</w:t>
            </w:r>
          </w:p>
          <w:p>
            <w:pPr>
              <w:pStyle w:val="Normal"/>
              <w:spacing w:lineRule="auto" w:line="281" w:before="0" w:after="0"/>
              <w:rPr/>
            </w:pPr>
            <w:r>
              <w:rPr>
                <w:sz w:val="22"/>
                <w:szCs w:val="22"/>
              </w:rPr>
              <w:t xml:space="preserve">ROI không tự đến từ việc “mua công nghệ”. Các doanh nghiệp đạt lợi tức cao đều bắt đầu từ </w:t>
            </w:r>
            <w:r>
              <w:rPr>
                <w:b/>
                <w:bCs/>
                <w:sz w:val="22"/>
                <w:szCs w:val="22"/>
              </w:rPr>
              <w:t>một bài toán nghiệp vụ có giá trị rõ ràng và đo lường được</w:t>
            </w:r>
            <w:r>
              <w:rPr>
                <w:sz w:val="22"/>
                <w:szCs w:val="22"/>
              </w:rPr>
              <w:t>, gắn KPI cụ thể (thời gian xử lý, tỷ lệ tự động giải quyết, chi phí/giao dịch) ngay từ giai đoạn thử nghiệm.</w:t>
            </w:r>
          </w:p>
        </w:tc>
      </w:tr>
    </w:tbl>
    <w:p>
      <w:pPr>
        <w:pStyle w:val="Heading2"/>
        <w:rPr/>
      </w:pPr>
      <w:bookmarkStart w:id="17" w:name="__RefHeading___Toc1207_217012103"/>
      <w:bookmarkEnd w:id="17"/>
      <w:r>
        <w:rPr/>
        <w:t>2.4. Xây dựng hay mua, và kinh tế học của tác tử</w:t>
      </w:r>
    </w:p>
    <w:p>
      <w:pPr>
        <w:pStyle w:val="Normal"/>
        <w:spacing w:lineRule="auto" w:line="314" w:before="0" w:after="165"/>
        <w:jc w:val="both"/>
        <w:rPr/>
      </w:pPr>
      <w:r>
        <w:rPr/>
        <w:t>Một quyết định chiến lược với mọi doanh nghiệp là “xây dựng hay mua” (build vs buy). Mua các nền tảng/tác tử đóng gói sẵn (như Agentforce, Copilot) cho thời gian triển khai nhanh và chi phí ban đầu thấp; tự xây mang lại khả năng tùy biến sâu và quyền kiểm soát dữ liệu, nhưng đòi hỏi năng lực kỹ thuật và chi phí vận hành lớn hơn. Thực tế phổ biến là mô hình lai: mua nền tảng nền và tự xây các tác tử chuyên biệt cho quy trình lõi.</w:t>
      </w:r>
    </w:p>
    <w:p>
      <w:pPr>
        <w:pStyle w:val="Normal"/>
        <w:spacing w:lineRule="auto" w:line="314" w:before="0" w:after="165"/>
        <w:jc w:val="both"/>
        <w:rPr/>
      </w:pPr>
      <w:r>
        <w:rPr/>
        <w:t xml:space="preserve">Về kinh tế học vận hành, chi phí của tác tử chủ yếu đến từ lượng token tiêu thụ khi suy luận. Vì một tác tử tự chủ có thể thực hiện nhiều bước suy luận và gọi công cụ cho mỗi nhiệm vụ, chi phí có thể tăng nhanh và khó dự đoán — một trong những lý do khiến Gartner cảnh báo về “chi phí leo thang”. Tin tốt là chi phí trên mỗi đơn vị suy luận đang giảm mạnh theo thời gian. Hàm ý với lãnh đạo: cần </w:t>
      </w:r>
      <w:r>
        <w:rPr>
          <w:b/>
          <w:bCs/>
        </w:rPr>
        <w:t>theo dõi chi phí theo từng tác tử và từng nhiệm vụ (unit economics)</w:t>
      </w:r>
      <w:r>
        <w:rPr/>
        <w:t xml:space="preserve"> ngay từ đầu, đặt hạn mức và tối ưu liên tục, thay vì chỉ nhìn vào tổng hóa đơn.</w:t>
      </w:r>
    </w:p>
    <w:tbl>
      <w:tblPr>
        <w:tblW w:w="9360" w:type="dxa"/>
        <w:jc w:val="left"/>
        <w:tblInd w:w="255" w:type="dxa"/>
        <w:tblLayout w:type="fixed"/>
        <w:tblCellMar>
          <w:top w:w="140" w:type="dxa"/>
          <w:left w:w="220" w:type="dxa"/>
          <w:bottom w:w="140" w:type="dxa"/>
          <w:right w:w="200" w:type="dxa"/>
        </w:tblCellMar>
      </w:tblPr>
      <w:tblGrid>
        <w:gridCol w:w="9360"/>
      </w:tblGrid>
      <w:tr>
        <w:trPr/>
        <w:tc>
          <w:tcPr>
            <w:tcW w:w="9360" w:type="dxa"/>
            <w:tcBorders>
              <w:top w:val="single" w:sz="2" w:space="0" w:color="EAF1FB"/>
              <w:left w:val="single" w:sz="28" w:space="0" w:color="1C6DD0"/>
              <w:bottom w:val="single" w:sz="2" w:space="0" w:color="EAF1FB"/>
              <w:right w:val="single" w:sz="2" w:space="0" w:color="EAF1FB"/>
            </w:tcBorders>
            <w:shd w:fill="EAF1FB" w:val="clear"/>
          </w:tcPr>
          <w:p>
            <w:pPr>
              <w:pStyle w:val="Normal"/>
              <w:spacing w:before="0" w:after="60"/>
              <w:rPr/>
            </w:pPr>
            <w:r>
              <w:rPr>
                <w:b/>
                <w:bCs/>
                <w:color w:val="1C6DD0"/>
                <w:sz w:val="23"/>
                <w:szCs w:val="23"/>
              </w:rPr>
              <w:t>Tổng chi phí sở hữu (TCO) — đừng bỏ sót</w:t>
            </w:r>
          </w:p>
          <w:p>
            <w:pPr>
              <w:pStyle w:val="Normal"/>
              <w:spacing w:lineRule="auto" w:line="281" w:before="0" w:after="0"/>
              <w:rPr/>
            </w:pPr>
            <w:r>
              <w:rPr>
                <w:sz w:val="22"/>
                <w:szCs w:val="22"/>
              </w:rPr>
              <w:t>Chi phí thực của AI Agent không chỉ là phí giấy phép hay token. Cần tính cả: chuẩn hóa dữ liệu (thường chiếm 60–70% công sức dự án), tích hợp hệ thống, quản trị – an ninh, giám sát vận hành (AgentOps) và đào tạo con người. Bỏ sót các hạng mục này là nguyên nhân hàng đầu khiến ROI thực tế thấp hơn kỳ vọng.</w:t>
            </w:r>
          </w:p>
        </w:tc>
      </w:tr>
    </w:tbl>
    <w:p>
      <w:pPr>
        <w:pStyle w:val="Heading2"/>
        <w:rPr/>
      </w:pPr>
      <w:bookmarkStart w:id="18" w:name="__RefHeading___Toc1209_217012103"/>
      <w:bookmarkEnd w:id="18"/>
      <w:r>
        <w:rPr/>
        <w:t>2.5. Đo lường thành công: các chỉ số then chốt</w:t>
      </w:r>
    </w:p>
    <w:p>
      <w:pPr>
        <w:pStyle w:val="Normal"/>
        <w:spacing w:lineRule="auto" w:line="314" w:before="0" w:after="165"/>
        <w:jc w:val="both"/>
        <w:rPr/>
      </w:pPr>
      <w:r>
        <w:rPr/>
        <w:t>Để chứng minh và duy trì giá trị, mỗi triển khai AI Agent cần gắn với một bộ chỉ số rõ ràng ngay từ đầu. Bốn nhóm KPI dưới đây thường được các doanh nghiệp dẫn đầu theo dõi:</w:t>
      </w:r>
    </w:p>
    <w:tbl>
      <w:tblPr>
        <w:tblW w:w="9360" w:type="dxa"/>
        <w:jc w:val="left"/>
        <w:tblInd w:w="111" w:type="dxa"/>
        <w:tblLayout w:type="fixed"/>
        <w:tblCellMar>
          <w:top w:w="70" w:type="dxa"/>
          <w:left w:w="110" w:type="dxa"/>
          <w:bottom w:w="70" w:type="dxa"/>
          <w:right w:w="110" w:type="dxa"/>
        </w:tblCellMar>
      </w:tblPr>
      <w:tblGrid>
        <w:gridCol w:w="2299"/>
        <w:gridCol w:w="3760"/>
        <w:gridCol w:w="3301"/>
      </w:tblGrid>
      <w:tr>
        <w:trPr>
          <w:tblHeader w:val="true"/>
        </w:trPr>
        <w:tc>
          <w:tcPr>
            <w:tcW w:w="2299" w:type="dxa"/>
            <w:tcBorders>
              <w:top w:val="single" w:sz="2" w:space="0" w:color="C9D6E5"/>
              <w:left w:val="single" w:sz="2" w:space="0" w:color="C9D6E5"/>
              <w:bottom w:val="single" w:sz="2" w:space="0" w:color="C9D6E5"/>
              <w:right w:val="single" w:sz="2" w:space="0" w:color="C9D6E5"/>
            </w:tcBorders>
            <w:shd w:fill="0F2440" w:val="clear"/>
            <w:vAlign w:val="center"/>
          </w:tcPr>
          <w:p>
            <w:pPr>
              <w:pStyle w:val="Normal"/>
              <w:rPr/>
            </w:pPr>
            <w:r>
              <w:rPr>
                <w:b/>
                <w:bCs/>
                <w:color w:val="FFFFFF"/>
                <w:sz w:val="21"/>
                <w:szCs w:val="21"/>
              </w:rPr>
              <w:t>Nhóm chỉ số</w:t>
            </w:r>
          </w:p>
        </w:tc>
        <w:tc>
          <w:tcPr>
            <w:tcW w:w="3760" w:type="dxa"/>
            <w:tcBorders>
              <w:top w:val="single" w:sz="2" w:space="0" w:color="C9D6E5"/>
              <w:left w:val="single" w:sz="2" w:space="0" w:color="C9D6E5"/>
              <w:bottom w:val="single" w:sz="2" w:space="0" w:color="C9D6E5"/>
              <w:right w:val="single" w:sz="2" w:space="0" w:color="C9D6E5"/>
            </w:tcBorders>
            <w:shd w:fill="0F2440" w:val="clear"/>
            <w:vAlign w:val="center"/>
          </w:tcPr>
          <w:p>
            <w:pPr>
              <w:pStyle w:val="Normal"/>
              <w:rPr/>
            </w:pPr>
            <w:r>
              <w:rPr>
                <w:b/>
                <w:bCs/>
                <w:color w:val="FFFFFF"/>
                <w:sz w:val="21"/>
                <w:szCs w:val="21"/>
              </w:rPr>
              <w:t>Ví dụ KPI</w:t>
            </w:r>
          </w:p>
        </w:tc>
        <w:tc>
          <w:tcPr>
            <w:tcW w:w="3301" w:type="dxa"/>
            <w:tcBorders>
              <w:top w:val="single" w:sz="2" w:space="0" w:color="C9D6E5"/>
              <w:left w:val="single" w:sz="2" w:space="0" w:color="C9D6E5"/>
              <w:bottom w:val="single" w:sz="2" w:space="0" w:color="C9D6E5"/>
              <w:right w:val="single" w:sz="2" w:space="0" w:color="C9D6E5"/>
            </w:tcBorders>
            <w:shd w:fill="0F2440" w:val="clear"/>
            <w:vAlign w:val="center"/>
          </w:tcPr>
          <w:p>
            <w:pPr>
              <w:pStyle w:val="Normal"/>
              <w:rPr/>
            </w:pPr>
            <w:r>
              <w:rPr>
                <w:b/>
                <w:bCs/>
                <w:color w:val="FFFFFF"/>
                <w:sz w:val="21"/>
                <w:szCs w:val="21"/>
              </w:rPr>
              <w:t>Ý nghĩa với lãnh đạo</w:t>
            </w:r>
          </w:p>
        </w:tc>
      </w:tr>
      <w:tr>
        <w:trPr/>
        <w:tc>
          <w:tcPr>
            <w:tcW w:w="2299" w:type="dxa"/>
            <w:tcBorders>
              <w:top w:val="single" w:sz="2" w:space="0" w:color="C9D6E5"/>
              <w:left w:val="single" w:sz="2" w:space="0" w:color="C9D6E5"/>
              <w:bottom w:val="single" w:sz="2" w:space="0" w:color="C9D6E5"/>
              <w:right w:val="single" w:sz="2" w:space="0" w:color="C9D6E5"/>
            </w:tcBorders>
            <w:shd w:fill="FFFFFF" w:val="clear"/>
            <w:tcMar>
              <w:top w:w="60" w:type="dxa"/>
              <w:bottom w:w="60" w:type="dxa"/>
            </w:tcMar>
            <w:vAlign w:val="center"/>
          </w:tcPr>
          <w:p>
            <w:pPr>
              <w:pStyle w:val="Normal"/>
              <w:spacing w:lineRule="auto" w:line="271"/>
              <w:rPr/>
            </w:pPr>
            <w:r>
              <w:rPr>
                <w:sz w:val="21"/>
                <w:szCs w:val="21"/>
              </w:rPr>
              <w:t>Hiệu quả vận hành</w:t>
            </w:r>
          </w:p>
        </w:tc>
        <w:tc>
          <w:tcPr>
            <w:tcW w:w="3760" w:type="dxa"/>
            <w:tcBorders>
              <w:top w:val="single" w:sz="2" w:space="0" w:color="C9D6E5"/>
              <w:left w:val="single" w:sz="2" w:space="0" w:color="C9D6E5"/>
              <w:bottom w:val="single" w:sz="2" w:space="0" w:color="C9D6E5"/>
              <w:right w:val="single" w:sz="2" w:space="0" w:color="C9D6E5"/>
            </w:tcBorders>
            <w:shd w:fill="FFFFFF" w:val="clear"/>
            <w:tcMar>
              <w:top w:w="60" w:type="dxa"/>
              <w:bottom w:w="60" w:type="dxa"/>
            </w:tcMar>
            <w:vAlign w:val="center"/>
          </w:tcPr>
          <w:p>
            <w:pPr>
              <w:pStyle w:val="Normal"/>
              <w:spacing w:lineRule="auto" w:line="271"/>
              <w:rPr/>
            </w:pPr>
            <w:r>
              <w:rPr>
                <w:sz w:val="21"/>
                <w:szCs w:val="21"/>
              </w:rPr>
              <w:t>Thời gian xử lý, tỷ lệ tự giải quyết</w:t>
            </w:r>
          </w:p>
        </w:tc>
        <w:tc>
          <w:tcPr>
            <w:tcW w:w="3301" w:type="dxa"/>
            <w:tcBorders>
              <w:top w:val="single" w:sz="2" w:space="0" w:color="C9D6E5"/>
              <w:left w:val="single" w:sz="2" w:space="0" w:color="C9D6E5"/>
              <w:bottom w:val="single" w:sz="2" w:space="0" w:color="C9D6E5"/>
              <w:right w:val="single" w:sz="2" w:space="0" w:color="C9D6E5"/>
            </w:tcBorders>
            <w:shd w:fill="FFFFFF" w:val="clear"/>
            <w:tcMar>
              <w:top w:w="60" w:type="dxa"/>
              <w:bottom w:w="60" w:type="dxa"/>
            </w:tcMar>
            <w:vAlign w:val="center"/>
          </w:tcPr>
          <w:p>
            <w:pPr>
              <w:pStyle w:val="Normal"/>
              <w:spacing w:lineRule="auto" w:line="271"/>
              <w:rPr/>
            </w:pPr>
            <w:r>
              <w:rPr>
                <w:sz w:val="21"/>
                <w:szCs w:val="21"/>
              </w:rPr>
              <w:t>Năng suất &amp; tốc độ phục vụ</w:t>
            </w:r>
          </w:p>
        </w:tc>
      </w:tr>
      <w:tr>
        <w:trPr/>
        <w:tc>
          <w:tcPr>
            <w:tcW w:w="2299" w:type="dxa"/>
            <w:tcBorders>
              <w:top w:val="single" w:sz="2" w:space="0" w:color="C9D6E5"/>
              <w:left w:val="single" w:sz="2" w:space="0" w:color="C9D6E5"/>
              <w:bottom w:val="single" w:sz="2" w:space="0" w:color="C9D6E5"/>
              <w:right w:val="single" w:sz="2" w:space="0" w:color="C9D6E5"/>
            </w:tcBorders>
            <w:shd w:fill="F4F7FB" w:val="clear"/>
            <w:tcMar>
              <w:top w:w="60" w:type="dxa"/>
              <w:bottom w:w="60" w:type="dxa"/>
            </w:tcMar>
            <w:vAlign w:val="center"/>
          </w:tcPr>
          <w:p>
            <w:pPr>
              <w:pStyle w:val="Normal"/>
              <w:spacing w:lineRule="auto" w:line="271"/>
              <w:rPr/>
            </w:pPr>
            <w:r>
              <w:rPr>
                <w:sz w:val="21"/>
                <w:szCs w:val="21"/>
              </w:rPr>
              <w:t>Tài chính</w:t>
            </w:r>
          </w:p>
        </w:tc>
        <w:tc>
          <w:tcPr>
            <w:tcW w:w="3760" w:type="dxa"/>
            <w:tcBorders>
              <w:top w:val="single" w:sz="2" w:space="0" w:color="C9D6E5"/>
              <w:left w:val="single" w:sz="2" w:space="0" w:color="C9D6E5"/>
              <w:bottom w:val="single" w:sz="2" w:space="0" w:color="C9D6E5"/>
              <w:right w:val="single" w:sz="2" w:space="0" w:color="C9D6E5"/>
            </w:tcBorders>
            <w:shd w:fill="F4F7FB" w:val="clear"/>
            <w:tcMar>
              <w:top w:w="60" w:type="dxa"/>
              <w:bottom w:w="60" w:type="dxa"/>
            </w:tcMar>
            <w:vAlign w:val="center"/>
          </w:tcPr>
          <w:p>
            <w:pPr>
              <w:pStyle w:val="Normal"/>
              <w:spacing w:lineRule="auto" w:line="271"/>
              <w:rPr/>
            </w:pPr>
            <w:r>
              <w:rPr>
                <w:sz w:val="21"/>
                <w:szCs w:val="21"/>
              </w:rPr>
              <w:t>Chi phí/giao dịch, ROI, tiết kiệm chi phí</w:t>
            </w:r>
          </w:p>
        </w:tc>
        <w:tc>
          <w:tcPr>
            <w:tcW w:w="3301" w:type="dxa"/>
            <w:tcBorders>
              <w:top w:val="single" w:sz="2" w:space="0" w:color="C9D6E5"/>
              <w:left w:val="single" w:sz="2" w:space="0" w:color="C9D6E5"/>
              <w:bottom w:val="single" w:sz="2" w:space="0" w:color="C9D6E5"/>
              <w:right w:val="single" w:sz="2" w:space="0" w:color="C9D6E5"/>
            </w:tcBorders>
            <w:shd w:fill="F4F7FB" w:val="clear"/>
            <w:tcMar>
              <w:top w:w="60" w:type="dxa"/>
              <w:bottom w:w="60" w:type="dxa"/>
            </w:tcMar>
            <w:vAlign w:val="center"/>
          </w:tcPr>
          <w:p>
            <w:pPr>
              <w:pStyle w:val="Normal"/>
              <w:spacing w:lineRule="auto" w:line="271"/>
              <w:rPr/>
            </w:pPr>
            <w:r>
              <w:rPr>
                <w:sz w:val="21"/>
                <w:szCs w:val="21"/>
              </w:rPr>
              <w:t>Giá trị kinh tế trực tiếp</w:t>
            </w:r>
          </w:p>
        </w:tc>
      </w:tr>
      <w:tr>
        <w:trPr/>
        <w:tc>
          <w:tcPr>
            <w:tcW w:w="2299" w:type="dxa"/>
            <w:tcBorders>
              <w:top w:val="single" w:sz="2" w:space="0" w:color="C9D6E5"/>
              <w:left w:val="single" w:sz="2" w:space="0" w:color="C9D6E5"/>
              <w:bottom w:val="single" w:sz="2" w:space="0" w:color="C9D6E5"/>
              <w:right w:val="single" w:sz="2" w:space="0" w:color="C9D6E5"/>
            </w:tcBorders>
            <w:shd w:fill="FFFFFF" w:val="clear"/>
            <w:tcMar>
              <w:top w:w="60" w:type="dxa"/>
              <w:bottom w:w="60" w:type="dxa"/>
            </w:tcMar>
            <w:vAlign w:val="center"/>
          </w:tcPr>
          <w:p>
            <w:pPr>
              <w:pStyle w:val="Normal"/>
              <w:spacing w:lineRule="auto" w:line="271"/>
              <w:rPr/>
            </w:pPr>
            <w:r>
              <w:rPr>
                <w:sz w:val="21"/>
                <w:szCs w:val="21"/>
              </w:rPr>
              <w:t>Chất lượng &amp; tin cậy</w:t>
            </w:r>
          </w:p>
        </w:tc>
        <w:tc>
          <w:tcPr>
            <w:tcW w:w="3760" w:type="dxa"/>
            <w:tcBorders>
              <w:top w:val="single" w:sz="2" w:space="0" w:color="C9D6E5"/>
              <w:left w:val="single" w:sz="2" w:space="0" w:color="C9D6E5"/>
              <w:bottom w:val="single" w:sz="2" w:space="0" w:color="C9D6E5"/>
              <w:right w:val="single" w:sz="2" w:space="0" w:color="C9D6E5"/>
            </w:tcBorders>
            <w:shd w:fill="FFFFFF" w:val="clear"/>
            <w:tcMar>
              <w:top w:w="60" w:type="dxa"/>
              <w:bottom w:w="60" w:type="dxa"/>
            </w:tcMar>
            <w:vAlign w:val="center"/>
          </w:tcPr>
          <w:p>
            <w:pPr>
              <w:pStyle w:val="Normal"/>
              <w:spacing w:lineRule="auto" w:line="271"/>
              <w:rPr/>
            </w:pPr>
            <w:r>
              <w:rPr>
                <w:sz w:val="21"/>
                <w:szCs w:val="21"/>
              </w:rPr>
              <w:t>CSAT, tỷ lệ lỗi, tỷ lệ phải can thiệp</w:t>
            </w:r>
          </w:p>
        </w:tc>
        <w:tc>
          <w:tcPr>
            <w:tcW w:w="3301" w:type="dxa"/>
            <w:tcBorders>
              <w:top w:val="single" w:sz="2" w:space="0" w:color="C9D6E5"/>
              <w:left w:val="single" w:sz="2" w:space="0" w:color="C9D6E5"/>
              <w:bottom w:val="single" w:sz="2" w:space="0" w:color="C9D6E5"/>
              <w:right w:val="single" w:sz="2" w:space="0" w:color="C9D6E5"/>
            </w:tcBorders>
            <w:shd w:fill="FFFFFF" w:val="clear"/>
            <w:tcMar>
              <w:top w:w="60" w:type="dxa"/>
              <w:bottom w:w="60" w:type="dxa"/>
            </w:tcMar>
            <w:vAlign w:val="center"/>
          </w:tcPr>
          <w:p>
            <w:pPr>
              <w:pStyle w:val="Normal"/>
              <w:spacing w:lineRule="auto" w:line="271"/>
              <w:rPr/>
            </w:pPr>
            <w:r>
              <w:rPr>
                <w:sz w:val="21"/>
                <w:szCs w:val="21"/>
              </w:rPr>
              <w:t>Trải nghiệm &amp; độ an toàn</w:t>
            </w:r>
          </w:p>
        </w:tc>
      </w:tr>
      <w:tr>
        <w:trPr/>
        <w:tc>
          <w:tcPr>
            <w:tcW w:w="2299" w:type="dxa"/>
            <w:tcBorders>
              <w:top w:val="single" w:sz="2" w:space="0" w:color="C9D6E5"/>
              <w:left w:val="single" w:sz="2" w:space="0" w:color="C9D6E5"/>
              <w:bottom w:val="single" w:sz="2" w:space="0" w:color="C9D6E5"/>
              <w:right w:val="single" w:sz="2" w:space="0" w:color="C9D6E5"/>
            </w:tcBorders>
            <w:shd w:fill="F4F7FB" w:val="clear"/>
            <w:tcMar>
              <w:top w:w="60" w:type="dxa"/>
              <w:bottom w:w="60" w:type="dxa"/>
            </w:tcMar>
            <w:vAlign w:val="center"/>
          </w:tcPr>
          <w:p>
            <w:pPr>
              <w:pStyle w:val="Normal"/>
              <w:spacing w:lineRule="auto" w:line="271"/>
              <w:rPr/>
            </w:pPr>
            <w:r>
              <w:rPr>
                <w:sz w:val="21"/>
                <w:szCs w:val="21"/>
              </w:rPr>
              <w:t>Mức độ tự chủ</w:t>
            </w:r>
          </w:p>
        </w:tc>
        <w:tc>
          <w:tcPr>
            <w:tcW w:w="3760" w:type="dxa"/>
            <w:tcBorders>
              <w:top w:val="single" w:sz="2" w:space="0" w:color="C9D6E5"/>
              <w:left w:val="single" w:sz="2" w:space="0" w:color="C9D6E5"/>
              <w:bottom w:val="single" w:sz="2" w:space="0" w:color="C9D6E5"/>
              <w:right w:val="single" w:sz="2" w:space="0" w:color="C9D6E5"/>
            </w:tcBorders>
            <w:shd w:fill="F4F7FB" w:val="clear"/>
            <w:tcMar>
              <w:top w:w="60" w:type="dxa"/>
              <w:bottom w:w="60" w:type="dxa"/>
            </w:tcMar>
            <w:vAlign w:val="center"/>
          </w:tcPr>
          <w:p>
            <w:pPr>
              <w:pStyle w:val="Normal"/>
              <w:spacing w:lineRule="auto" w:line="271"/>
              <w:rPr/>
            </w:pPr>
            <w:r>
              <w:rPr>
                <w:sz w:val="21"/>
                <w:szCs w:val="21"/>
              </w:rPr>
              <w:t>Tỷ lệ hoàn tất không cần con người</w:t>
            </w:r>
          </w:p>
        </w:tc>
        <w:tc>
          <w:tcPr>
            <w:tcW w:w="3301" w:type="dxa"/>
            <w:tcBorders>
              <w:top w:val="single" w:sz="2" w:space="0" w:color="C9D6E5"/>
              <w:left w:val="single" w:sz="2" w:space="0" w:color="C9D6E5"/>
              <w:bottom w:val="single" w:sz="2" w:space="0" w:color="C9D6E5"/>
              <w:right w:val="single" w:sz="2" w:space="0" w:color="C9D6E5"/>
            </w:tcBorders>
            <w:shd w:fill="F4F7FB" w:val="clear"/>
            <w:tcMar>
              <w:top w:w="60" w:type="dxa"/>
              <w:bottom w:w="60" w:type="dxa"/>
            </w:tcMar>
            <w:vAlign w:val="center"/>
          </w:tcPr>
          <w:p>
            <w:pPr>
              <w:pStyle w:val="Normal"/>
              <w:spacing w:lineRule="auto" w:line="271"/>
              <w:rPr/>
            </w:pPr>
            <w:r>
              <w:rPr>
                <w:sz w:val="21"/>
                <w:szCs w:val="21"/>
              </w:rPr>
              <w:t>Tiến độ trưởng thành của tác tử</w:t>
            </w:r>
          </w:p>
        </w:tc>
      </w:tr>
    </w:tbl>
    <w:p>
      <w:pPr>
        <w:pStyle w:val="Normal"/>
        <w:spacing w:before="0" w:after="40"/>
        <w:rPr/>
      </w:pPr>
      <w:r>
        <w:rPr/>
      </w:r>
    </w:p>
    <w:p>
      <w:pPr>
        <w:pStyle w:val="Normal"/>
        <w:spacing w:lineRule="auto" w:line="314" w:before="0" w:after="165"/>
        <w:jc w:val="both"/>
        <w:rPr/>
      </w:pPr>
      <w:r>
        <w:rPr/>
        <w:t>Nguyên tắc: chọn một “chỉ số ngôi sao Bắc Đẩu” (north</w:t>
        <w:noBreakHyphen/>
        <w:t>star) cho mỗi tác tử, đối chiếu với đường cơ sở trước khi triển khai, và theo dõi cả chỉ số phản chứng (ví dụ tỷ lệ khiếu nại) để bảo đảm tự động hóa không đánh đổi chất lượng.</w:t>
      </w:r>
    </w:p>
    <w:p>
      <w:pPr>
        <w:pStyle w:val="Heading1"/>
        <w:rPr/>
      </w:pPr>
      <w:bookmarkStart w:id="19" w:name="__RefHeading___Toc1211_217012103"/>
      <w:bookmarkEnd w:id="19"/>
      <w:r>
        <w:rPr/>
        <w:t>Phần 3 — Ứng dụng theo ngành trọng điểm</w:t>
      </w:r>
    </w:p>
    <w:p>
      <w:pPr>
        <w:pStyle w:val="Normal"/>
        <w:spacing w:lineRule="auto" w:line="319" w:before="0" w:after="185"/>
        <w:jc w:val="both"/>
        <w:rPr/>
      </w:pPr>
      <w:r>
        <w:rPr>
          <w:color w:val="16233B"/>
          <w:sz w:val="25"/>
          <w:szCs w:val="25"/>
        </w:rPr>
        <w:t>Giá trị của AI Agent thể hiện rõ nhất khi gắn với đặc thù từng ngành. Dưới đây là bức tranh thực chiến ở ba lĩnh vực có mức độ áp dụng và tác động nổi bật.</w:t>
      </w:r>
    </w:p>
    <w:p>
      <w:pPr>
        <w:pStyle w:val="Heading2"/>
        <w:rPr/>
      </w:pPr>
      <w:bookmarkStart w:id="20" w:name="__RefHeading___Toc1213_217012103"/>
      <w:bookmarkEnd w:id="20"/>
      <w:r>
        <w:rPr/>
        <w:t>3.1. Tài chính – Ngân hàng</w:t>
      </w:r>
    </w:p>
    <w:p>
      <w:pPr>
        <w:pStyle w:val="Normal"/>
        <w:spacing w:lineRule="auto" w:line="314" w:before="0" w:after="165"/>
        <w:jc w:val="both"/>
        <w:rPr/>
      </w:pPr>
      <w:r>
        <w:rPr/>
        <w:t>Ngành tài chính – ngân hàng là một trong những lĩnh vực tiên phong nhờ khối lượng giao dịch lớn, quy trình giàu dữ liệu và áp lực tuân thủ cao. Theo Capgemini, các quy trình được ưu tiên triển khai AI Agent gồm chăm sóc khách hàng, phát hiện gian lận, xử lý khoản vay và định danh khách hàng.</w:t>
      </w:r>
    </w:p>
    <w:p>
      <w:pPr>
        <w:pStyle w:val="Normal"/>
        <w:spacing w:before="80" w:after="40"/>
        <w:jc w:val="center"/>
        <w:rPr/>
      </w:pPr>
      <w:r>
        <w:rPr/>
        <w:drawing>
          <wp:inline distT="0" distB="0" distL="0" distR="0">
            <wp:extent cx="5334000" cy="2409825"/>
            <wp:effectExtent l="0" t="0" r="0" b="0"/>
            <wp:docPr id="9" name="banking_usecases.png" descr="banking_usecases.png&#10;banking_usecas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banking_usecases.png" descr="banking_usecases.png&#10;banking_usecases.png"/>
                    <pic:cNvPicPr>
                      <a:picLocks noChangeAspect="1" noChangeArrowheads="1"/>
                    </pic:cNvPicPr>
                  </pic:nvPicPr>
                  <pic:blipFill>
                    <a:blip r:embed="rId16"/>
                    <a:stretch>
                      <a:fillRect/>
                    </a:stretch>
                  </pic:blipFill>
                  <pic:spPr bwMode="auto">
                    <a:xfrm>
                      <a:off x="0" y="0"/>
                      <a:ext cx="5334000" cy="2409825"/>
                    </a:xfrm>
                    <a:prstGeom prst="rect">
                      <a:avLst/>
                    </a:prstGeom>
                    <a:noFill/>
                  </pic:spPr>
                </pic:pic>
              </a:graphicData>
            </a:graphic>
          </wp:inline>
        </w:drawing>
      </w:r>
    </w:p>
    <w:p>
      <w:pPr>
        <w:pStyle w:val="Normal"/>
        <w:spacing w:before="0" w:after="200"/>
        <w:jc w:val="center"/>
        <w:rPr/>
      </w:pPr>
      <w:r>
        <w:rPr>
          <w:b/>
          <w:bCs/>
          <w:i/>
          <w:iCs/>
          <w:color w:val="5B6675"/>
          <w:sz w:val="18"/>
          <w:szCs w:val="18"/>
        </w:rPr>
        <w:t xml:space="preserve">Hình 8. </w:t>
      </w:r>
      <w:r>
        <w:rPr>
          <w:i/>
          <w:iCs/>
          <w:color w:val="5B6675"/>
          <w:sz w:val="18"/>
          <w:szCs w:val="18"/>
        </w:rPr>
        <w:t>Tỷ lệ ngân hàng ưu tiên triển khai AI Agent theo quy trình (Capgemini, 2026).</w:t>
      </w:r>
    </w:p>
    <w:p>
      <w:pPr>
        <w:pStyle w:val="Normal"/>
        <w:spacing w:lineRule="auto" w:line="314" w:before="0" w:after="165"/>
        <w:jc w:val="both"/>
        <w:rPr/>
      </w:pPr>
      <w:r>
        <w:rPr>
          <w:b/>
          <w:bCs/>
        </w:rPr>
        <w:t>Phát hiện gian lận — trường hợp HSBC.</w:t>
      </w:r>
      <w:r>
        <w:rPr/>
        <w:t xml:space="preserve"> Hợp tác với Google, HSBC xây dựng hệ thống đánh giá rủi ro động phân tích </w:t>
      </w:r>
      <w:r>
        <w:rPr>
          <w:b/>
          <w:bCs/>
        </w:rPr>
        <w:t>hơn 1,35 tỷ giao dịch mỗi tháng</w:t>
      </w:r>
      <w:r>
        <w:rPr/>
        <w:t xml:space="preserve"> trên 40 triệu tài khoản, giúp phát hiện nhiều hơn </w:t>
      </w:r>
      <w:r>
        <w:rPr>
          <w:b/>
          <w:bCs/>
        </w:rPr>
        <w:t>2–4 lần</w:t>
      </w:r>
      <w:r>
        <w:rPr/>
        <w:t xml:space="preserve"> số vụ phạm tội tài chính so với phương pháp cũ, đồng thời </w:t>
      </w:r>
      <w:r>
        <w:rPr>
          <w:b/>
          <w:bCs/>
        </w:rPr>
        <w:t>giảm 60% số cảnh báo giả</w:t>
      </w:r>
      <w:r>
        <w:rPr/>
        <w:t xml:space="preserve"> — vừa tăng hiệu quả chống gian lận, vừa giảm phiền nhiễu cho khách hàng.</w:t>
      </w:r>
    </w:p>
    <w:p>
      <w:pPr>
        <w:pStyle w:val="Normal"/>
        <w:spacing w:lineRule="auto" w:line="314" w:before="0" w:after="165"/>
        <w:jc w:val="both"/>
        <w:rPr/>
      </w:pPr>
      <w:r>
        <w:rPr>
          <w:b/>
          <w:bCs/>
        </w:rPr>
        <w:t>Tác động kinh tế.</w:t>
      </w:r>
      <w:r>
        <w:rPr/>
        <w:t xml:space="preserve"> Theo các ước tính ngành, AI Agent có thể tạo ra tới </w:t>
      </w:r>
      <w:r>
        <w:rPr>
          <w:b/>
          <w:bCs/>
        </w:rPr>
        <w:t>450 tỷ USD giá trị cho lĩnh vực ngân hàng đến năm 2028</w:t>
      </w:r>
      <w:r>
        <w:rPr/>
        <w:t>, trong khi McKinsey ước tính mức cắt giảm chi phí 15–20% ở nhiều chức năng nhờ tự động hóa tác tử trong dịch vụ khách hàng, vận hành tín dụng và tuân thủ.</w:t>
      </w:r>
    </w:p>
    <w:p>
      <w:pPr>
        <w:pStyle w:val="Normal"/>
        <w:spacing w:lineRule="auto" w:line="314" w:before="0" w:after="165"/>
        <w:jc w:val="both"/>
        <w:rPr/>
      </w:pPr>
      <w:r>
        <w:rPr/>
        <w:t xml:space="preserve">Các ứng dụng điển hình khác gồm: trợ lý tài chính cá nhân hóa, tự động hóa thẩm định và phê duyệt khoản vay, giám sát tuân thủ và phòng chống rửa tiền (AML), cùng xử lý yêu cầu bồi thường trong bảo hiểm. Đáng chú ý, nhiều ngân hàng và công ty bảo hiểm đã lên kế hoạch tạo các vai trò mới chuyên </w:t>
      </w:r>
      <w:r>
        <w:rPr>
          <w:b/>
          <w:bCs/>
        </w:rPr>
        <w:t>giám sát hoạt động của AI Agent</w:t>
      </w:r>
      <w:r>
        <w:rPr/>
        <w:t>.</w:t>
      </w:r>
    </w:p>
    <w:p>
      <w:pPr>
        <w:pStyle w:val="Heading3"/>
        <w:rPr/>
      </w:pPr>
      <w:bookmarkStart w:id="21" w:name="__RefHeading___Toc1215_217012103"/>
      <w:bookmarkEnd w:id="21"/>
      <w:r>
        <w:rPr/>
        <w:t>Các use case tiêu biểu trong ngân hàng</w:t>
      </w:r>
    </w:p>
    <w:tbl>
      <w:tblPr>
        <w:tblW w:w="9360" w:type="dxa"/>
        <w:jc w:val="left"/>
        <w:tblInd w:w="111" w:type="dxa"/>
        <w:tblLayout w:type="fixed"/>
        <w:tblCellMar>
          <w:top w:w="70" w:type="dxa"/>
          <w:left w:w="110" w:type="dxa"/>
          <w:bottom w:w="70" w:type="dxa"/>
          <w:right w:w="110" w:type="dxa"/>
        </w:tblCellMar>
      </w:tblPr>
      <w:tblGrid>
        <w:gridCol w:w="2299"/>
        <w:gridCol w:w="4061"/>
        <w:gridCol w:w="3000"/>
      </w:tblGrid>
      <w:tr>
        <w:trPr>
          <w:tblHeader w:val="true"/>
        </w:trPr>
        <w:tc>
          <w:tcPr>
            <w:tcW w:w="2299" w:type="dxa"/>
            <w:tcBorders>
              <w:top w:val="single" w:sz="2" w:space="0" w:color="C9D6E5"/>
              <w:left w:val="single" w:sz="2" w:space="0" w:color="C9D6E5"/>
              <w:bottom w:val="single" w:sz="2" w:space="0" w:color="C9D6E5"/>
              <w:right w:val="single" w:sz="2" w:space="0" w:color="C9D6E5"/>
            </w:tcBorders>
            <w:shd w:fill="0F2440" w:val="clear"/>
            <w:vAlign w:val="center"/>
          </w:tcPr>
          <w:p>
            <w:pPr>
              <w:pStyle w:val="Normal"/>
              <w:rPr/>
            </w:pPr>
            <w:r>
              <w:rPr>
                <w:b/>
                <w:bCs/>
                <w:color w:val="FFFFFF"/>
                <w:sz w:val="21"/>
                <w:szCs w:val="21"/>
              </w:rPr>
              <w:t>Use case</w:t>
            </w:r>
          </w:p>
        </w:tc>
        <w:tc>
          <w:tcPr>
            <w:tcW w:w="4061" w:type="dxa"/>
            <w:tcBorders>
              <w:top w:val="single" w:sz="2" w:space="0" w:color="C9D6E5"/>
              <w:left w:val="single" w:sz="2" w:space="0" w:color="C9D6E5"/>
              <w:bottom w:val="single" w:sz="2" w:space="0" w:color="C9D6E5"/>
              <w:right w:val="single" w:sz="2" w:space="0" w:color="C9D6E5"/>
            </w:tcBorders>
            <w:shd w:fill="0F2440" w:val="clear"/>
            <w:vAlign w:val="center"/>
          </w:tcPr>
          <w:p>
            <w:pPr>
              <w:pStyle w:val="Normal"/>
              <w:rPr/>
            </w:pPr>
            <w:r>
              <w:rPr>
                <w:b/>
                <w:bCs/>
                <w:color w:val="FFFFFF"/>
                <w:sz w:val="21"/>
                <w:szCs w:val="21"/>
              </w:rPr>
              <w:t>Mô tả ngắn</w:t>
            </w:r>
          </w:p>
        </w:tc>
        <w:tc>
          <w:tcPr>
            <w:tcW w:w="3000" w:type="dxa"/>
            <w:tcBorders>
              <w:top w:val="single" w:sz="2" w:space="0" w:color="C9D6E5"/>
              <w:left w:val="single" w:sz="2" w:space="0" w:color="C9D6E5"/>
              <w:bottom w:val="single" w:sz="2" w:space="0" w:color="C9D6E5"/>
              <w:right w:val="single" w:sz="2" w:space="0" w:color="C9D6E5"/>
            </w:tcBorders>
            <w:shd w:fill="0F2440" w:val="clear"/>
            <w:vAlign w:val="center"/>
          </w:tcPr>
          <w:p>
            <w:pPr>
              <w:pStyle w:val="Normal"/>
              <w:rPr/>
            </w:pPr>
            <w:r>
              <w:rPr>
                <w:b/>
                <w:bCs/>
                <w:color w:val="FFFFFF"/>
                <w:sz w:val="21"/>
                <w:szCs w:val="21"/>
              </w:rPr>
              <w:t>Giá trị mang lại</w:t>
            </w:r>
          </w:p>
        </w:tc>
      </w:tr>
      <w:tr>
        <w:trPr/>
        <w:tc>
          <w:tcPr>
            <w:tcW w:w="2299" w:type="dxa"/>
            <w:tcBorders>
              <w:top w:val="single" w:sz="2" w:space="0" w:color="C9D6E5"/>
              <w:left w:val="single" w:sz="2" w:space="0" w:color="C9D6E5"/>
              <w:bottom w:val="single" w:sz="2" w:space="0" w:color="C9D6E5"/>
              <w:right w:val="single" w:sz="2" w:space="0" w:color="C9D6E5"/>
            </w:tcBorders>
            <w:shd w:fill="FFFFFF" w:val="clear"/>
            <w:tcMar>
              <w:top w:w="60" w:type="dxa"/>
              <w:bottom w:w="60" w:type="dxa"/>
            </w:tcMar>
            <w:vAlign w:val="center"/>
          </w:tcPr>
          <w:p>
            <w:pPr>
              <w:pStyle w:val="Normal"/>
              <w:spacing w:lineRule="auto" w:line="271"/>
              <w:rPr/>
            </w:pPr>
            <w:r>
              <w:rPr>
                <w:sz w:val="21"/>
                <w:szCs w:val="21"/>
              </w:rPr>
              <w:t>Phát hiện gian lận</w:t>
            </w:r>
          </w:p>
        </w:tc>
        <w:tc>
          <w:tcPr>
            <w:tcW w:w="4061" w:type="dxa"/>
            <w:tcBorders>
              <w:top w:val="single" w:sz="2" w:space="0" w:color="C9D6E5"/>
              <w:left w:val="single" w:sz="2" w:space="0" w:color="C9D6E5"/>
              <w:bottom w:val="single" w:sz="2" w:space="0" w:color="C9D6E5"/>
              <w:right w:val="single" w:sz="2" w:space="0" w:color="C9D6E5"/>
            </w:tcBorders>
            <w:shd w:fill="FFFFFF" w:val="clear"/>
            <w:tcMar>
              <w:top w:w="60" w:type="dxa"/>
              <w:bottom w:w="60" w:type="dxa"/>
            </w:tcMar>
            <w:vAlign w:val="center"/>
          </w:tcPr>
          <w:p>
            <w:pPr>
              <w:pStyle w:val="Normal"/>
              <w:spacing w:lineRule="auto" w:line="271"/>
              <w:rPr/>
            </w:pPr>
            <w:r>
              <w:rPr>
                <w:sz w:val="21"/>
                <w:szCs w:val="21"/>
              </w:rPr>
              <w:t>Giám sát giao dịch &amp; chấm điểm rủi ro thời gian thực</w:t>
            </w:r>
          </w:p>
        </w:tc>
        <w:tc>
          <w:tcPr>
            <w:tcW w:w="3000" w:type="dxa"/>
            <w:tcBorders>
              <w:top w:val="single" w:sz="2" w:space="0" w:color="C9D6E5"/>
              <w:left w:val="single" w:sz="2" w:space="0" w:color="C9D6E5"/>
              <w:bottom w:val="single" w:sz="2" w:space="0" w:color="C9D6E5"/>
              <w:right w:val="single" w:sz="2" w:space="0" w:color="C9D6E5"/>
            </w:tcBorders>
            <w:shd w:fill="FFFFFF" w:val="clear"/>
            <w:tcMar>
              <w:top w:w="60" w:type="dxa"/>
              <w:bottom w:w="60" w:type="dxa"/>
            </w:tcMar>
            <w:vAlign w:val="center"/>
          </w:tcPr>
          <w:p>
            <w:pPr>
              <w:pStyle w:val="Normal"/>
              <w:spacing w:lineRule="auto" w:line="271"/>
              <w:rPr/>
            </w:pPr>
            <w:r>
              <w:rPr>
                <w:sz w:val="21"/>
                <w:szCs w:val="21"/>
              </w:rPr>
              <w:t>Giảm 60% cảnh báo giả (HSBC)</w:t>
            </w:r>
          </w:p>
        </w:tc>
      </w:tr>
      <w:tr>
        <w:trPr/>
        <w:tc>
          <w:tcPr>
            <w:tcW w:w="2299" w:type="dxa"/>
            <w:tcBorders>
              <w:top w:val="single" w:sz="2" w:space="0" w:color="C9D6E5"/>
              <w:left w:val="single" w:sz="2" w:space="0" w:color="C9D6E5"/>
              <w:bottom w:val="single" w:sz="2" w:space="0" w:color="C9D6E5"/>
              <w:right w:val="single" w:sz="2" w:space="0" w:color="C9D6E5"/>
            </w:tcBorders>
            <w:shd w:fill="F4F7FB" w:val="clear"/>
            <w:tcMar>
              <w:top w:w="60" w:type="dxa"/>
              <w:bottom w:w="60" w:type="dxa"/>
            </w:tcMar>
            <w:vAlign w:val="center"/>
          </w:tcPr>
          <w:p>
            <w:pPr>
              <w:pStyle w:val="Normal"/>
              <w:spacing w:lineRule="auto" w:line="271"/>
              <w:rPr/>
            </w:pPr>
            <w:r>
              <w:rPr>
                <w:sz w:val="21"/>
                <w:szCs w:val="21"/>
              </w:rPr>
              <w:t>Trợ lý chăm sóc khách hàng</w:t>
            </w:r>
          </w:p>
        </w:tc>
        <w:tc>
          <w:tcPr>
            <w:tcW w:w="4061" w:type="dxa"/>
            <w:tcBorders>
              <w:top w:val="single" w:sz="2" w:space="0" w:color="C9D6E5"/>
              <w:left w:val="single" w:sz="2" w:space="0" w:color="C9D6E5"/>
              <w:bottom w:val="single" w:sz="2" w:space="0" w:color="C9D6E5"/>
              <w:right w:val="single" w:sz="2" w:space="0" w:color="C9D6E5"/>
            </w:tcBorders>
            <w:shd w:fill="F4F7FB" w:val="clear"/>
            <w:tcMar>
              <w:top w:w="60" w:type="dxa"/>
              <w:bottom w:w="60" w:type="dxa"/>
            </w:tcMar>
            <w:vAlign w:val="center"/>
          </w:tcPr>
          <w:p>
            <w:pPr>
              <w:pStyle w:val="Normal"/>
              <w:spacing w:lineRule="auto" w:line="271"/>
              <w:rPr/>
            </w:pPr>
            <w:r>
              <w:rPr>
                <w:sz w:val="21"/>
                <w:szCs w:val="21"/>
              </w:rPr>
              <w:t>Tự giải quyết yêu cầu, tư vấn sản phẩm 24/7</w:t>
            </w:r>
          </w:p>
        </w:tc>
        <w:tc>
          <w:tcPr>
            <w:tcW w:w="3000" w:type="dxa"/>
            <w:tcBorders>
              <w:top w:val="single" w:sz="2" w:space="0" w:color="C9D6E5"/>
              <w:left w:val="single" w:sz="2" w:space="0" w:color="C9D6E5"/>
              <w:bottom w:val="single" w:sz="2" w:space="0" w:color="C9D6E5"/>
              <w:right w:val="single" w:sz="2" w:space="0" w:color="C9D6E5"/>
            </w:tcBorders>
            <w:shd w:fill="F4F7FB" w:val="clear"/>
            <w:tcMar>
              <w:top w:w="60" w:type="dxa"/>
              <w:bottom w:w="60" w:type="dxa"/>
            </w:tcMar>
            <w:vAlign w:val="center"/>
          </w:tcPr>
          <w:p>
            <w:pPr>
              <w:pStyle w:val="Normal"/>
              <w:spacing w:lineRule="auto" w:line="271"/>
              <w:rPr/>
            </w:pPr>
            <w:r>
              <w:rPr>
                <w:sz w:val="21"/>
                <w:szCs w:val="21"/>
              </w:rPr>
              <w:t>Tỷ lệ tự giải quyết 60–80%</w:t>
            </w:r>
          </w:p>
        </w:tc>
      </w:tr>
      <w:tr>
        <w:trPr/>
        <w:tc>
          <w:tcPr>
            <w:tcW w:w="2299" w:type="dxa"/>
            <w:tcBorders>
              <w:top w:val="single" w:sz="2" w:space="0" w:color="C9D6E5"/>
              <w:left w:val="single" w:sz="2" w:space="0" w:color="C9D6E5"/>
              <w:bottom w:val="single" w:sz="2" w:space="0" w:color="C9D6E5"/>
              <w:right w:val="single" w:sz="2" w:space="0" w:color="C9D6E5"/>
            </w:tcBorders>
            <w:shd w:fill="FFFFFF" w:val="clear"/>
            <w:tcMar>
              <w:top w:w="60" w:type="dxa"/>
              <w:bottom w:w="60" w:type="dxa"/>
            </w:tcMar>
            <w:vAlign w:val="center"/>
          </w:tcPr>
          <w:p>
            <w:pPr>
              <w:pStyle w:val="Normal"/>
              <w:spacing w:lineRule="auto" w:line="271"/>
              <w:rPr/>
            </w:pPr>
            <w:r>
              <w:rPr>
                <w:sz w:val="21"/>
                <w:szCs w:val="21"/>
              </w:rPr>
              <w:t>Thẩm định khoản vay</w:t>
            </w:r>
          </w:p>
        </w:tc>
        <w:tc>
          <w:tcPr>
            <w:tcW w:w="4061" w:type="dxa"/>
            <w:tcBorders>
              <w:top w:val="single" w:sz="2" w:space="0" w:color="C9D6E5"/>
              <w:left w:val="single" w:sz="2" w:space="0" w:color="C9D6E5"/>
              <w:bottom w:val="single" w:sz="2" w:space="0" w:color="C9D6E5"/>
              <w:right w:val="single" w:sz="2" w:space="0" w:color="C9D6E5"/>
            </w:tcBorders>
            <w:shd w:fill="FFFFFF" w:val="clear"/>
            <w:tcMar>
              <w:top w:w="60" w:type="dxa"/>
              <w:bottom w:w="60" w:type="dxa"/>
            </w:tcMar>
            <w:vAlign w:val="center"/>
          </w:tcPr>
          <w:p>
            <w:pPr>
              <w:pStyle w:val="Normal"/>
              <w:spacing w:lineRule="auto" w:line="271"/>
              <w:rPr/>
            </w:pPr>
            <w:r>
              <w:rPr>
                <w:sz w:val="21"/>
                <w:szCs w:val="21"/>
              </w:rPr>
              <w:t>Thu thập hồ sơ, đánh giá tín dụng sơ bộ</w:t>
            </w:r>
          </w:p>
        </w:tc>
        <w:tc>
          <w:tcPr>
            <w:tcW w:w="3000" w:type="dxa"/>
            <w:tcBorders>
              <w:top w:val="single" w:sz="2" w:space="0" w:color="C9D6E5"/>
              <w:left w:val="single" w:sz="2" w:space="0" w:color="C9D6E5"/>
              <w:bottom w:val="single" w:sz="2" w:space="0" w:color="C9D6E5"/>
              <w:right w:val="single" w:sz="2" w:space="0" w:color="C9D6E5"/>
            </w:tcBorders>
            <w:shd w:fill="FFFFFF" w:val="clear"/>
            <w:tcMar>
              <w:top w:w="60" w:type="dxa"/>
              <w:bottom w:w="60" w:type="dxa"/>
            </w:tcMar>
            <w:vAlign w:val="center"/>
          </w:tcPr>
          <w:p>
            <w:pPr>
              <w:pStyle w:val="Normal"/>
              <w:spacing w:lineRule="auto" w:line="271"/>
              <w:rPr/>
            </w:pPr>
            <w:r>
              <w:rPr>
                <w:sz w:val="21"/>
                <w:szCs w:val="21"/>
              </w:rPr>
              <w:t>Rút ngắn thời gian phê duyệt</w:t>
            </w:r>
          </w:p>
        </w:tc>
      </w:tr>
      <w:tr>
        <w:trPr/>
        <w:tc>
          <w:tcPr>
            <w:tcW w:w="2299" w:type="dxa"/>
            <w:tcBorders>
              <w:top w:val="single" w:sz="2" w:space="0" w:color="C9D6E5"/>
              <w:left w:val="single" w:sz="2" w:space="0" w:color="C9D6E5"/>
              <w:bottom w:val="single" w:sz="2" w:space="0" w:color="C9D6E5"/>
              <w:right w:val="single" w:sz="2" w:space="0" w:color="C9D6E5"/>
            </w:tcBorders>
            <w:shd w:fill="F4F7FB" w:val="clear"/>
            <w:tcMar>
              <w:top w:w="60" w:type="dxa"/>
              <w:bottom w:w="60" w:type="dxa"/>
            </w:tcMar>
            <w:vAlign w:val="center"/>
          </w:tcPr>
          <w:p>
            <w:pPr>
              <w:pStyle w:val="Normal"/>
              <w:spacing w:lineRule="auto" w:line="271"/>
              <w:rPr/>
            </w:pPr>
            <w:r>
              <w:rPr>
                <w:sz w:val="21"/>
                <w:szCs w:val="21"/>
              </w:rPr>
              <w:t>Tuân thủ &amp; AML</w:t>
            </w:r>
          </w:p>
        </w:tc>
        <w:tc>
          <w:tcPr>
            <w:tcW w:w="4061" w:type="dxa"/>
            <w:tcBorders>
              <w:top w:val="single" w:sz="2" w:space="0" w:color="C9D6E5"/>
              <w:left w:val="single" w:sz="2" w:space="0" w:color="C9D6E5"/>
              <w:bottom w:val="single" w:sz="2" w:space="0" w:color="C9D6E5"/>
              <w:right w:val="single" w:sz="2" w:space="0" w:color="C9D6E5"/>
            </w:tcBorders>
            <w:shd w:fill="F4F7FB" w:val="clear"/>
            <w:tcMar>
              <w:top w:w="60" w:type="dxa"/>
              <w:bottom w:w="60" w:type="dxa"/>
            </w:tcMar>
            <w:vAlign w:val="center"/>
          </w:tcPr>
          <w:p>
            <w:pPr>
              <w:pStyle w:val="Normal"/>
              <w:spacing w:lineRule="auto" w:line="271"/>
              <w:rPr/>
            </w:pPr>
            <w:r>
              <w:rPr>
                <w:sz w:val="21"/>
                <w:szCs w:val="21"/>
              </w:rPr>
              <w:t>Sàng lọc, lập báo cáo giao dịch đáng ngờ</w:t>
            </w:r>
          </w:p>
        </w:tc>
        <w:tc>
          <w:tcPr>
            <w:tcW w:w="3000" w:type="dxa"/>
            <w:tcBorders>
              <w:top w:val="single" w:sz="2" w:space="0" w:color="C9D6E5"/>
              <w:left w:val="single" w:sz="2" w:space="0" w:color="C9D6E5"/>
              <w:bottom w:val="single" w:sz="2" w:space="0" w:color="C9D6E5"/>
              <w:right w:val="single" w:sz="2" w:space="0" w:color="C9D6E5"/>
            </w:tcBorders>
            <w:shd w:fill="F4F7FB" w:val="clear"/>
            <w:tcMar>
              <w:top w:w="60" w:type="dxa"/>
              <w:bottom w:w="60" w:type="dxa"/>
            </w:tcMar>
            <w:vAlign w:val="center"/>
          </w:tcPr>
          <w:p>
            <w:pPr>
              <w:pStyle w:val="Normal"/>
              <w:spacing w:lineRule="auto" w:line="271"/>
              <w:rPr/>
            </w:pPr>
            <w:r>
              <w:rPr>
                <w:sz w:val="21"/>
                <w:szCs w:val="21"/>
              </w:rPr>
              <w:t>Giảm tải vận hành tuân thủ</w:t>
            </w:r>
          </w:p>
        </w:tc>
      </w:tr>
    </w:tbl>
    <w:p>
      <w:pPr>
        <w:pStyle w:val="Normal"/>
        <w:spacing w:before="0" w:after="40"/>
        <w:rPr/>
      </w:pPr>
      <w:r>
        <w:rPr/>
      </w:r>
    </w:p>
    <w:tbl>
      <w:tblPr>
        <w:tblW w:w="9360" w:type="dxa"/>
        <w:jc w:val="left"/>
        <w:tblInd w:w="255" w:type="dxa"/>
        <w:tblLayout w:type="fixed"/>
        <w:tblCellMar>
          <w:top w:w="140" w:type="dxa"/>
          <w:left w:w="220" w:type="dxa"/>
          <w:bottom w:w="140" w:type="dxa"/>
          <w:right w:w="200" w:type="dxa"/>
        </w:tblCellMar>
      </w:tblPr>
      <w:tblGrid>
        <w:gridCol w:w="9360"/>
      </w:tblGrid>
      <w:tr>
        <w:trPr/>
        <w:tc>
          <w:tcPr>
            <w:tcW w:w="9360" w:type="dxa"/>
            <w:tcBorders>
              <w:top w:val="single" w:sz="2" w:space="0" w:color="E2F4F3"/>
              <w:left w:val="single" w:sz="28" w:space="0" w:color="11A4A0"/>
              <w:bottom w:val="single" w:sz="2" w:space="0" w:color="E2F4F3"/>
              <w:right w:val="single" w:sz="2" w:space="0" w:color="E2F4F3"/>
            </w:tcBorders>
            <w:shd w:fill="E2F4F3" w:val="clear"/>
          </w:tcPr>
          <w:p>
            <w:pPr>
              <w:pStyle w:val="Normal"/>
              <w:spacing w:before="0" w:after="60"/>
              <w:rPr/>
            </w:pPr>
            <w:r>
              <w:rPr>
                <w:b/>
                <w:bCs/>
                <w:color w:val="11A4A0"/>
                <w:sz w:val="23"/>
                <w:szCs w:val="23"/>
              </w:rPr>
              <w:t>Hàm ý cho lãnh đạo ngành tài chính</w:t>
            </w:r>
          </w:p>
          <w:p>
            <w:pPr>
              <w:pStyle w:val="Normal"/>
              <w:spacing w:lineRule="auto" w:line="281" w:before="0" w:after="0"/>
              <w:rPr/>
            </w:pPr>
            <w:r>
              <w:rPr>
                <w:sz w:val="22"/>
                <w:szCs w:val="22"/>
              </w:rPr>
              <w:t xml:space="preserve">Ưu tiên các use case “rủi ro thấp – giá trị cao” như phát hiện gian lận và chăm sóc khách hàng để tạo niềm tin và ROI nhanh. Song song, đầu tư sớm vào </w:t>
            </w:r>
            <w:r>
              <w:rPr>
                <w:b/>
                <w:bCs/>
                <w:sz w:val="22"/>
                <w:szCs w:val="22"/>
              </w:rPr>
              <w:t>quản trị mô hình, khả năng giải trình và dấu vết kiểm toán</w:t>
            </w:r>
            <w:r>
              <w:rPr>
                <w:sz w:val="22"/>
                <w:szCs w:val="22"/>
              </w:rPr>
              <w:t xml:space="preserve"> — vì đây là điều kiện bắt buộc khi cơ quan quản lý giám sát các quyết định do tác tử đưa ra.</w:t>
            </w:r>
          </w:p>
        </w:tc>
      </w:tr>
    </w:tbl>
    <w:p>
      <w:pPr>
        <w:pStyle w:val="Heading2"/>
        <w:rPr/>
      </w:pPr>
      <w:bookmarkStart w:id="22" w:name="__RefHeading___Toc1217_217012103"/>
      <w:bookmarkEnd w:id="22"/>
      <w:r>
        <w:rPr/>
        <w:t>3.2. Bán lẻ – Thương mại điện tử</w:t>
      </w:r>
    </w:p>
    <w:p>
      <w:pPr>
        <w:pStyle w:val="Normal"/>
        <w:spacing w:lineRule="auto" w:line="314" w:before="0" w:after="165"/>
        <w:jc w:val="both"/>
        <w:rPr/>
      </w:pPr>
      <w:r>
        <w:rPr/>
        <w:t>Trong bán lẻ và TMĐT, AI Agent tác động mạnh nhất ở hai mặt trận: trải nghiệm/chăm sóc khách hàng và tối ưu vận hành thương mại. Quy mô thị trường tự động hóa bán lẻ bằng agentic AI ước đạt ~40,5 tỷ USD năm 2025, và 76% nhà bán lẻ cho biết đang tăng đầu tư vào AI Agent.</w:t>
      </w:r>
    </w:p>
    <w:p>
      <w:pPr>
        <w:pStyle w:val="Normal"/>
        <w:spacing w:lineRule="auto" w:line="314" w:before="0" w:after="165"/>
        <w:jc w:val="both"/>
        <w:rPr/>
      </w:pPr>
      <w:r>
        <w:rPr>
          <w:b/>
          <w:bCs/>
        </w:rPr>
        <w:t>Trường hợp Klarna.</w:t>
      </w:r>
      <w:r>
        <w:rPr/>
        <w:t xml:space="preserve"> Tác tử AI của Klarna đảm nhận khối lượng công việc tương đương </w:t>
      </w:r>
      <w:r>
        <w:rPr>
          <w:b/>
          <w:bCs/>
        </w:rPr>
        <w:t>853 nhân viên toàn thời gian</w:t>
      </w:r>
      <w:r>
        <w:rPr/>
        <w:t xml:space="preserve">, giúp tiết kiệm khoảng </w:t>
      </w:r>
      <w:r>
        <w:rPr>
          <w:b/>
          <w:bCs/>
        </w:rPr>
        <w:t>60 triệu USD</w:t>
      </w:r>
      <w:r>
        <w:rPr/>
        <w:t xml:space="preserve"> (tính đến Q3/2025). Tác tử xử lý các truy vấn thường gặp trên 23 thị trường bằng hơn 35 ngôn ngữ; </w:t>
      </w:r>
      <w:r>
        <w:rPr>
          <w:b/>
          <w:bCs/>
        </w:rPr>
        <w:t>thời gian xử lý giảm từ 11 phút xuống dưới 2 phút</w:t>
      </w:r>
      <w:r>
        <w:rPr/>
        <w:t>, và tỷ lệ khách phải liên hệ lại giảm 25%.</w:t>
      </w:r>
    </w:p>
    <w:p>
      <w:pPr>
        <w:pStyle w:val="Normal"/>
        <w:spacing w:lineRule="auto" w:line="314" w:before="0" w:after="165"/>
        <w:jc w:val="both"/>
        <w:rPr/>
      </w:pPr>
      <w:r>
        <w:rPr>
          <w:b/>
          <w:bCs/>
        </w:rPr>
        <w:t>Trường hợp triển khai trên Agentforce (bán lẻ thời trang).</w:t>
      </w:r>
      <w:r>
        <w:rPr/>
        <w:t xml:space="preserve"> Một nhà bán lẻ thời trang triển khai tác tử tự chủ đã giảm thời gian xử lý trung bình từ 30 phút xuống </w:t>
      </w:r>
      <w:r>
        <w:rPr>
          <w:b/>
          <w:bCs/>
        </w:rPr>
        <w:t>dưới 2 phút cho 80% yêu cầu</w:t>
      </w:r>
      <w:r>
        <w:rPr/>
        <w:t xml:space="preserve">, cắt giảm </w:t>
      </w:r>
      <w:r>
        <w:rPr>
          <w:b/>
          <w:bCs/>
        </w:rPr>
        <w:t>35% chi phí hỗ trợ</w:t>
      </w:r>
      <w:r>
        <w:rPr/>
        <w:t xml:space="preserve">, tăng </w:t>
      </w:r>
      <w:r>
        <w:rPr>
          <w:b/>
          <w:bCs/>
        </w:rPr>
        <w:t>25% điểm hài lòng (CSAT)</w:t>
      </w:r>
      <w:r>
        <w:rPr/>
        <w:t xml:space="preserve"> và xử lý được mức tăng đột biến 50% lượng yêu cầu mùa cao điểm mà không cần tuyển thêm nhân sự.</w:t>
      </w:r>
    </w:p>
    <w:p>
      <w:pPr>
        <w:pStyle w:val="Normal"/>
        <w:spacing w:lineRule="auto" w:line="314" w:before="0" w:after="165"/>
        <w:jc w:val="both"/>
        <w:rPr/>
      </w:pPr>
      <w:r>
        <w:rPr/>
        <w:t>Ngoài chăm sóc khách hàng, AI Agent còn được ứng dụng để: cá nhân hóa gợi ý sản phẩm và nội dung marketing đa kênh; tối ưu giá và khuyến mãi theo thời gian thực; quản lý nội dung danh mục; và hỗ trợ “mua sắm có hướng dẫn”. Các thương hiệu như Sephora và Zalando đã triển khai trợ lý agentic hoạt động 24/7. Trên bình diện toàn ngành, một số ước tính cho thấy doanh nghiệp đã dùng AI để xử lý tới 95% lượt tương tác dịch vụ khách hàng.</w:t>
      </w:r>
    </w:p>
    <w:p>
      <w:pPr>
        <w:pStyle w:val="Heading3"/>
        <w:rPr/>
      </w:pPr>
      <w:bookmarkStart w:id="23" w:name="__RefHeading___Toc1219_217012103"/>
      <w:bookmarkEnd w:id="23"/>
      <w:r>
        <w:rPr/>
        <w:t>Các use case tiêu biểu trong bán lẻ – TMĐT</w:t>
      </w:r>
    </w:p>
    <w:tbl>
      <w:tblPr>
        <w:tblW w:w="9360" w:type="dxa"/>
        <w:jc w:val="left"/>
        <w:tblInd w:w="111" w:type="dxa"/>
        <w:tblLayout w:type="fixed"/>
        <w:tblCellMar>
          <w:top w:w="70" w:type="dxa"/>
          <w:left w:w="110" w:type="dxa"/>
          <w:bottom w:w="70" w:type="dxa"/>
          <w:right w:w="110" w:type="dxa"/>
        </w:tblCellMar>
      </w:tblPr>
      <w:tblGrid>
        <w:gridCol w:w="2299"/>
        <w:gridCol w:w="4061"/>
        <w:gridCol w:w="3000"/>
      </w:tblGrid>
      <w:tr>
        <w:trPr>
          <w:tblHeader w:val="true"/>
        </w:trPr>
        <w:tc>
          <w:tcPr>
            <w:tcW w:w="2299" w:type="dxa"/>
            <w:tcBorders>
              <w:top w:val="single" w:sz="2" w:space="0" w:color="C9D6E5"/>
              <w:left w:val="single" w:sz="2" w:space="0" w:color="C9D6E5"/>
              <w:bottom w:val="single" w:sz="2" w:space="0" w:color="C9D6E5"/>
              <w:right w:val="single" w:sz="2" w:space="0" w:color="C9D6E5"/>
            </w:tcBorders>
            <w:shd w:fill="0F2440" w:val="clear"/>
            <w:vAlign w:val="center"/>
          </w:tcPr>
          <w:p>
            <w:pPr>
              <w:pStyle w:val="Normal"/>
              <w:rPr/>
            </w:pPr>
            <w:r>
              <w:rPr>
                <w:b/>
                <w:bCs/>
                <w:color w:val="FFFFFF"/>
                <w:sz w:val="21"/>
                <w:szCs w:val="21"/>
              </w:rPr>
              <w:t>Use case</w:t>
            </w:r>
          </w:p>
        </w:tc>
        <w:tc>
          <w:tcPr>
            <w:tcW w:w="4061" w:type="dxa"/>
            <w:tcBorders>
              <w:top w:val="single" w:sz="2" w:space="0" w:color="C9D6E5"/>
              <w:left w:val="single" w:sz="2" w:space="0" w:color="C9D6E5"/>
              <w:bottom w:val="single" w:sz="2" w:space="0" w:color="C9D6E5"/>
              <w:right w:val="single" w:sz="2" w:space="0" w:color="C9D6E5"/>
            </w:tcBorders>
            <w:shd w:fill="0F2440" w:val="clear"/>
            <w:vAlign w:val="center"/>
          </w:tcPr>
          <w:p>
            <w:pPr>
              <w:pStyle w:val="Normal"/>
              <w:rPr/>
            </w:pPr>
            <w:r>
              <w:rPr>
                <w:b/>
                <w:bCs/>
                <w:color w:val="FFFFFF"/>
                <w:sz w:val="21"/>
                <w:szCs w:val="21"/>
              </w:rPr>
              <w:t>Mô tả ngắn</w:t>
            </w:r>
          </w:p>
        </w:tc>
        <w:tc>
          <w:tcPr>
            <w:tcW w:w="3000" w:type="dxa"/>
            <w:tcBorders>
              <w:top w:val="single" w:sz="2" w:space="0" w:color="C9D6E5"/>
              <w:left w:val="single" w:sz="2" w:space="0" w:color="C9D6E5"/>
              <w:bottom w:val="single" w:sz="2" w:space="0" w:color="C9D6E5"/>
              <w:right w:val="single" w:sz="2" w:space="0" w:color="C9D6E5"/>
            </w:tcBorders>
            <w:shd w:fill="0F2440" w:val="clear"/>
            <w:vAlign w:val="center"/>
          </w:tcPr>
          <w:p>
            <w:pPr>
              <w:pStyle w:val="Normal"/>
              <w:rPr/>
            </w:pPr>
            <w:r>
              <w:rPr>
                <w:b/>
                <w:bCs/>
                <w:color w:val="FFFFFF"/>
                <w:sz w:val="21"/>
                <w:szCs w:val="21"/>
              </w:rPr>
              <w:t>Giá trị mang lại</w:t>
            </w:r>
          </w:p>
        </w:tc>
      </w:tr>
      <w:tr>
        <w:trPr/>
        <w:tc>
          <w:tcPr>
            <w:tcW w:w="2299" w:type="dxa"/>
            <w:tcBorders>
              <w:top w:val="single" w:sz="2" w:space="0" w:color="C9D6E5"/>
              <w:left w:val="single" w:sz="2" w:space="0" w:color="C9D6E5"/>
              <w:bottom w:val="single" w:sz="2" w:space="0" w:color="C9D6E5"/>
              <w:right w:val="single" w:sz="2" w:space="0" w:color="C9D6E5"/>
            </w:tcBorders>
            <w:shd w:fill="FFFFFF" w:val="clear"/>
            <w:tcMar>
              <w:top w:w="60" w:type="dxa"/>
              <w:bottom w:w="60" w:type="dxa"/>
            </w:tcMar>
            <w:vAlign w:val="center"/>
          </w:tcPr>
          <w:p>
            <w:pPr>
              <w:pStyle w:val="Normal"/>
              <w:spacing w:lineRule="auto" w:line="271"/>
              <w:rPr/>
            </w:pPr>
            <w:r>
              <w:rPr>
                <w:sz w:val="21"/>
                <w:szCs w:val="21"/>
              </w:rPr>
              <w:t>Trợ lý mua sắm</w:t>
            </w:r>
          </w:p>
        </w:tc>
        <w:tc>
          <w:tcPr>
            <w:tcW w:w="4061" w:type="dxa"/>
            <w:tcBorders>
              <w:top w:val="single" w:sz="2" w:space="0" w:color="C9D6E5"/>
              <w:left w:val="single" w:sz="2" w:space="0" w:color="C9D6E5"/>
              <w:bottom w:val="single" w:sz="2" w:space="0" w:color="C9D6E5"/>
              <w:right w:val="single" w:sz="2" w:space="0" w:color="C9D6E5"/>
            </w:tcBorders>
            <w:shd w:fill="FFFFFF" w:val="clear"/>
            <w:tcMar>
              <w:top w:w="60" w:type="dxa"/>
              <w:bottom w:w="60" w:type="dxa"/>
            </w:tcMar>
            <w:vAlign w:val="center"/>
          </w:tcPr>
          <w:p>
            <w:pPr>
              <w:pStyle w:val="Normal"/>
              <w:spacing w:lineRule="auto" w:line="271"/>
              <w:rPr/>
            </w:pPr>
            <w:r>
              <w:rPr>
                <w:sz w:val="21"/>
                <w:szCs w:val="21"/>
              </w:rPr>
              <w:t>Tư vấn và gợi ý sản phẩm cá nhân hóa</w:t>
            </w:r>
          </w:p>
        </w:tc>
        <w:tc>
          <w:tcPr>
            <w:tcW w:w="3000" w:type="dxa"/>
            <w:tcBorders>
              <w:top w:val="single" w:sz="2" w:space="0" w:color="C9D6E5"/>
              <w:left w:val="single" w:sz="2" w:space="0" w:color="C9D6E5"/>
              <w:bottom w:val="single" w:sz="2" w:space="0" w:color="C9D6E5"/>
              <w:right w:val="single" w:sz="2" w:space="0" w:color="C9D6E5"/>
            </w:tcBorders>
            <w:shd w:fill="FFFFFF" w:val="clear"/>
            <w:tcMar>
              <w:top w:w="60" w:type="dxa"/>
              <w:bottom w:w="60" w:type="dxa"/>
            </w:tcMar>
            <w:vAlign w:val="center"/>
          </w:tcPr>
          <w:p>
            <w:pPr>
              <w:pStyle w:val="Normal"/>
              <w:spacing w:lineRule="auto" w:line="271"/>
              <w:rPr/>
            </w:pPr>
            <w:r>
              <w:rPr>
                <w:sz w:val="21"/>
                <w:szCs w:val="21"/>
              </w:rPr>
              <w:t>Tăng chuyển đổi &amp; giá trị giỏ hàng</w:t>
            </w:r>
          </w:p>
        </w:tc>
      </w:tr>
      <w:tr>
        <w:trPr/>
        <w:tc>
          <w:tcPr>
            <w:tcW w:w="2299" w:type="dxa"/>
            <w:tcBorders>
              <w:top w:val="single" w:sz="2" w:space="0" w:color="C9D6E5"/>
              <w:left w:val="single" w:sz="2" w:space="0" w:color="C9D6E5"/>
              <w:bottom w:val="single" w:sz="2" w:space="0" w:color="C9D6E5"/>
              <w:right w:val="single" w:sz="2" w:space="0" w:color="C9D6E5"/>
            </w:tcBorders>
            <w:shd w:fill="F4F7FB" w:val="clear"/>
            <w:tcMar>
              <w:top w:w="60" w:type="dxa"/>
              <w:bottom w:w="60" w:type="dxa"/>
            </w:tcMar>
            <w:vAlign w:val="center"/>
          </w:tcPr>
          <w:p>
            <w:pPr>
              <w:pStyle w:val="Normal"/>
              <w:spacing w:lineRule="auto" w:line="271"/>
              <w:rPr/>
            </w:pPr>
            <w:r>
              <w:rPr>
                <w:sz w:val="21"/>
                <w:szCs w:val="21"/>
              </w:rPr>
              <w:t>CSKH tự chủ</w:t>
            </w:r>
          </w:p>
        </w:tc>
        <w:tc>
          <w:tcPr>
            <w:tcW w:w="4061" w:type="dxa"/>
            <w:tcBorders>
              <w:top w:val="single" w:sz="2" w:space="0" w:color="C9D6E5"/>
              <w:left w:val="single" w:sz="2" w:space="0" w:color="C9D6E5"/>
              <w:bottom w:val="single" w:sz="2" w:space="0" w:color="C9D6E5"/>
              <w:right w:val="single" w:sz="2" w:space="0" w:color="C9D6E5"/>
            </w:tcBorders>
            <w:shd w:fill="F4F7FB" w:val="clear"/>
            <w:tcMar>
              <w:top w:w="60" w:type="dxa"/>
              <w:bottom w:w="60" w:type="dxa"/>
            </w:tcMar>
            <w:vAlign w:val="center"/>
          </w:tcPr>
          <w:p>
            <w:pPr>
              <w:pStyle w:val="Normal"/>
              <w:spacing w:lineRule="auto" w:line="271"/>
              <w:rPr/>
            </w:pPr>
            <w:r>
              <w:rPr>
                <w:sz w:val="21"/>
                <w:szCs w:val="21"/>
              </w:rPr>
              <w:t>Xử lý đổi/trả, theo dõi đơn hàng 24/7</w:t>
            </w:r>
          </w:p>
        </w:tc>
        <w:tc>
          <w:tcPr>
            <w:tcW w:w="3000" w:type="dxa"/>
            <w:tcBorders>
              <w:top w:val="single" w:sz="2" w:space="0" w:color="C9D6E5"/>
              <w:left w:val="single" w:sz="2" w:space="0" w:color="C9D6E5"/>
              <w:bottom w:val="single" w:sz="2" w:space="0" w:color="C9D6E5"/>
              <w:right w:val="single" w:sz="2" w:space="0" w:color="C9D6E5"/>
            </w:tcBorders>
            <w:shd w:fill="F4F7FB" w:val="clear"/>
            <w:tcMar>
              <w:top w:w="60" w:type="dxa"/>
              <w:bottom w:w="60" w:type="dxa"/>
            </w:tcMar>
            <w:vAlign w:val="center"/>
          </w:tcPr>
          <w:p>
            <w:pPr>
              <w:pStyle w:val="Normal"/>
              <w:spacing w:lineRule="auto" w:line="271"/>
              <w:rPr/>
            </w:pPr>
            <w:r>
              <w:rPr>
                <w:sz w:val="21"/>
                <w:szCs w:val="21"/>
              </w:rPr>
              <w:t>Klarna: 11 phút → dưới 2 phút</w:t>
            </w:r>
          </w:p>
        </w:tc>
      </w:tr>
      <w:tr>
        <w:trPr/>
        <w:tc>
          <w:tcPr>
            <w:tcW w:w="2299" w:type="dxa"/>
            <w:tcBorders>
              <w:top w:val="single" w:sz="2" w:space="0" w:color="C9D6E5"/>
              <w:left w:val="single" w:sz="2" w:space="0" w:color="C9D6E5"/>
              <w:bottom w:val="single" w:sz="2" w:space="0" w:color="C9D6E5"/>
              <w:right w:val="single" w:sz="2" w:space="0" w:color="C9D6E5"/>
            </w:tcBorders>
            <w:shd w:fill="FFFFFF" w:val="clear"/>
            <w:tcMar>
              <w:top w:w="60" w:type="dxa"/>
              <w:bottom w:w="60" w:type="dxa"/>
            </w:tcMar>
            <w:vAlign w:val="center"/>
          </w:tcPr>
          <w:p>
            <w:pPr>
              <w:pStyle w:val="Normal"/>
              <w:spacing w:lineRule="auto" w:line="271"/>
              <w:rPr/>
            </w:pPr>
            <w:r>
              <w:rPr>
                <w:sz w:val="21"/>
                <w:szCs w:val="21"/>
              </w:rPr>
              <w:t>Tối ưu giá &amp; khuyến mãi</w:t>
            </w:r>
          </w:p>
        </w:tc>
        <w:tc>
          <w:tcPr>
            <w:tcW w:w="4061" w:type="dxa"/>
            <w:tcBorders>
              <w:top w:val="single" w:sz="2" w:space="0" w:color="C9D6E5"/>
              <w:left w:val="single" w:sz="2" w:space="0" w:color="C9D6E5"/>
              <w:bottom w:val="single" w:sz="2" w:space="0" w:color="C9D6E5"/>
              <w:right w:val="single" w:sz="2" w:space="0" w:color="C9D6E5"/>
            </w:tcBorders>
            <w:shd w:fill="FFFFFF" w:val="clear"/>
            <w:tcMar>
              <w:top w:w="60" w:type="dxa"/>
              <w:bottom w:w="60" w:type="dxa"/>
            </w:tcMar>
            <w:vAlign w:val="center"/>
          </w:tcPr>
          <w:p>
            <w:pPr>
              <w:pStyle w:val="Normal"/>
              <w:spacing w:lineRule="auto" w:line="271"/>
              <w:rPr/>
            </w:pPr>
            <w:r>
              <w:rPr>
                <w:sz w:val="21"/>
                <w:szCs w:val="21"/>
              </w:rPr>
              <w:t>Điều chỉnh theo nhu cầu thời gian thực</w:t>
            </w:r>
          </w:p>
        </w:tc>
        <w:tc>
          <w:tcPr>
            <w:tcW w:w="3000" w:type="dxa"/>
            <w:tcBorders>
              <w:top w:val="single" w:sz="2" w:space="0" w:color="C9D6E5"/>
              <w:left w:val="single" w:sz="2" w:space="0" w:color="C9D6E5"/>
              <w:bottom w:val="single" w:sz="2" w:space="0" w:color="C9D6E5"/>
              <w:right w:val="single" w:sz="2" w:space="0" w:color="C9D6E5"/>
            </w:tcBorders>
            <w:shd w:fill="FFFFFF" w:val="clear"/>
            <w:tcMar>
              <w:top w:w="60" w:type="dxa"/>
              <w:bottom w:w="60" w:type="dxa"/>
            </w:tcMar>
            <w:vAlign w:val="center"/>
          </w:tcPr>
          <w:p>
            <w:pPr>
              <w:pStyle w:val="Normal"/>
              <w:spacing w:lineRule="auto" w:line="271"/>
              <w:rPr/>
            </w:pPr>
            <w:r>
              <w:rPr>
                <w:sz w:val="21"/>
                <w:szCs w:val="21"/>
              </w:rPr>
              <w:t>Cải thiện biên lợi nhuận &amp; doanh thu</w:t>
            </w:r>
          </w:p>
        </w:tc>
      </w:tr>
      <w:tr>
        <w:trPr/>
        <w:tc>
          <w:tcPr>
            <w:tcW w:w="2299" w:type="dxa"/>
            <w:tcBorders>
              <w:top w:val="single" w:sz="2" w:space="0" w:color="C9D6E5"/>
              <w:left w:val="single" w:sz="2" w:space="0" w:color="C9D6E5"/>
              <w:bottom w:val="single" w:sz="2" w:space="0" w:color="C9D6E5"/>
              <w:right w:val="single" w:sz="2" w:space="0" w:color="C9D6E5"/>
            </w:tcBorders>
            <w:shd w:fill="F4F7FB" w:val="clear"/>
            <w:tcMar>
              <w:top w:w="60" w:type="dxa"/>
              <w:bottom w:w="60" w:type="dxa"/>
            </w:tcMar>
            <w:vAlign w:val="center"/>
          </w:tcPr>
          <w:p>
            <w:pPr>
              <w:pStyle w:val="Normal"/>
              <w:spacing w:lineRule="auto" w:line="271"/>
              <w:rPr/>
            </w:pPr>
            <w:r>
              <w:rPr>
                <w:sz w:val="21"/>
                <w:szCs w:val="21"/>
              </w:rPr>
              <w:t>Quản lý danh mục</w:t>
            </w:r>
          </w:p>
        </w:tc>
        <w:tc>
          <w:tcPr>
            <w:tcW w:w="4061" w:type="dxa"/>
            <w:tcBorders>
              <w:top w:val="single" w:sz="2" w:space="0" w:color="C9D6E5"/>
              <w:left w:val="single" w:sz="2" w:space="0" w:color="C9D6E5"/>
              <w:bottom w:val="single" w:sz="2" w:space="0" w:color="C9D6E5"/>
              <w:right w:val="single" w:sz="2" w:space="0" w:color="C9D6E5"/>
            </w:tcBorders>
            <w:shd w:fill="F4F7FB" w:val="clear"/>
            <w:tcMar>
              <w:top w:w="60" w:type="dxa"/>
              <w:bottom w:w="60" w:type="dxa"/>
            </w:tcMar>
            <w:vAlign w:val="center"/>
          </w:tcPr>
          <w:p>
            <w:pPr>
              <w:pStyle w:val="Normal"/>
              <w:spacing w:lineRule="auto" w:line="271"/>
              <w:rPr/>
            </w:pPr>
            <w:r>
              <w:rPr>
                <w:sz w:val="21"/>
                <w:szCs w:val="21"/>
              </w:rPr>
              <w:t>Tạo và chuẩn hóa nội dung sản phẩm</w:t>
            </w:r>
          </w:p>
        </w:tc>
        <w:tc>
          <w:tcPr>
            <w:tcW w:w="3000" w:type="dxa"/>
            <w:tcBorders>
              <w:top w:val="single" w:sz="2" w:space="0" w:color="C9D6E5"/>
              <w:left w:val="single" w:sz="2" w:space="0" w:color="C9D6E5"/>
              <w:bottom w:val="single" w:sz="2" w:space="0" w:color="C9D6E5"/>
              <w:right w:val="single" w:sz="2" w:space="0" w:color="C9D6E5"/>
            </w:tcBorders>
            <w:shd w:fill="F4F7FB" w:val="clear"/>
            <w:tcMar>
              <w:top w:w="60" w:type="dxa"/>
              <w:bottom w:w="60" w:type="dxa"/>
            </w:tcMar>
            <w:vAlign w:val="center"/>
          </w:tcPr>
          <w:p>
            <w:pPr>
              <w:pStyle w:val="Normal"/>
              <w:spacing w:lineRule="auto" w:line="271"/>
              <w:rPr/>
            </w:pPr>
            <w:r>
              <w:rPr>
                <w:sz w:val="21"/>
                <w:szCs w:val="21"/>
              </w:rPr>
              <w:t>Rút ngắn thời gian lên kệ</w:t>
            </w:r>
          </w:p>
        </w:tc>
      </w:tr>
    </w:tbl>
    <w:p>
      <w:pPr>
        <w:pStyle w:val="Normal"/>
        <w:spacing w:before="0" w:after="40"/>
        <w:rPr/>
      </w:pPr>
      <w:r>
        <w:rPr/>
      </w:r>
    </w:p>
    <w:tbl>
      <w:tblPr>
        <w:tblW w:w="9360" w:type="dxa"/>
        <w:jc w:val="left"/>
        <w:tblInd w:w="255" w:type="dxa"/>
        <w:tblLayout w:type="fixed"/>
        <w:tblCellMar>
          <w:top w:w="140" w:type="dxa"/>
          <w:left w:w="220" w:type="dxa"/>
          <w:bottom w:w="140" w:type="dxa"/>
          <w:right w:w="200" w:type="dxa"/>
        </w:tblCellMar>
      </w:tblPr>
      <w:tblGrid>
        <w:gridCol w:w="9360"/>
      </w:tblGrid>
      <w:tr>
        <w:trPr/>
        <w:tc>
          <w:tcPr>
            <w:tcW w:w="9360" w:type="dxa"/>
            <w:tcBorders>
              <w:top w:val="single" w:sz="2" w:space="0" w:color="EAF1FB"/>
              <w:left w:val="single" w:sz="28" w:space="0" w:color="1C6DD0"/>
              <w:bottom w:val="single" w:sz="2" w:space="0" w:color="EAF1FB"/>
              <w:right w:val="single" w:sz="2" w:space="0" w:color="EAF1FB"/>
            </w:tcBorders>
            <w:shd w:fill="EAF1FB" w:val="clear"/>
          </w:tcPr>
          <w:p>
            <w:pPr>
              <w:pStyle w:val="Normal"/>
              <w:spacing w:before="0" w:after="60"/>
              <w:rPr/>
            </w:pPr>
            <w:r>
              <w:rPr>
                <w:b/>
                <w:bCs/>
                <w:color w:val="1C6DD0"/>
                <w:sz w:val="23"/>
                <w:szCs w:val="23"/>
              </w:rPr>
              <w:t>Hàm ý cho lãnh đạo ngành bán lẻ</w:t>
            </w:r>
          </w:p>
          <w:p>
            <w:pPr>
              <w:pStyle w:val="Normal"/>
              <w:spacing w:lineRule="auto" w:line="281" w:before="0" w:after="0"/>
              <w:rPr/>
            </w:pPr>
            <w:r>
              <w:rPr>
                <w:sz w:val="22"/>
                <w:szCs w:val="22"/>
              </w:rPr>
              <w:t xml:space="preserve">Khả năng “co giãn” theo mùa vụ là lợi thế chiến lược: AI Agent hấp thụ các đỉnh nhu cầu (lễ, sale lớn) mà không phát sinh chi phí nhân sự thời vụ. Hãy đo lường giá trị không chỉ ở chi phí tiết kiệm, mà cả ở </w:t>
            </w:r>
            <w:r>
              <w:rPr>
                <w:b/>
                <w:bCs/>
                <w:sz w:val="22"/>
                <w:szCs w:val="22"/>
              </w:rPr>
              <w:t>doanh thu giữ lại</w:t>
            </w:r>
            <w:r>
              <w:rPr>
                <w:sz w:val="22"/>
                <w:szCs w:val="22"/>
              </w:rPr>
              <w:t xml:space="preserve"> nhờ phản hồi tức thì và trải nghiệm cá nhân hóa.</w:t>
            </w:r>
          </w:p>
        </w:tc>
      </w:tr>
    </w:tbl>
    <w:p>
      <w:pPr>
        <w:pStyle w:val="Heading2"/>
        <w:rPr/>
      </w:pPr>
      <w:bookmarkStart w:id="24" w:name="__RefHeading___Toc1221_217012103"/>
      <w:bookmarkEnd w:id="24"/>
      <w:r>
        <w:rPr/>
        <w:t>3.3. Sản xuất – Logistics và chuỗi cung ứng</w:t>
      </w:r>
    </w:p>
    <w:p>
      <w:pPr>
        <w:pStyle w:val="Normal"/>
        <w:spacing w:lineRule="auto" w:line="314" w:before="0" w:after="165"/>
        <w:jc w:val="both"/>
        <w:rPr/>
      </w:pPr>
      <w:r>
        <w:rPr/>
        <w:t xml:space="preserve">Trong sản xuất và logistics, AI Agent đánh dấu bước chuyển từ “tự động hóa” sang “tự chủ vận hành” — nơi tác tử không chỉ phát hiện vấn đề mà còn tự khép kín vòng lặp từ phát hiện đến hành động. Các doanh nghiệp đưa AI vào sản xuất ghi nhận hiệu suất sản xuất và hiệu suất chuỗi cung ứng tăng trung bình khoảng </w:t>
      </w:r>
      <w:r>
        <w:rPr>
          <w:b/>
          <w:bCs/>
        </w:rPr>
        <w:t>34%</w:t>
      </w:r>
      <w:r>
        <w:rPr/>
        <w:t>.</w:t>
      </w:r>
    </w:p>
    <w:p>
      <w:pPr>
        <w:pStyle w:val="Normal"/>
        <w:spacing w:lineRule="auto" w:line="314" w:before="0" w:after="165"/>
        <w:jc w:val="both"/>
        <w:rPr/>
      </w:pPr>
      <w:r>
        <w:rPr>
          <w:b/>
          <w:bCs/>
        </w:rPr>
        <w:t>Một số trường hợp tiêu biểu:</w:t>
      </w:r>
    </w:p>
    <w:p>
      <w:pPr>
        <w:pStyle w:val="ListParagraph"/>
        <w:numPr>
          <w:ilvl w:val="0"/>
          <w:numId w:val="1"/>
        </w:numPr>
        <w:spacing w:lineRule="auto" w:line="302" w:before="0" w:after="98"/>
        <w:jc w:val="both"/>
        <w:rPr/>
      </w:pPr>
      <w:r>
        <w:rPr>
          <w:b/>
          <w:bCs/>
        </w:rPr>
        <w:t>Amazon:</w:t>
      </w:r>
      <w:r>
        <w:rPr/>
        <w:t xml:space="preserve"> dùng AI Agent dự báo xu hướng mua sắm và tự động điều chỉnh tồn kho, giúp </w:t>
      </w:r>
      <w:r>
        <w:rPr>
          <w:b/>
          <w:bCs/>
        </w:rPr>
        <w:t>giảm 32% tình trạng hết hàng (stockout)</w:t>
      </w:r>
      <w:r>
        <w:rPr/>
        <w:t>.</w:t>
      </w:r>
    </w:p>
    <w:p>
      <w:pPr>
        <w:pStyle w:val="ListParagraph"/>
        <w:numPr>
          <w:ilvl w:val="0"/>
          <w:numId w:val="1"/>
        </w:numPr>
        <w:spacing w:lineRule="auto" w:line="302" w:before="0" w:after="98"/>
        <w:jc w:val="both"/>
        <w:rPr/>
      </w:pPr>
      <w:r>
        <w:rPr>
          <w:b/>
          <w:bCs/>
        </w:rPr>
        <w:t>Toyota:</w:t>
      </w:r>
      <w:r>
        <w:rPr/>
        <w:t xml:space="preserve"> ứng dụng tác tử để giám sát thiết bị, phát hiện bất thường và điều chỉnh quy trình theo thời gian thực, định vị AI Agent như “cộng sự” của kỹ sư hoạch định thay vì thay thế con người.</w:t>
      </w:r>
    </w:p>
    <w:p>
      <w:pPr>
        <w:pStyle w:val="ListParagraph"/>
        <w:numPr>
          <w:ilvl w:val="0"/>
          <w:numId w:val="1"/>
        </w:numPr>
        <w:spacing w:lineRule="auto" w:line="302" w:before="0" w:after="98"/>
        <w:jc w:val="both"/>
        <w:rPr/>
      </w:pPr>
      <w:r>
        <w:rPr>
          <w:b/>
          <w:bCs/>
        </w:rPr>
        <w:t>Microsoft – tác tử CargoPilot:</w:t>
      </w:r>
      <w:r>
        <w:rPr/>
        <w:t xml:space="preserve"> liên tục phân tích phương thức vận chuyển, tuyến đường, cấu trúc chi phí, tác động carbon và thời gian chu kỳ; mục tiêu vận hành hơn 100 tác tử vào cuối 2026.</w:t>
      </w:r>
    </w:p>
    <w:p>
      <w:pPr>
        <w:pStyle w:val="Normal"/>
        <w:spacing w:lineRule="auto" w:line="314" w:before="0" w:after="165"/>
        <w:jc w:val="both"/>
        <w:rPr/>
      </w:pPr>
      <w:r>
        <w:rPr/>
        <w:t xml:space="preserve">Các ứng dụng khác gồm: lập kế hoạch nhu cầu và tối ưu tồn kho; bảo trì dự đoán; điều phối vận tải và tối ưu tuyến; kiểm soát chất lượng bằng thị giác máy tính; và quản lý rủi ro nhà cung cấp. Tuy nhiên, bài học quan trọng nhất từ ngành này là </w:t>
      </w:r>
      <w:r>
        <w:rPr>
          <w:b/>
          <w:bCs/>
        </w:rPr>
        <w:t>nền tảng dữ liệu phải đi trước</w:t>
      </w:r>
      <w:r>
        <w:rPr/>
        <w:t>: việc chuẩn hóa và kết nối dữ liệu thường chiếm 60–70% thời gian dự án và là ranh giới giữa thành công và thất bại.</w:t>
      </w:r>
    </w:p>
    <w:p>
      <w:pPr>
        <w:pStyle w:val="Heading3"/>
        <w:rPr/>
      </w:pPr>
      <w:bookmarkStart w:id="25" w:name="__RefHeading___Toc1223_217012103"/>
      <w:bookmarkEnd w:id="25"/>
      <w:r>
        <w:rPr/>
        <w:t>Các use case tiêu biểu trong sản xuất – logistics</w:t>
      </w:r>
    </w:p>
    <w:tbl>
      <w:tblPr>
        <w:tblW w:w="9360" w:type="dxa"/>
        <w:jc w:val="left"/>
        <w:tblInd w:w="111" w:type="dxa"/>
        <w:tblLayout w:type="fixed"/>
        <w:tblCellMar>
          <w:top w:w="70" w:type="dxa"/>
          <w:left w:w="110" w:type="dxa"/>
          <w:bottom w:w="70" w:type="dxa"/>
          <w:right w:w="110" w:type="dxa"/>
        </w:tblCellMar>
      </w:tblPr>
      <w:tblGrid>
        <w:gridCol w:w="2299"/>
        <w:gridCol w:w="4061"/>
        <w:gridCol w:w="3000"/>
      </w:tblGrid>
      <w:tr>
        <w:trPr>
          <w:tblHeader w:val="true"/>
        </w:trPr>
        <w:tc>
          <w:tcPr>
            <w:tcW w:w="2299" w:type="dxa"/>
            <w:tcBorders>
              <w:top w:val="single" w:sz="2" w:space="0" w:color="C9D6E5"/>
              <w:left w:val="single" w:sz="2" w:space="0" w:color="C9D6E5"/>
              <w:bottom w:val="single" w:sz="2" w:space="0" w:color="C9D6E5"/>
              <w:right w:val="single" w:sz="2" w:space="0" w:color="C9D6E5"/>
            </w:tcBorders>
            <w:shd w:fill="0F2440" w:val="clear"/>
            <w:vAlign w:val="center"/>
          </w:tcPr>
          <w:p>
            <w:pPr>
              <w:pStyle w:val="Normal"/>
              <w:rPr/>
            </w:pPr>
            <w:r>
              <w:rPr>
                <w:b/>
                <w:bCs/>
                <w:color w:val="FFFFFF"/>
                <w:sz w:val="21"/>
                <w:szCs w:val="21"/>
              </w:rPr>
              <w:t>Use case</w:t>
            </w:r>
          </w:p>
        </w:tc>
        <w:tc>
          <w:tcPr>
            <w:tcW w:w="4061" w:type="dxa"/>
            <w:tcBorders>
              <w:top w:val="single" w:sz="2" w:space="0" w:color="C9D6E5"/>
              <w:left w:val="single" w:sz="2" w:space="0" w:color="C9D6E5"/>
              <w:bottom w:val="single" w:sz="2" w:space="0" w:color="C9D6E5"/>
              <w:right w:val="single" w:sz="2" w:space="0" w:color="C9D6E5"/>
            </w:tcBorders>
            <w:shd w:fill="0F2440" w:val="clear"/>
            <w:vAlign w:val="center"/>
          </w:tcPr>
          <w:p>
            <w:pPr>
              <w:pStyle w:val="Normal"/>
              <w:rPr/>
            </w:pPr>
            <w:r>
              <w:rPr>
                <w:b/>
                <w:bCs/>
                <w:color w:val="FFFFFF"/>
                <w:sz w:val="21"/>
                <w:szCs w:val="21"/>
              </w:rPr>
              <w:t>Mô tả ngắn</w:t>
            </w:r>
          </w:p>
        </w:tc>
        <w:tc>
          <w:tcPr>
            <w:tcW w:w="3000" w:type="dxa"/>
            <w:tcBorders>
              <w:top w:val="single" w:sz="2" w:space="0" w:color="C9D6E5"/>
              <w:left w:val="single" w:sz="2" w:space="0" w:color="C9D6E5"/>
              <w:bottom w:val="single" w:sz="2" w:space="0" w:color="C9D6E5"/>
              <w:right w:val="single" w:sz="2" w:space="0" w:color="C9D6E5"/>
            </w:tcBorders>
            <w:shd w:fill="0F2440" w:val="clear"/>
            <w:vAlign w:val="center"/>
          </w:tcPr>
          <w:p>
            <w:pPr>
              <w:pStyle w:val="Normal"/>
              <w:rPr/>
            </w:pPr>
            <w:r>
              <w:rPr>
                <w:b/>
                <w:bCs/>
                <w:color w:val="FFFFFF"/>
                <w:sz w:val="21"/>
                <w:szCs w:val="21"/>
              </w:rPr>
              <w:t>Giá trị mang lại</w:t>
            </w:r>
          </w:p>
        </w:tc>
      </w:tr>
      <w:tr>
        <w:trPr/>
        <w:tc>
          <w:tcPr>
            <w:tcW w:w="2299" w:type="dxa"/>
            <w:tcBorders>
              <w:top w:val="single" w:sz="2" w:space="0" w:color="C9D6E5"/>
              <w:left w:val="single" w:sz="2" w:space="0" w:color="C9D6E5"/>
              <w:bottom w:val="single" w:sz="2" w:space="0" w:color="C9D6E5"/>
              <w:right w:val="single" w:sz="2" w:space="0" w:color="C9D6E5"/>
            </w:tcBorders>
            <w:shd w:fill="FFFFFF" w:val="clear"/>
            <w:tcMar>
              <w:top w:w="60" w:type="dxa"/>
              <w:bottom w:w="60" w:type="dxa"/>
            </w:tcMar>
            <w:vAlign w:val="center"/>
          </w:tcPr>
          <w:p>
            <w:pPr>
              <w:pStyle w:val="Normal"/>
              <w:spacing w:lineRule="auto" w:line="271"/>
              <w:rPr/>
            </w:pPr>
            <w:r>
              <w:rPr>
                <w:sz w:val="21"/>
                <w:szCs w:val="21"/>
              </w:rPr>
              <w:t>Dự báo &amp; tối ưu tồn kho</w:t>
            </w:r>
          </w:p>
        </w:tc>
        <w:tc>
          <w:tcPr>
            <w:tcW w:w="4061" w:type="dxa"/>
            <w:tcBorders>
              <w:top w:val="single" w:sz="2" w:space="0" w:color="C9D6E5"/>
              <w:left w:val="single" w:sz="2" w:space="0" w:color="C9D6E5"/>
              <w:bottom w:val="single" w:sz="2" w:space="0" w:color="C9D6E5"/>
              <w:right w:val="single" w:sz="2" w:space="0" w:color="C9D6E5"/>
            </w:tcBorders>
            <w:shd w:fill="FFFFFF" w:val="clear"/>
            <w:tcMar>
              <w:top w:w="60" w:type="dxa"/>
              <w:bottom w:w="60" w:type="dxa"/>
            </w:tcMar>
            <w:vAlign w:val="center"/>
          </w:tcPr>
          <w:p>
            <w:pPr>
              <w:pStyle w:val="Normal"/>
              <w:spacing w:lineRule="auto" w:line="271"/>
              <w:rPr/>
            </w:pPr>
            <w:r>
              <w:rPr>
                <w:sz w:val="21"/>
                <w:szCs w:val="21"/>
              </w:rPr>
              <w:t>Dự đoán nhu cầu, tự điều chỉnh tồn kho</w:t>
            </w:r>
          </w:p>
        </w:tc>
        <w:tc>
          <w:tcPr>
            <w:tcW w:w="3000" w:type="dxa"/>
            <w:tcBorders>
              <w:top w:val="single" w:sz="2" w:space="0" w:color="C9D6E5"/>
              <w:left w:val="single" w:sz="2" w:space="0" w:color="C9D6E5"/>
              <w:bottom w:val="single" w:sz="2" w:space="0" w:color="C9D6E5"/>
              <w:right w:val="single" w:sz="2" w:space="0" w:color="C9D6E5"/>
            </w:tcBorders>
            <w:shd w:fill="FFFFFF" w:val="clear"/>
            <w:tcMar>
              <w:top w:w="60" w:type="dxa"/>
              <w:bottom w:w="60" w:type="dxa"/>
            </w:tcMar>
            <w:vAlign w:val="center"/>
          </w:tcPr>
          <w:p>
            <w:pPr>
              <w:pStyle w:val="Normal"/>
              <w:spacing w:lineRule="auto" w:line="271"/>
              <w:rPr/>
            </w:pPr>
            <w:r>
              <w:rPr>
                <w:sz w:val="21"/>
                <w:szCs w:val="21"/>
              </w:rPr>
              <w:t>Amazon: giảm 32% hết hàng</w:t>
            </w:r>
          </w:p>
        </w:tc>
      </w:tr>
      <w:tr>
        <w:trPr/>
        <w:tc>
          <w:tcPr>
            <w:tcW w:w="2299" w:type="dxa"/>
            <w:tcBorders>
              <w:top w:val="single" w:sz="2" w:space="0" w:color="C9D6E5"/>
              <w:left w:val="single" w:sz="2" w:space="0" w:color="C9D6E5"/>
              <w:bottom w:val="single" w:sz="2" w:space="0" w:color="C9D6E5"/>
              <w:right w:val="single" w:sz="2" w:space="0" w:color="C9D6E5"/>
            </w:tcBorders>
            <w:shd w:fill="F4F7FB" w:val="clear"/>
            <w:tcMar>
              <w:top w:w="60" w:type="dxa"/>
              <w:bottom w:w="60" w:type="dxa"/>
            </w:tcMar>
            <w:vAlign w:val="center"/>
          </w:tcPr>
          <w:p>
            <w:pPr>
              <w:pStyle w:val="Normal"/>
              <w:spacing w:lineRule="auto" w:line="271"/>
              <w:rPr/>
            </w:pPr>
            <w:r>
              <w:rPr>
                <w:sz w:val="21"/>
                <w:szCs w:val="21"/>
              </w:rPr>
              <w:t>Bảo trì dự đoán</w:t>
            </w:r>
          </w:p>
        </w:tc>
        <w:tc>
          <w:tcPr>
            <w:tcW w:w="4061" w:type="dxa"/>
            <w:tcBorders>
              <w:top w:val="single" w:sz="2" w:space="0" w:color="C9D6E5"/>
              <w:left w:val="single" w:sz="2" w:space="0" w:color="C9D6E5"/>
              <w:bottom w:val="single" w:sz="2" w:space="0" w:color="C9D6E5"/>
              <w:right w:val="single" w:sz="2" w:space="0" w:color="C9D6E5"/>
            </w:tcBorders>
            <w:shd w:fill="F4F7FB" w:val="clear"/>
            <w:tcMar>
              <w:top w:w="60" w:type="dxa"/>
              <w:bottom w:w="60" w:type="dxa"/>
            </w:tcMar>
            <w:vAlign w:val="center"/>
          </w:tcPr>
          <w:p>
            <w:pPr>
              <w:pStyle w:val="Normal"/>
              <w:spacing w:lineRule="auto" w:line="271"/>
              <w:rPr/>
            </w:pPr>
            <w:r>
              <w:rPr>
                <w:sz w:val="21"/>
                <w:szCs w:val="21"/>
              </w:rPr>
              <w:t>Giám sát thiết bị, cảnh báo sớm hỏng hóc</w:t>
            </w:r>
          </w:p>
        </w:tc>
        <w:tc>
          <w:tcPr>
            <w:tcW w:w="3000" w:type="dxa"/>
            <w:tcBorders>
              <w:top w:val="single" w:sz="2" w:space="0" w:color="C9D6E5"/>
              <w:left w:val="single" w:sz="2" w:space="0" w:color="C9D6E5"/>
              <w:bottom w:val="single" w:sz="2" w:space="0" w:color="C9D6E5"/>
              <w:right w:val="single" w:sz="2" w:space="0" w:color="C9D6E5"/>
            </w:tcBorders>
            <w:shd w:fill="F4F7FB" w:val="clear"/>
            <w:tcMar>
              <w:top w:w="60" w:type="dxa"/>
              <w:bottom w:w="60" w:type="dxa"/>
            </w:tcMar>
            <w:vAlign w:val="center"/>
          </w:tcPr>
          <w:p>
            <w:pPr>
              <w:pStyle w:val="Normal"/>
              <w:spacing w:lineRule="auto" w:line="271"/>
              <w:rPr/>
            </w:pPr>
            <w:r>
              <w:rPr>
                <w:sz w:val="21"/>
                <w:szCs w:val="21"/>
              </w:rPr>
              <w:t>Giảm dừng máy ngoài kế hoạch</w:t>
            </w:r>
          </w:p>
        </w:tc>
      </w:tr>
      <w:tr>
        <w:trPr/>
        <w:tc>
          <w:tcPr>
            <w:tcW w:w="2299" w:type="dxa"/>
            <w:tcBorders>
              <w:top w:val="single" w:sz="2" w:space="0" w:color="C9D6E5"/>
              <w:left w:val="single" w:sz="2" w:space="0" w:color="C9D6E5"/>
              <w:bottom w:val="single" w:sz="2" w:space="0" w:color="C9D6E5"/>
              <w:right w:val="single" w:sz="2" w:space="0" w:color="C9D6E5"/>
            </w:tcBorders>
            <w:shd w:fill="FFFFFF" w:val="clear"/>
            <w:tcMar>
              <w:top w:w="60" w:type="dxa"/>
              <w:bottom w:w="60" w:type="dxa"/>
            </w:tcMar>
            <w:vAlign w:val="center"/>
          </w:tcPr>
          <w:p>
            <w:pPr>
              <w:pStyle w:val="Normal"/>
              <w:spacing w:lineRule="auto" w:line="271"/>
              <w:rPr/>
            </w:pPr>
            <w:r>
              <w:rPr>
                <w:sz w:val="21"/>
                <w:szCs w:val="21"/>
              </w:rPr>
              <w:t>Tối ưu vận tải</w:t>
            </w:r>
          </w:p>
        </w:tc>
        <w:tc>
          <w:tcPr>
            <w:tcW w:w="4061" w:type="dxa"/>
            <w:tcBorders>
              <w:top w:val="single" w:sz="2" w:space="0" w:color="C9D6E5"/>
              <w:left w:val="single" w:sz="2" w:space="0" w:color="C9D6E5"/>
              <w:bottom w:val="single" w:sz="2" w:space="0" w:color="C9D6E5"/>
              <w:right w:val="single" w:sz="2" w:space="0" w:color="C9D6E5"/>
            </w:tcBorders>
            <w:shd w:fill="FFFFFF" w:val="clear"/>
            <w:tcMar>
              <w:top w:w="60" w:type="dxa"/>
              <w:bottom w:w="60" w:type="dxa"/>
            </w:tcMar>
            <w:vAlign w:val="center"/>
          </w:tcPr>
          <w:p>
            <w:pPr>
              <w:pStyle w:val="Normal"/>
              <w:spacing w:lineRule="auto" w:line="271"/>
              <w:rPr/>
            </w:pPr>
            <w:r>
              <w:rPr>
                <w:sz w:val="21"/>
                <w:szCs w:val="21"/>
              </w:rPr>
              <w:t>Chọn tuyến, phương thức, chi phí, carbon</w:t>
            </w:r>
          </w:p>
        </w:tc>
        <w:tc>
          <w:tcPr>
            <w:tcW w:w="3000" w:type="dxa"/>
            <w:tcBorders>
              <w:top w:val="single" w:sz="2" w:space="0" w:color="C9D6E5"/>
              <w:left w:val="single" w:sz="2" w:space="0" w:color="C9D6E5"/>
              <w:bottom w:val="single" w:sz="2" w:space="0" w:color="C9D6E5"/>
              <w:right w:val="single" w:sz="2" w:space="0" w:color="C9D6E5"/>
            </w:tcBorders>
            <w:shd w:fill="FFFFFF" w:val="clear"/>
            <w:tcMar>
              <w:top w:w="60" w:type="dxa"/>
              <w:bottom w:w="60" w:type="dxa"/>
            </w:tcMar>
            <w:vAlign w:val="center"/>
          </w:tcPr>
          <w:p>
            <w:pPr>
              <w:pStyle w:val="Normal"/>
              <w:spacing w:lineRule="auto" w:line="271"/>
              <w:rPr/>
            </w:pPr>
            <w:r>
              <w:rPr>
                <w:sz w:val="21"/>
                <w:szCs w:val="21"/>
              </w:rPr>
              <w:t>Microsoft CargoPilot: 100+ tác tử</w:t>
            </w:r>
          </w:p>
        </w:tc>
      </w:tr>
      <w:tr>
        <w:trPr/>
        <w:tc>
          <w:tcPr>
            <w:tcW w:w="2299" w:type="dxa"/>
            <w:tcBorders>
              <w:top w:val="single" w:sz="2" w:space="0" w:color="C9D6E5"/>
              <w:left w:val="single" w:sz="2" w:space="0" w:color="C9D6E5"/>
              <w:bottom w:val="single" w:sz="2" w:space="0" w:color="C9D6E5"/>
              <w:right w:val="single" w:sz="2" w:space="0" w:color="C9D6E5"/>
            </w:tcBorders>
            <w:shd w:fill="F4F7FB" w:val="clear"/>
            <w:tcMar>
              <w:top w:w="60" w:type="dxa"/>
              <w:bottom w:w="60" w:type="dxa"/>
            </w:tcMar>
            <w:vAlign w:val="center"/>
          </w:tcPr>
          <w:p>
            <w:pPr>
              <w:pStyle w:val="Normal"/>
              <w:spacing w:lineRule="auto" w:line="271"/>
              <w:rPr/>
            </w:pPr>
            <w:r>
              <w:rPr>
                <w:sz w:val="21"/>
                <w:szCs w:val="21"/>
              </w:rPr>
              <w:t>Kiểm soát chất lượng</w:t>
            </w:r>
          </w:p>
        </w:tc>
        <w:tc>
          <w:tcPr>
            <w:tcW w:w="4061" w:type="dxa"/>
            <w:tcBorders>
              <w:top w:val="single" w:sz="2" w:space="0" w:color="C9D6E5"/>
              <w:left w:val="single" w:sz="2" w:space="0" w:color="C9D6E5"/>
              <w:bottom w:val="single" w:sz="2" w:space="0" w:color="C9D6E5"/>
              <w:right w:val="single" w:sz="2" w:space="0" w:color="C9D6E5"/>
            </w:tcBorders>
            <w:shd w:fill="F4F7FB" w:val="clear"/>
            <w:tcMar>
              <w:top w:w="60" w:type="dxa"/>
              <w:bottom w:w="60" w:type="dxa"/>
            </w:tcMar>
            <w:vAlign w:val="center"/>
          </w:tcPr>
          <w:p>
            <w:pPr>
              <w:pStyle w:val="Normal"/>
              <w:spacing w:lineRule="auto" w:line="271"/>
              <w:rPr/>
            </w:pPr>
            <w:r>
              <w:rPr>
                <w:sz w:val="21"/>
                <w:szCs w:val="21"/>
              </w:rPr>
              <w:t>Phát hiện lỗi bằng thị giác máy tính</w:t>
            </w:r>
          </w:p>
        </w:tc>
        <w:tc>
          <w:tcPr>
            <w:tcW w:w="3000" w:type="dxa"/>
            <w:tcBorders>
              <w:top w:val="single" w:sz="2" w:space="0" w:color="C9D6E5"/>
              <w:left w:val="single" w:sz="2" w:space="0" w:color="C9D6E5"/>
              <w:bottom w:val="single" w:sz="2" w:space="0" w:color="C9D6E5"/>
              <w:right w:val="single" w:sz="2" w:space="0" w:color="C9D6E5"/>
            </w:tcBorders>
            <w:shd w:fill="F4F7FB" w:val="clear"/>
            <w:tcMar>
              <w:top w:w="60" w:type="dxa"/>
              <w:bottom w:w="60" w:type="dxa"/>
            </w:tcMar>
            <w:vAlign w:val="center"/>
          </w:tcPr>
          <w:p>
            <w:pPr>
              <w:pStyle w:val="Normal"/>
              <w:spacing w:lineRule="auto" w:line="271"/>
              <w:rPr/>
            </w:pPr>
            <w:r>
              <w:rPr>
                <w:sz w:val="21"/>
                <w:szCs w:val="21"/>
              </w:rPr>
              <w:t>Giảm tỷ lệ lỗi sản phẩm</w:t>
            </w:r>
          </w:p>
        </w:tc>
      </w:tr>
    </w:tbl>
    <w:p>
      <w:pPr>
        <w:pStyle w:val="Normal"/>
        <w:spacing w:before="0" w:after="40"/>
        <w:rPr/>
      </w:pPr>
      <w:r>
        <w:rPr/>
      </w:r>
    </w:p>
    <w:tbl>
      <w:tblPr>
        <w:tblW w:w="9360" w:type="dxa"/>
        <w:jc w:val="left"/>
        <w:tblInd w:w="255" w:type="dxa"/>
        <w:tblLayout w:type="fixed"/>
        <w:tblCellMar>
          <w:top w:w="140" w:type="dxa"/>
          <w:left w:w="220" w:type="dxa"/>
          <w:bottom w:w="140" w:type="dxa"/>
          <w:right w:w="200" w:type="dxa"/>
        </w:tblCellMar>
      </w:tblPr>
      <w:tblGrid>
        <w:gridCol w:w="9360"/>
      </w:tblGrid>
      <w:tr>
        <w:trPr/>
        <w:tc>
          <w:tcPr>
            <w:tcW w:w="9360" w:type="dxa"/>
            <w:tcBorders>
              <w:top w:val="single" w:sz="2" w:space="0" w:color="E2F4F3"/>
              <w:left w:val="single" w:sz="28" w:space="0" w:color="11A4A0"/>
              <w:bottom w:val="single" w:sz="2" w:space="0" w:color="E2F4F3"/>
              <w:right w:val="single" w:sz="2" w:space="0" w:color="E2F4F3"/>
            </w:tcBorders>
            <w:shd w:fill="E2F4F3" w:val="clear"/>
          </w:tcPr>
          <w:p>
            <w:pPr>
              <w:pStyle w:val="Normal"/>
              <w:spacing w:before="0" w:after="60"/>
              <w:rPr/>
            </w:pPr>
            <w:r>
              <w:rPr>
                <w:b/>
                <w:bCs/>
                <w:color w:val="11A4A0"/>
                <w:sz w:val="23"/>
                <w:szCs w:val="23"/>
              </w:rPr>
              <w:t>Hàm ý cho lãnh đạo ngành sản xuất – logistics</w:t>
            </w:r>
          </w:p>
          <w:p>
            <w:pPr>
              <w:pStyle w:val="Normal"/>
              <w:spacing w:lineRule="auto" w:line="281" w:before="0" w:after="0"/>
              <w:rPr/>
            </w:pPr>
            <w:r>
              <w:rPr>
                <w:sz w:val="22"/>
                <w:szCs w:val="22"/>
              </w:rPr>
              <w:t xml:space="preserve">Đừng bắt đầu bằng tác tử; hãy bắt đầu bằng </w:t>
            </w:r>
            <w:r>
              <w:rPr>
                <w:b/>
                <w:bCs/>
                <w:sz w:val="22"/>
                <w:szCs w:val="22"/>
              </w:rPr>
              <w:t>dữ liệu</w:t>
            </w:r>
            <w:r>
              <w:rPr>
                <w:sz w:val="22"/>
                <w:szCs w:val="22"/>
              </w:rPr>
              <w:t>. Một “xương sống dữ liệu” thời gian thực, đáng tin cậy là điều kiện tiên quyết. Khi nền tảng đã sẵn sàng, ưu tiên các vòng lặp “phát hiện – quyết định – hành động” khép kín ở những điểm nghẽn tốn kém nhất của chuỗi cung ứng.</w:t>
            </w:r>
          </w:p>
        </w:tc>
      </w:tr>
    </w:tbl>
    <w:p>
      <w:pPr>
        <w:pStyle w:val="Heading2"/>
        <w:rPr/>
      </w:pPr>
      <w:bookmarkStart w:id="26" w:name="__RefHeading___Toc1225_217012103"/>
      <w:bookmarkEnd w:id="26"/>
      <w:r>
        <w:rPr/>
        <w:t>3.4. Các lĩnh vực khác đang tăng tốc</w:t>
      </w:r>
    </w:p>
    <w:p>
      <w:pPr>
        <w:pStyle w:val="Normal"/>
        <w:spacing w:lineRule="auto" w:line="314" w:before="0" w:after="165"/>
        <w:jc w:val="both"/>
        <w:rPr/>
      </w:pPr>
      <w:r>
        <w:rPr/>
        <w:t>Ngoài ba ngành trọng điểm, AI Agent đang lan rộng sang nhiều lĩnh vực với các use case đặc thù:</w:t>
      </w:r>
    </w:p>
    <w:p>
      <w:pPr>
        <w:pStyle w:val="ListParagraph"/>
        <w:numPr>
          <w:ilvl w:val="0"/>
          <w:numId w:val="1"/>
        </w:numPr>
        <w:spacing w:lineRule="auto" w:line="302" w:before="0" w:after="98"/>
        <w:jc w:val="both"/>
        <w:rPr/>
      </w:pPr>
      <w:r>
        <w:rPr>
          <w:b/>
          <w:bCs/>
        </w:rPr>
        <w:t>Y tế &amp; dược phẩm:</w:t>
      </w:r>
      <w:r>
        <w:rPr/>
        <w:t xml:space="preserve"> hỗ trợ phân loại bệnh nhân, tóm tắt hồ sơ, điều phối lịch hẹn và hỗ trợ nghiên cứu — luôn trong khuôn khổ giám sát chuyên môn chặt chẽ.</w:t>
      </w:r>
    </w:p>
    <w:p>
      <w:pPr>
        <w:pStyle w:val="ListParagraph"/>
        <w:numPr>
          <w:ilvl w:val="0"/>
          <w:numId w:val="1"/>
        </w:numPr>
        <w:spacing w:lineRule="auto" w:line="302" w:before="0" w:after="98"/>
        <w:jc w:val="both"/>
        <w:rPr/>
      </w:pPr>
      <w:r>
        <w:rPr>
          <w:b/>
          <w:bCs/>
        </w:rPr>
        <w:t>Dịch vụ chuyên nghiệp (luật, kế toán, tư vấn):</w:t>
      </w:r>
      <w:r>
        <w:rPr/>
        <w:t xml:space="preserve"> rà soát hợp đồng, nghiên cứu tài liệu, soạn thảo và phân tích — nơi các hãng tư vấn lớn đang dẫn đầu áp dụng.</w:t>
      </w:r>
    </w:p>
    <w:p>
      <w:pPr>
        <w:pStyle w:val="ListParagraph"/>
        <w:numPr>
          <w:ilvl w:val="0"/>
          <w:numId w:val="1"/>
        </w:numPr>
        <w:spacing w:lineRule="auto" w:line="302" w:before="0" w:after="98"/>
        <w:jc w:val="both"/>
        <w:rPr/>
      </w:pPr>
      <w:r>
        <w:rPr>
          <w:b/>
          <w:bCs/>
        </w:rPr>
        <w:t>Khu vực công:</w:t>
      </w:r>
      <w:r>
        <w:rPr/>
        <w:t xml:space="preserve"> xử lý thủ tục hành chính, hỗ trợ công dân và tổng hợp chính sách; nhiều chính phủ đã thử nghiệm ở quy mô lớn.</w:t>
      </w:r>
    </w:p>
    <w:p>
      <w:pPr>
        <w:pStyle w:val="ListParagraph"/>
        <w:numPr>
          <w:ilvl w:val="0"/>
          <w:numId w:val="1"/>
        </w:numPr>
        <w:spacing w:lineRule="auto" w:line="302" w:before="0" w:after="98"/>
        <w:jc w:val="both"/>
        <w:rPr/>
      </w:pPr>
      <w:r>
        <w:rPr>
          <w:b/>
          <w:bCs/>
        </w:rPr>
        <w:t>Viễn thông &amp; tiện ích:</w:t>
      </w:r>
      <w:r>
        <w:rPr/>
        <w:t xml:space="preserve"> chăm sóc khách hàng, tối ưu vận hành mạng lưới và quản lý sự cố.</w:t>
      </w:r>
    </w:p>
    <w:p>
      <w:pPr>
        <w:pStyle w:val="Normal"/>
        <w:spacing w:lineRule="auto" w:line="314" w:before="0" w:after="165"/>
        <w:jc w:val="both"/>
        <w:rPr/>
      </w:pPr>
      <w:r>
        <w:rPr/>
        <w:t xml:space="preserve">Mẫu số chung: các use case tạo giá trị sớm nhất thường nằm ở nơi có </w:t>
      </w:r>
      <w:r>
        <w:rPr>
          <w:b/>
          <w:bCs/>
        </w:rPr>
        <w:t>khối lượng lớn, quy trình lặp lại, giàu dữ liệu số và có ranh giới rõ ràng</w:t>
      </w:r>
      <w:r>
        <w:rPr/>
        <w:t xml:space="preserve"> để kiểm soát rủi ro.</w:t>
      </w:r>
    </w:p>
    <w:p>
      <w:pPr>
        <w:pStyle w:val="Heading1"/>
        <w:rPr/>
      </w:pPr>
      <w:bookmarkStart w:id="27" w:name="__RefHeading___Toc1227_217012103"/>
      <w:bookmarkEnd w:id="27"/>
      <w:r>
        <w:rPr/>
        <w:t>Phần 4 — Rủi ro, quản trị và bài học triển khai</w:t>
      </w:r>
    </w:p>
    <w:p>
      <w:pPr>
        <w:pStyle w:val="Normal"/>
        <w:spacing w:lineRule="auto" w:line="319" w:before="0" w:after="185"/>
        <w:jc w:val="both"/>
        <w:rPr/>
      </w:pPr>
      <w:r>
        <w:rPr>
          <w:color w:val="16233B"/>
          <w:sz w:val="25"/>
          <w:szCs w:val="25"/>
        </w:rPr>
        <w:t>Cùng với cơ hội là rủi ro. Hiểu vì sao nhiều dự án thất bại — và xây dựng năng lực quản trị tương xứng — là điều phân biệt giữa doanh nghiệp tạo giá trị bền vững và doanh nghiệp lãng phí đầu tư.</w:t>
      </w:r>
    </w:p>
    <w:p>
      <w:pPr>
        <w:pStyle w:val="Heading2"/>
        <w:rPr/>
      </w:pPr>
      <w:bookmarkStart w:id="28" w:name="__RefHeading___Toc1229_217012103"/>
      <w:bookmarkEnd w:id="28"/>
      <w:r>
        <w:rPr/>
        <w:t>4.1. Vì sao nhiều dự án AI Agent thất bại</w:t>
      </w:r>
    </w:p>
    <w:p>
      <w:pPr>
        <w:pStyle w:val="Normal"/>
        <w:spacing w:lineRule="auto" w:line="314" w:before="0" w:after="165"/>
        <w:jc w:val="both"/>
        <w:rPr/>
      </w:pPr>
      <w:r>
        <w:rPr/>
        <w:t xml:space="preserve">Nghịch lý lớn nhất của năm 2025–2026 là khoảng cách giữa hào hứng và kết quả. Theo báo cáo của Composio, </w:t>
      </w:r>
      <w:r>
        <w:rPr>
          <w:b/>
          <w:bCs/>
        </w:rPr>
        <w:t>97% lãnh đạo cho biết đã triển khai AI Agent</w:t>
      </w:r>
      <w:r>
        <w:rPr/>
        <w:t xml:space="preserve">, nhưng chỉ </w:t>
      </w:r>
      <w:r>
        <w:rPr>
          <w:b/>
          <w:bCs/>
        </w:rPr>
        <w:t>khoảng 10–12% thực sự đưa lên production ở quy mô</w:t>
      </w:r>
      <w:r>
        <w:rPr/>
        <w:t>. Dù 67% tổ chức ghi nhận lợi ích đo lường được từ giai đoạn pilot, chỉ 10% mở rộng thành công. Ở tầm chi tiêu, trong năm 2025 các doanh nghiệp toàn cầu chi khoảng 684 tỷ USD cho AI, nhưng hơn 547 tỷ USD trong số đó được cho là chưa tạo ra giá trị như kỳ vọng.</w:t>
      </w:r>
    </w:p>
    <w:p>
      <w:pPr>
        <w:pStyle w:val="Normal"/>
        <w:spacing w:lineRule="auto" w:line="314" w:before="0" w:after="165"/>
        <w:jc w:val="both"/>
        <w:rPr/>
      </w:pPr>
      <w:r>
        <w:rPr/>
        <w:t>Các nguyên nhân thất bại lặp đi lặp lại không nằm ở mô hình, mà ở nền tảng triển khai:</w:t>
      </w:r>
    </w:p>
    <w:p>
      <w:pPr>
        <w:pStyle w:val="ListParagraph"/>
        <w:numPr>
          <w:ilvl w:val="0"/>
          <w:numId w:val="5"/>
        </w:numPr>
        <w:spacing w:lineRule="auto" w:line="302" w:before="0" w:after="98"/>
        <w:jc w:val="both"/>
        <w:rPr/>
      </w:pPr>
      <w:r>
        <w:rPr>
          <w:b/>
          <w:bCs/>
        </w:rPr>
        <w:t>Dữ liệu chưa sẵn sàng:</w:t>
      </w:r>
      <w:r>
        <w:rPr/>
        <w:t xml:space="preserve"> dữ liệu production không đạt chất lượng, tính nhất quán và độ phủ như tập dữ liệu “sạch” dùng khi thử nghiệm.</w:t>
      </w:r>
    </w:p>
    <w:p>
      <w:pPr>
        <w:pStyle w:val="ListParagraph"/>
        <w:numPr>
          <w:ilvl w:val="0"/>
          <w:numId w:val="2"/>
        </w:numPr>
        <w:spacing w:lineRule="auto" w:line="302" w:before="0" w:after="98"/>
        <w:jc w:val="both"/>
        <w:rPr/>
      </w:pPr>
      <w:r>
        <w:rPr>
          <w:b/>
          <w:bCs/>
        </w:rPr>
        <w:t>Hạ tầng tích hợp thiếu hụt:</w:t>
      </w:r>
      <w:r>
        <w:rPr/>
        <w:t xml:space="preserve"> doanh nghiệp đánh giá thấp khối lượng kỹ thuật cần để tác tử hoạt động xuyên suốt hệ thống thực tế.</w:t>
      </w:r>
    </w:p>
    <w:p>
      <w:pPr>
        <w:pStyle w:val="ListParagraph"/>
        <w:numPr>
          <w:ilvl w:val="0"/>
          <w:numId w:val="2"/>
        </w:numPr>
        <w:spacing w:lineRule="auto" w:line="302" w:before="0" w:after="98"/>
        <w:jc w:val="both"/>
        <w:rPr/>
      </w:pPr>
      <w:r>
        <w:rPr>
          <w:b/>
          <w:bCs/>
        </w:rPr>
        <w:t>Khoảng cách quản trị &amp; an ninh:</w:t>
      </w:r>
      <w:r>
        <w:rPr/>
        <w:t xml:space="preserve"> tác tử lên production mà chưa được phê duyệt đầy đủ về bảo mật/CNTT.</w:t>
      </w:r>
    </w:p>
    <w:p>
      <w:pPr>
        <w:pStyle w:val="ListParagraph"/>
        <w:numPr>
          <w:ilvl w:val="0"/>
          <w:numId w:val="2"/>
        </w:numPr>
        <w:spacing w:lineRule="auto" w:line="302" w:before="0" w:after="98"/>
        <w:jc w:val="both"/>
        <w:rPr/>
      </w:pPr>
      <w:r>
        <w:rPr>
          <w:b/>
          <w:bCs/>
        </w:rPr>
        <w:t>Giá trị nghiệp vụ mơ hồ:</w:t>
      </w:r>
      <w:r>
        <w:rPr/>
        <w:t xml:space="preserve"> thiếu KPI rõ ràng khiến không thể chứng minh ROI để duy trì đầu tư.</w:t>
      </w:r>
    </w:p>
    <w:p>
      <w:pPr>
        <w:pStyle w:val="ListParagraph"/>
        <w:numPr>
          <w:ilvl w:val="0"/>
          <w:numId w:val="2"/>
        </w:numPr>
        <w:spacing w:lineRule="auto" w:line="302" w:before="0" w:after="98"/>
        <w:jc w:val="both"/>
        <w:rPr/>
      </w:pPr>
      <w:r>
        <w:rPr>
          <w:b/>
          <w:bCs/>
        </w:rPr>
        <w:t>Hệ thống lõi (legacy) lỗi thời:</w:t>
      </w:r>
      <w:r>
        <w:rPr/>
        <w:t xml:space="preserve"> thiếu API hiện đại, kiến trúc mô</w:t>
        <w:noBreakHyphen/>
        <w:t>đun và quản lý định danh an toàn để tác tử thực thi.</w:t>
      </w:r>
    </w:p>
    <w:p>
      <w:pPr>
        <w:pStyle w:val="Normal"/>
        <w:spacing w:lineRule="auto" w:line="314" w:before="0" w:after="165"/>
        <w:jc w:val="both"/>
        <w:rPr/>
      </w:pPr>
      <w:r>
        <w:rPr/>
        <w:t xml:space="preserve">Chính vì vậy, Gartner dự báo </w:t>
      </w:r>
      <w:r>
        <w:rPr>
          <w:b/>
          <w:bCs/>
        </w:rPr>
        <w:t>hơn 40% dự án agentic AI có nguy cơ bị hủy trước cuối năm 2027</w:t>
      </w:r>
      <w:r>
        <w:rPr/>
        <w:t xml:space="preserve"> do chi phí leo thang, giá trị kinh doanh không rõ ràng hoặc kiểm soát rủi ro chưa đầy đủ.</w:t>
      </w:r>
    </w:p>
    <w:p>
      <w:pPr>
        <w:pStyle w:val="Heading2"/>
        <w:rPr/>
      </w:pPr>
      <w:bookmarkStart w:id="29" w:name="__RefHeading___Toc1231_217012103"/>
      <w:bookmarkEnd w:id="29"/>
      <w:r>
        <w:rPr/>
        <w:t>4.2. Rủi ro an ninh và khoảng trống quản trị</w:t>
      </w:r>
    </w:p>
    <w:p>
      <w:pPr>
        <w:pStyle w:val="Normal"/>
        <w:spacing w:lineRule="auto" w:line="314" w:before="0" w:after="165"/>
        <w:jc w:val="both"/>
        <w:rPr/>
      </w:pPr>
      <w:r>
        <w:rPr/>
        <w:t>Khả năng hành động khiến AI Agent vừa mạnh mẽ vừa nguy hiểm. Vì tác tử diễn giải mục tiêu thay vì tuân theo kịch bản cứng, hành vi của chúng có thể khác nhau giữa các lần chạy — điều tạo nên sức mạnh nhưng cũng là rủi ro khi thiếu quản trị.</w:t>
      </w:r>
    </w:p>
    <w:p>
      <w:pPr>
        <w:pStyle w:val="Normal"/>
        <w:spacing w:before="80" w:after="40"/>
        <w:jc w:val="center"/>
        <w:rPr/>
      </w:pPr>
      <w:r>
        <w:rPr/>
        <w:drawing>
          <wp:inline distT="0" distB="0" distL="0" distR="0">
            <wp:extent cx="5334000" cy="2524125"/>
            <wp:effectExtent l="0" t="0" r="0" b="0"/>
            <wp:docPr id="10" name="governance_gap.png" descr="governance_gap.png&#10;governance_g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governance_gap.png" descr="governance_gap.png&#10;governance_gap.png"/>
                    <pic:cNvPicPr>
                      <a:picLocks noChangeAspect="1" noChangeArrowheads="1"/>
                    </pic:cNvPicPr>
                  </pic:nvPicPr>
                  <pic:blipFill>
                    <a:blip r:embed="rId17"/>
                    <a:stretch>
                      <a:fillRect/>
                    </a:stretch>
                  </pic:blipFill>
                  <pic:spPr bwMode="auto">
                    <a:xfrm>
                      <a:off x="0" y="0"/>
                      <a:ext cx="5334000" cy="2524125"/>
                    </a:xfrm>
                    <a:prstGeom prst="rect">
                      <a:avLst/>
                    </a:prstGeom>
                    <a:noFill/>
                  </pic:spPr>
                </pic:pic>
              </a:graphicData>
            </a:graphic>
          </wp:inline>
        </w:drawing>
      </w:r>
    </w:p>
    <w:p>
      <w:pPr>
        <w:pStyle w:val="Normal"/>
        <w:spacing w:before="0" w:after="200"/>
        <w:jc w:val="center"/>
        <w:rPr/>
      </w:pPr>
      <w:r>
        <w:rPr>
          <w:b/>
          <w:bCs/>
          <w:i/>
          <w:iCs/>
          <w:color w:val="5B6675"/>
          <w:sz w:val="18"/>
          <w:szCs w:val="18"/>
        </w:rPr>
        <w:t xml:space="preserve">Hình 9. </w:t>
      </w:r>
      <w:r>
        <w:rPr>
          <w:i/>
          <w:iCs/>
          <w:color w:val="5B6675"/>
          <w:sz w:val="18"/>
          <w:szCs w:val="18"/>
        </w:rPr>
        <w:t>Khoảng trống quản trị và an toàn AI Agent qua các chỉ số khảo sát 2025–2026.</w:t>
      </w:r>
    </w:p>
    <w:p>
      <w:pPr>
        <w:pStyle w:val="Normal"/>
        <w:spacing w:lineRule="auto" w:line="314" w:before="0" w:after="165"/>
        <w:jc w:val="both"/>
        <w:rPr/>
      </w:pPr>
      <w:r>
        <w:rPr/>
        <w:t xml:space="preserve">Các khảo sát an ninh cho thấy bức tranh đáng lưu ý: </w:t>
      </w:r>
      <w:r>
        <w:rPr>
          <w:b/>
          <w:bCs/>
        </w:rPr>
        <w:t>80% tổ chức từng gặp hành vi rủi ro</w:t>
      </w:r>
      <w:r>
        <w:rPr/>
        <w:t xml:space="preserve"> từ AI Agent; chỉ </w:t>
      </w:r>
      <w:r>
        <w:rPr>
          <w:b/>
          <w:bCs/>
        </w:rPr>
        <w:t>18% lãnh đạo an ninh tự tin</w:t>
      </w:r>
      <w:r>
        <w:rPr/>
        <w:t xml:space="preserve"> hệ thống quản lý định danh hiện tại có thể xử lý được “danh tính” của tác tử; và chỉ khoảng </w:t>
      </w:r>
      <w:r>
        <w:rPr>
          <w:b/>
          <w:bCs/>
        </w:rPr>
        <w:t>21% tổ chức có mô hình quản trị agentic AI trưởng thành</w:t>
      </w:r>
      <w:r>
        <w:rPr/>
        <w:t>. Đáng lo hơn, một tỷ lệ đáng kể tổ chức vẫn dùng thông tin xác thực mã hóa cứng, thậm chí 7,1% không dùng xác thực nào cho các kết nối công cụ của tác tử.</w:t>
      </w:r>
    </w:p>
    <w:p>
      <w:pPr>
        <w:pStyle w:val="Normal"/>
        <w:spacing w:lineRule="auto" w:line="314" w:before="0" w:after="165"/>
        <w:jc w:val="both"/>
        <w:rPr/>
      </w:pPr>
      <w:r>
        <w:rPr/>
        <w:t>Các nhóm rủi ro chính cần được Ban Lãnh đạo nhận diện gồm:</w:t>
      </w:r>
    </w:p>
    <w:p>
      <w:pPr>
        <w:pStyle w:val="ListParagraph"/>
        <w:numPr>
          <w:ilvl w:val="0"/>
          <w:numId w:val="1"/>
        </w:numPr>
        <w:spacing w:lineRule="auto" w:line="302" w:before="0" w:after="98"/>
        <w:jc w:val="both"/>
        <w:rPr/>
      </w:pPr>
      <w:r>
        <w:rPr>
          <w:b/>
          <w:bCs/>
        </w:rPr>
        <w:t>Định danh &amp; phân quyền:</w:t>
      </w:r>
      <w:r>
        <w:rPr/>
        <w:t xml:space="preserve"> “tác tử bóng” (shadow agents), trôi dạt đặc quyền, chuỗi ủy quyền bị phá vỡ.</w:t>
      </w:r>
    </w:p>
    <w:p>
      <w:pPr>
        <w:pStyle w:val="ListParagraph"/>
        <w:numPr>
          <w:ilvl w:val="0"/>
          <w:numId w:val="1"/>
        </w:numPr>
        <w:spacing w:lineRule="auto" w:line="302" w:before="0" w:after="98"/>
        <w:jc w:val="both"/>
        <w:rPr/>
      </w:pPr>
      <w:r>
        <w:rPr>
          <w:b/>
          <w:bCs/>
        </w:rPr>
        <w:t>Mở rộng bề mặt tấn công:</w:t>
      </w:r>
      <w:r>
        <w:rPr/>
        <w:t xml:space="preserve"> mỗi công cụ/API mà tác tử kết nối là một điểm phơi nhiễm mới.</w:t>
      </w:r>
    </w:p>
    <w:p>
      <w:pPr>
        <w:pStyle w:val="ListParagraph"/>
        <w:numPr>
          <w:ilvl w:val="0"/>
          <w:numId w:val="1"/>
        </w:numPr>
        <w:spacing w:lineRule="auto" w:line="302" w:before="0" w:after="98"/>
        <w:jc w:val="both"/>
        <w:rPr/>
      </w:pPr>
      <w:r>
        <w:rPr>
          <w:b/>
          <w:bCs/>
        </w:rPr>
        <w:t>Hành vi ngoài dự kiến:</w:t>
      </w:r>
      <w:r>
        <w:rPr/>
        <w:t xml:space="preserve"> tác tử hành động sai mục tiêu hoặc bị thao túng qua đầu vào độc hại (prompt injection).</w:t>
      </w:r>
    </w:p>
    <w:p>
      <w:pPr>
        <w:pStyle w:val="ListParagraph"/>
        <w:numPr>
          <w:ilvl w:val="0"/>
          <w:numId w:val="1"/>
        </w:numPr>
        <w:spacing w:lineRule="auto" w:line="302" w:before="0" w:after="98"/>
        <w:jc w:val="both"/>
        <w:rPr/>
      </w:pPr>
      <w:r>
        <w:rPr>
          <w:b/>
          <w:bCs/>
        </w:rPr>
        <w:t>Tuân thủ &amp; trách nhiệm giải trình:</w:t>
      </w:r>
      <w:r>
        <w:rPr/>
        <w:t xml:space="preserve"> khó chứng minh quyền kiểm soát đối với các quyết định tự động trước cơ quan quản lý.</w:t>
      </w:r>
    </w:p>
    <w:p>
      <w:pPr>
        <w:pStyle w:val="Heading2"/>
        <w:rPr/>
      </w:pPr>
      <w:bookmarkStart w:id="30" w:name="__RefHeading___Toc1233_217012103"/>
      <w:bookmarkEnd w:id="30"/>
      <w:r>
        <w:rPr/>
        <w:t>4.3. Khung triển khai thành công</w:t>
      </w:r>
    </w:p>
    <w:p>
      <w:pPr>
        <w:pStyle w:val="Normal"/>
        <w:spacing w:lineRule="auto" w:line="314" w:before="0" w:after="165"/>
        <w:jc w:val="both"/>
        <w:rPr/>
      </w:pPr>
      <w:r>
        <w:rPr/>
        <w:t>Khoảng cách giữa pilot và production là vấn đề mang tính cấu trúc, không phải kỹ thuật thuần túy. Các doanh nghiệp thành công thường tuân thủ một khung bốn trụ cột:</w:t>
      </w:r>
    </w:p>
    <w:tbl>
      <w:tblPr>
        <w:tblW w:w="9360" w:type="dxa"/>
        <w:jc w:val="left"/>
        <w:tblInd w:w="111" w:type="dxa"/>
        <w:tblLayout w:type="fixed"/>
        <w:tblCellMar>
          <w:top w:w="70" w:type="dxa"/>
          <w:left w:w="110" w:type="dxa"/>
          <w:bottom w:w="70" w:type="dxa"/>
          <w:right w:w="110" w:type="dxa"/>
        </w:tblCellMar>
      </w:tblPr>
      <w:tblGrid>
        <w:gridCol w:w="1900"/>
        <w:gridCol w:w="3759"/>
        <w:gridCol w:w="3701"/>
      </w:tblGrid>
      <w:tr>
        <w:trPr>
          <w:tblHeader w:val="true"/>
        </w:trPr>
        <w:tc>
          <w:tcPr>
            <w:tcW w:w="1900" w:type="dxa"/>
            <w:tcBorders>
              <w:top w:val="single" w:sz="2" w:space="0" w:color="C9D6E5"/>
              <w:left w:val="single" w:sz="2" w:space="0" w:color="C9D6E5"/>
              <w:bottom w:val="single" w:sz="2" w:space="0" w:color="C9D6E5"/>
              <w:right w:val="single" w:sz="2" w:space="0" w:color="C9D6E5"/>
            </w:tcBorders>
            <w:shd w:fill="0F2440" w:val="clear"/>
            <w:vAlign w:val="center"/>
          </w:tcPr>
          <w:p>
            <w:pPr>
              <w:pStyle w:val="Normal"/>
              <w:rPr/>
            </w:pPr>
            <w:r>
              <w:rPr>
                <w:b/>
                <w:bCs/>
                <w:color w:val="FFFFFF"/>
                <w:sz w:val="21"/>
                <w:szCs w:val="21"/>
              </w:rPr>
              <w:t>Trụ cột</w:t>
            </w:r>
          </w:p>
        </w:tc>
        <w:tc>
          <w:tcPr>
            <w:tcW w:w="3759" w:type="dxa"/>
            <w:tcBorders>
              <w:top w:val="single" w:sz="2" w:space="0" w:color="C9D6E5"/>
              <w:left w:val="single" w:sz="2" w:space="0" w:color="C9D6E5"/>
              <w:bottom w:val="single" w:sz="2" w:space="0" w:color="C9D6E5"/>
              <w:right w:val="single" w:sz="2" w:space="0" w:color="C9D6E5"/>
            </w:tcBorders>
            <w:shd w:fill="0F2440" w:val="clear"/>
            <w:vAlign w:val="center"/>
          </w:tcPr>
          <w:p>
            <w:pPr>
              <w:pStyle w:val="Normal"/>
              <w:rPr/>
            </w:pPr>
            <w:r>
              <w:rPr>
                <w:b/>
                <w:bCs/>
                <w:color w:val="FFFFFF"/>
                <w:sz w:val="21"/>
                <w:szCs w:val="21"/>
              </w:rPr>
              <w:t>Nội dung cốt lõi</w:t>
            </w:r>
          </w:p>
        </w:tc>
        <w:tc>
          <w:tcPr>
            <w:tcW w:w="3701" w:type="dxa"/>
            <w:tcBorders>
              <w:top w:val="single" w:sz="2" w:space="0" w:color="C9D6E5"/>
              <w:left w:val="single" w:sz="2" w:space="0" w:color="C9D6E5"/>
              <w:bottom w:val="single" w:sz="2" w:space="0" w:color="C9D6E5"/>
              <w:right w:val="single" w:sz="2" w:space="0" w:color="C9D6E5"/>
            </w:tcBorders>
            <w:shd w:fill="0F2440" w:val="clear"/>
            <w:vAlign w:val="center"/>
          </w:tcPr>
          <w:p>
            <w:pPr>
              <w:pStyle w:val="Normal"/>
              <w:rPr/>
            </w:pPr>
            <w:r>
              <w:rPr>
                <w:b/>
                <w:bCs/>
                <w:color w:val="FFFFFF"/>
                <w:sz w:val="21"/>
                <w:szCs w:val="21"/>
              </w:rPr>
              <w:t>Câu hỏi kiểm chứng cho lãnh đạo</w:t>
            </w:r>
          </w:p>
        </w:tc>
      </w:tr>
      <w:tr>
        <w:trPr/>
        <w:tc>
          <w:tcPr>
            <w:tcW w:w="1900" w:type="dxa"/>
            <w:tcBorders>
              <w:top w:val="single" w:sz="2" w:space="0" w:color="C9D6E5"/>
              <w:left w:val="single" w:sz="2" w:space="0" w:color="C9D6E5"/>
              <w:bottom w:val="single" w:sz="2" w:space="0" w:color="C9D6E5"/>
              <w:right w:val="single" w:sz="2" w:space="0" w:color="C9D6E5"/>
            </w:tcBorders>
            <w:shd w:fill="FFFFFF" w:val="clear"/>
            <w:tcMar>
              <w:top w:w="60" w:type="dxa"/>
              <w:bottom w:w="60" w:type="dxa"/>
            </w:tcMar>
            <w:vAlign w:val="center"/>
          </w:tcPr>
          <w:p>
            <w:pPr>
              <w:pStyle w:val="Normal"/>
              <w:spacing w:lineRule="auto" w:line="271"/>
              <w:rPr/>
            </w:pPr>
            <w:r>
              <w:rPr>
                <w:sz w:val="21"/>
                <w:szCs w:val="21"/>
              </w:rPr>
              <w:t>Bài toán &amp; giá trị</w:t>
            </w:r>
          </w:p>
        </w:tc>
        <w:tc>
          <w:tcPr>
            <w:tcW w:w="3759" w:type="dxa"/>
            <w:tcBorders>
              <w:top w:val="single" w:sz="2" w:space="0" w:color="C9D6E5"/>
              <w:left w:val="single" w:sz="2" w:space="0" w:color="C9D6E5"/>
              <w:bottom w:val="single" w:sz="2" w:space="0" w:color="C9D6E5"/>
              <w:right w:val="single" w:sz="2" w:space="0" w:color="C9D6E5"/>
            </w:tcBorders>
            <w:shd w:fill="FFFFFF" w:val="clear"/>
            <w:tcMar>
              <w:top w:w="60" w:type="dxa"/>
              <w:bottom w:w="60" w:type="dxa"/>
            </w:tcMar>
            <w:vAlign w:val="center"/>
          </w:tcPr>
          <w:p>
            <w:pPr>
              <w:pStyle w:val="Normal"/>
              <w:spacing w:lineRule="auto" w:line="271"/>
              <w:rPr/>
            </w:pPr>
            <w:r>
              <w:rPr>
                <w:sz w:val="21"/>
                <w:szCs w:val="21"/>
              </w:rPr>
              <w:t>Chọn use case có giá trị rõ ràng, KPI đo lường được</w:t>
            </w:r>
          </w:p>
        </w:tc>
        <w:tc>
          <w:tcPr>
            <w:tcW w:w="3701" w:type="dxa"/>
            <w:tcBorders>
              <w:top w:val="single" w:sz="2" w:space="0" w:color="C9D6E5"/>
              <w:left w:val="single" w:sz="2" w:space="0" w:color="C9D6E5"/>
              <w:bottom w:val="single" w:sz="2" w:space="0" w:color="C9D6E5"/>
              <w:right w:val="single" w:sz="2" w:space="0" w:color="C9D6E5"/>
            </w:tcBorders>
            <w:shd w:fill="FFFFFF" w:val="clear"/>
            <w:tcMar>
              <w:top w:w="60" w:type="dxa"/>
              <w:bottom w:w="60" w:type="dxa"/>
            </w:tcMar>
            <w:vAlign w:val="center"/>
          </w:tcPr>
          <w:p>
            <w:pPr>
              <w:pStyle w:val="Normal"/>
              <w:spacing w:lineRule="auto" w:line="271"/>
              <w:rPr/>
            </w:pPr>
            <w:r>
              <w:rPr>
                <w:sz w:val="21"/>
                <w:szCs w:val="21"/>
              </w:rPr>
              <w:t>Thành công trông như thế nào sau 90 ngày?</w:t>
            </w:r>
          </w:p>
        </w:tc>
      </w:tr>
      <w:tr>
        <w:trPr/>
        <w:tc>
          <w:tcPr>
            <w:tcW w:w="1900" w:type="dxa"/>
            <w:tcBorders>
              <w:top w:val="single" w:sz="2" w:space="0" w:color="C9D6E5"/>
              <w:left w:val="single" w:sz="2" w:space="0" w:color="C9D6E5"/>
              <w:bottom w:val="single" w:sz="2" w:space="0" w:color="C9D6E5"/>
              <w:right w:val="single" w:sz="2" w:space="0" w:color="C9D6E5"/>
            </w:tcBorders>
            <w:shd w:fill="F4F7FB" w:val="clear"/>
            <w:tcMar>
              <w:top w:w="60" w:type="dxa"/>
              <w:bottom w:w="60" w:type="dxa"/>
            </w:tcMar>
            <w:vAlign w:val="center"/>
          </w:tcPr>
          <w:p>
            <w:pPr>
              <w:pStyle w:val="Normal"/>
              <w:spacing w:lineRule="auto" w:line="271"/>
              <w:rPr/>
            </w:pPr>
            <w:r>
              <w:rPr>
                <w:sz w:val="21"/>
                <w:szCs w:val="21"/>
              </w:rPr>
              <w:t>Nền tảng dữ liệu</w:t>
            </w:r>
          </w:p>
        </w:tc>
        <w:tc>
          <w:tcPr>
            <w:tcW w:w="3759" w:type="dxa"/>
            <w:tcBorders>
              <w:top w:val="single" w:sz="2" w:space="0" w:color="C9D6E5"/>
              <w:left w:val="single" w:sz="2" w:space="0" w:color="C9D6E5"/>
              <w:bottom w:val="single" w:sz="2" w:space="0" w:color="C9D6E5"/>
              <w:right w:val="single" w:sz="2" w:space="0" w:color="C9D6E5"/>
            </w:tcBorders>
            <w:shd w:fill="F4F7FB" w:val="clear"/>
            <w:tcMar>
              <w:top w:w="60" w:type="dxa"/>
              <w:bottom w:w="60" w:type="dxa"/>
            </w:tcMar>
            <w:vAlign w:val="center"/>
          </w:tcPr>
          <w:p>
            <w:pPr>
              <w:pStyle w:val="Normal"/>
              <w:spacing w:lineRule="auto" w:line="271"/>
              <w:rPr/>
            </w:pPr>
            <w:r>
              <w:rPr>
                <w:sz w:val="21"/>
                <w:szCs w:val="21"/>
              </w:rPr>
              <w:t>Dữ liệu sạch, kết nối, thời gian thực</w:t>
            </w:r>
          </w:p>
        </w:tc>
        <w:tc>
          <w:tcPr>
            <w:tcW w:w="3701" w:type="dxa"/>
            <w:tcBorders>
              <w:top w:val="single" w:sz="2" w:space="0" w:color="C9D6E5"/>
              <w:left w:val="single" w:sz="2" w:space="0" w:color="C9D6E5"/>
              <w:bottom w:val="single" w:sz="2" w:space="0" w:color="C9D6E5"/>
              <w:right w:val="single" w:sz="2" w:space="0" w:color="C9D6E5"/>
            </w:tcBorders>
            <w:shd w:fill="F4F7FB" w:val="clear"/>
            <w:tcMar>
              <w:top w:w="60" w:type="dxa"/>
              <w:bottom w:w="60" w:type="dxa"/>
            </w:tcMar>
            <w:vAlign w:val="center"/>
          </w:tcPr>
          <w:p>
            <w:pPr>
              <w:pStyle w:val="Normal"/>
              <w:spacing w:lineRule="auto" w:line="271"/>
              <w:rPr/>
            </w:pPr>
            <w:r>
              <w:rPr>
                <w:sz w:val="21"/>
                <w:szCs w:val="21"/>
              </w:rPr>
              <w:t>Tác tử có truy cập được dữ liệu đúng và đáng tin?</w:t>
            </w:r>
          </w:p>
        </w:tc>
      </w:tr>
      <w:tr>
        <w:trPr/>
        <w:tc>
          <w:tcPr>
            <w:tcW w:w="1900" w:type="dxa"/>
            <w:tcBorders>
              <w:top w:val="single" w:sz="2" w:space="0" w:color="C9D6E5"/>
              <w:left w:val="single" w:sz="2" w:space="0" w:color="C9D6E5"/>
              <w:bottom w:val="single" w:sz="2" w:space="0" w:color="C9D6E5"/>
              <w:right w:val="single" w:sz="2" w:space="0" w:color="C9D6E5"/>
            </w:tcBorders>
            <w:shd w:fill="FFFFFF" w:val="clear"/>
            <w:tcMar>
              <w:top w:w="60" w:type="dxa"/>
              <w:bottom w:w="60" w:type="dxa"/>
            </w:tcMar>
            <w:vAlign w:val="center"/>
          </w:tcPr>
          <w:p>
            <w:pPr>
              <w:pStyle w:val="Normal"/>
              <w:spacing w:lineRule="auto" w:line="271"/>
              <w:rPr/>
            </w:pPr>
            <w:r>
              <w:rPr>
                <w:sz w:val="21"/>
                <w:szCs w:val="21"/>
              </w:rPr>
              <w:t>Quản trị &amp; an toàn</w:t>
            </w:r>
          </w:p>
        </w:tc>
        <w:tc>
          <w:tcPr>
            <w:tcW w:w="3759" w:type="dxa"/>
            <w:tcBorders>
              <w:top w:val="single" w:sz="2" w:space="0" w:color="C9D6E5"/>
              <w:left w:val="single" w:sz="2" w:space="0" w:color="C9D6E5"/>
              <w:bottom w:val="single" w:sz="2" w:space="0" w:color="C9D6E5"/>
              <w:right w:val="single" w:sz="2" w:space="0" w:color="C9D6E5"/>
            </w:tcBorders>
            <w:shd w:fill="FFFFFF" w:val="clear"/>
            <w:tcMar>
              <w:top w:w="60" w:type="dxa"/>
              <w:bottom w:w="60" w:type="dxa"/>
            </w:tcMar>
            <w:vAlign w:val="center"/>
          </w:tcPr>
          <w:p>
            <w:pPr>
              <w:pStyle w:val="Normal"/>
              <w:spacing w:lineRule="auto" w:line="271"/>
              <w:rPr/>
            </w:pPr>
            <w:r>
              <w:rPr>
                <w:sz w:val="21"/>
                <w:szCs w:val="21"/>
              </w:rPr>
              <w:t>Định danh, phân quyền, human</w:t>
              <w:noBreakHyphen/>
              <w:t>in</w:t>
              <w:noBreakHyphen/>
              <w:t>the</w:t>
              <w:noBreakHyphen/>
              <w:t>loop, kiểm toán</w:t>
            </w:r>
          </w:p>
        </w:tc>
        <w:tc>
          <w:tcPr>
            <w:tcW w:w="3701" w:type="dxa"/>
            <w:tcBorders>
              <w:top w:val="single" w:sz="2" w:space="0" w:color="C9D6E5"/>
              <w:left w:val="single" w:sz="2" w:space="0" w:color="C9D6E5"/>
              <w:bottom w:val="single" w:sz="2" w:space="0" w:color="C9D6E5"/>
              <w:right w:val="single" w:sz="2" w:space="0" w:color="C9D6E5"/>
            </w:tcBorders>
            <w:shd w:fill="FFFFFF" w:val="clear"/>
            <w:tcMar>
              <w:top w:w="60" w:type="dxa"/>
              <w:bottom w:w="60" w:type="dxa"/>
            </w:tcMar>
            <w:vAlign w:val="center"/>
          </w:tcPr>
          <w:p>
            <w:pPr>
              <w:pStyle w:val="Normal"/>
              <w:spacing w:lineRule="auto" w:line="271"/>
              <w:rPr/>
            </w:pPr>
            <w:r>
              <w:rPr>
                <w:sz w:val="21"/>
                <w:szCs w:val="21"/>
              </w:rPr>
              <w:t>Ai chịu trách nhiệm khi tác tử hành động sai?</w:t>
            </w:r>
          </w:p>
        </w:tc>
      </w:tr>
      <w:tr>
        <w:trPr/>
        <w:tc>
          <w:tcPr>
            <w:tcW w:w="1900" w:type="dxa"/>
            <w:tcBorders>
              <w:top w:val="single" w:sz="2" w:space="0" w:color="C9D6E5"/>
              <w:left w:val="single" w:sz="2" w:space="0" w:color="C9D6E5"/>
              <w:bottom w:val="single" w:sz="2" w:space="0" w:color="C9D6E5"/>
              <w:right w:val="single" w:sz="2" w:space="0" w:color="C9D6E5"/>
            </w:tcBorders>
            <w:shd w:fill="F4F7FB" w:val="clear"/>
            <w:tcMar>
              <w:top w:w="60" w:type="dxa"/>
              <w:bottom w:w="60" w:type="dxa"/>
            </w:tcMar>
            <w:vAlign w:val="center"/>
          </w:tcPr>
          <w:p>
            <w:pPr>
              <w:pStyle w:val="Normal"/>
              <w:spacing w:lineRule="auto" w:line="271"/>
              <w:rPr/>
            </w:pPr>
            <w:r>
              <w:rPr>
                <w:sz w:val="21"/>
                <w:szCs w:val="21"/>
              </w:rPr>
              <w:t>Con người &amp; quy trình</w:t>
            </w:r>
          </w:p>
        </w:tc>
        <w:tc>
          <w:tcPr>
            <w:tcW w:w="3759" w:type="dxa"/>
            <w:tcBorders>
              <w:top w:val="single" w:sz="2" w:space="0" w:color="C9D6E5"/>
              <w:left w:val="single" w:sz="2" w:space="0" w:color="C9D6E5"/>
              <w:bottom w:val="single" w:sz="2" w:space="0" w:color="C9D6E5"/>
              <w:right w:val="single" w:sz="2" w:space="0" w:color="C9D6E5"/>
            </w:tcBorders>
            <w:shd w:fill="F4F7FB" w:val="clear"/>
            <w:tcMar>
              <w:top w:w="60" w:type="dxa"/>
              <w:bottom w:w="60" w:type="dxa"/>
            </w:tcMar>
            <w:vAlign w:val="center"/>
          </w:tcPr>
          <w:p>
            <w:pPr>
              <w:pStyle w:val="Normal"/>
              <w:spacing w:lineRule="auto" w:line="271"/>
              <w:rPr/>
            </w:pPr>
            <w:r>
              <w:rPr>
                <w:sz w:val="21"/>
                <w:szCs w:val="21"/>
              </w:rPr>
              <w:t>Đào tạo, tái thiết kế quy trình, quản trị thay đổi</w:t>
            </w:r>
          </w:p>
        </w:tc>
        <w:tc>
          <w:tcPr>
            <w:tcW w:w="3701" w:type="dxa"/>
            <w:tcBorders>
              <w:top w:val="single" w:sz="2" w:space="0" w:color="C9D6E5"/>
              <w:left w:val="single" w:sz="2" w:space="0" w:color="C9D6E5"/>
              <w:bottom w:val="single" w:sz="2" w:space="0" w:color="C9D6E5"/>
              <w:right w:val="single" w:sz="2" w:space="0" w:color="C9D6E5"/>
            </w:tcBorders>
            <w:shd w:fill="F4F7FB" w:val="clear"/>
            <w:tcMar>
              <w:top w:w="60" w:type="dxa"/>
              <w:bottom w:w="60" w:type="dxa"/>
            </w:tcMar>
            <w:vAlign w:val="center"/>
          </w:tcPr>
          <w:p>
            <w:pPr>
              <w:pStyle w:val="Normal"/>
              <w:spacing w:lineRule="auto" w:line="271"/>
              <w:rPr/>
            </w:pPr>
            <w:r>
              <w:rPr>
                <w:sz w:val="21"/>
                <w:szCs w:val="21"/>
              </w:rPr>
              <w:t>Nhân viên có được trang bị để cộng tác với tác tử?</w:t>
            </w:r>
          </w:p>
        </w:tc>
      </w:tr>
    </w:tbl>
    <w:p>
      <w:pPr>
        <w:pStyle w:val="Normal"/>
        <w:spacing w:before="0" w:after="40"/>
        <w:rPr/>
      </w:pPr>
      <w:r>
        <w:rPr/>
      </w:r>
    </w:p>
    <w:tbl>
      <w:tblPr>
        <w:tblW w:w="9360" w:type="dxa"/>
        <w:jc w:val="left"/>
        <w:tblInd w:w="255" w:type="dxa"/>
        <w:tblLayout w:type="fixed"/>
        <w:tblCellMar>
          <w:top w:w="140" w:type="dxa"/>
          <w:left w:w="220" w:type="dxa"/>
          <w:bottom w:w="140" w:type="dxa"/>
          <w:right w:w="200" w:type="dxa"/>
        </w:tblCellMar>
      </w:tblPr>
      <w:tblGrid>
        <w:gridCol w:w="9360"/>
      </w:tblGrid>
      <w:tr>
        <w:trPr/>
        <w:tc>
          <w:tcPr>
            <w:tcW w:w="9360" w:type="dxa"/>
            <w:tcBorders>
              <w:top w:val="single" w:sz="2" w:space="0" w:color="FBF1DD"/>
              <w:left w:val="single" w:sz="28" w:space="0" w:color="E0890F"/>
              <w:bottom w:val="single" w:sz="2" w:space="0" w:color="FBF1DD"/>
              <w:right w:val="single" w:sz="2" w:space="0" w:color="FBF1DD"/>
            </w:tcBorders>
            <w:shd w:fill="FBF1DD" w:val="clear"/>
          </w:tcPr>
          <w:p>
            <w:pPr>
              <w:pStyle w:val="Normal"/>
              <w:spacing w:before="0" w:after="60"/>
              <w:rPr/>
            </w:pPr>
            <w:r>
              <w:rPr>
                <w:b/>
                <w:bCs/>
                <w:color w:val="E0890F"/>
                <w:sz w:val="23"/>
                <w:szCs w:val="23"/>
              </w:rPr>
              <w:t>Nguyên tắc vàng</w:t>
            </w:r>
          </w:p>
          <w:p>
            <w:pPr>
              <w:pStyle w:val="Normal"/>
              <w:spacing w:lineRule="auto" w:line="281" w:before="0" w:after="0"/>
              <w:rPr/>
            </w:pPr>
            <w:r>
              <w:rPr>
                <w:b/>
                <w:bCs/>
                <w:sz w:val="22"/>
                <w:szCs w:val="22"/>
              </w:rPr>
              <w:t>Bắt đầu hẹp, quản trị chặt, mở rộng nhanh.</w:t>
            </w:r>
            <w:r>
              <w:rPr>
                <w:sz w:val="22"/>
                <w:szCs w:val="22"/>
              </w:rPr>
              <w:t xml:space="preserve"> Triển khai một use case có giá trị cao với hàng rào an toàn rõ ràng, chứng minh ROI, rồi nhân rộng theo mẫu hình đã kiểm chứng — thay vì triển khai dàn trải nhiều thử nghiệm rời rạc không bao giờ lên production.</w:t>
            </w:r>
          </w:p>
        </w:tc>
      </w:tr>
    </w:tbl>
    <w:p>
      <w:pPr>
        <w:pStyle w:val="Heading2"/>
        <w:rPr/>
      </w:pPr>
      <w:bookmarkStart w:id="31" w:name="__RefHeading___Toc1235_217012103"/>
      <w:bookmarkEnd w:id="31"/>
      <w:r>
        <w:rPr/>
        <w:t>4.4. Đạo đức, tuân thủ và AI có trách nhiệm</w:t>
      </w:r>
    </w:p>
    <w:p>
      <w:pPr>
        <w:pStyle w:val="Normal"/>
        <w:spacing w:lineRule="auto" w:line="314" w:before="0" w:after="165"/>
        <w:jc w:val="both"/>
        <w:rPr/>
      </w:pPr>
      <w:r>
        <w:rPr/>
        <w:t>Khi tác tử tự ra quyết định ảnh hưởng tới khách hàng và nhân viên, các vấn đề đạo đức và pháp lý trở nên trọng yếu. Ban Lãnh đạo cần chủ động trên bốn phương diện:</w:t>
      </w:r>
    </w:p>
    <w:p>
      <w:pPr>
        <w:pStyle w:val="ListParagraph"/>
        <w:numPr>
          <w:ilvl w:val="0"/>
          <w:numId w:val="1"/>
        </w:numPr>
        <w:spacing w:lineRule="auto" w:line="302" w:before="0" w:after="98"/>
        <w:jc w:val="both"/>
        <w:rPr/>
      </w:pPr>
      <w:r>
        <w:rPr>
          <w:b/>
          <w:bCs/>
        </w:rPr>
        <w:t>Thiên lệch &amp; công bằng:</w:t>
      </w:r>
      <w:r>
        <w:rPr/>
        <w:t xml:space="preserve"> bảo đảm tác tử không khuếch đại định kiến trong các quyết định như tín dụng, tuyển dụng hay định giá.</w:t>
      </w:r>
    </w:p>
    <w:p>
      <w:pPr>
        <w:pStyle w:val="ListParagraph"/>
        <w:numPr>
          <w:ilvl w:val="0"/>
          <w:numId w:val="1"/>
        </w:numPr>
        <w:spacing w:lineRule="auto" w:line="302" w:before="0" w:after="98"/>
        <w:jc w:val="both"/>
        <w:rPr/>
      </w:pPr>
      <w:r>
        <w:rPr>
          <w:b/>
          <w:bCs/>
        </w:rPr>
        <w:t>Minh bạch &amp; giải trình:</w:t>
      </w:r>
      <w:r>
        <w:rPr/>
        <w:t xml:space="preserve"> ghi lại lý do và dấu vết hành động của tác tử để có thể giải thích và kiểm toán khi cần.</w:t>
      </w:r>
    </w:p>
    <w:p>
      <w:pPr>
        <w:pStyle w:val="ListParagraph"/>
        <w:numPr>
          <w:ilvl w:val="0"/>
          <w:numId w:val="1"/>
        </w:numPr>
        <w:spacing w:lineRule="auto" w:line="302" w:before="0" w:after="98"/>
        <w:jc w:val="both"/>
        <w:rPr/>
      </w:pPr>
      <w:r>
        <w:rPr>
          <w:b/>
          <w:bCs/>
        </w:rPr>
        <w:t>Quyền riêng tư &amp; dữ liệu:</w:t>
      </w:r>
      <w:r>
        <w:rPr/>
        <w:t xml:space="preserve"> kiểm soát chặt dữ liệu mà tác tử được phép truy cập và xử lý, tuân thủ quy định bảo vệ dữ liệu.</w:t>
      </w:r>
    </w:p>
    <w:p>
      <w:pPr>
        <w:pStyle w:val="ListParagraph"/>
        <w:numPr>
          <w:ilvl w:val="0"/>
          <w:numId w:val="1"/>
        </w:numPr>
        <w:spacing w:lineRule="auto" w:line="302" w:before="0" w:after="98"/>
        <w:jc w:val="both"/>
        <w:rPr/>
      </w:pPr>
      <w:r>
        <w:rPr>
          <w:b/>
          <w:bCs/>
        </w:rPr>
        <w:t>Trách nhiệm &amp; tuân thủ pháp lý:</w:t>
      </w:r>
      <w:r>
        <w:rPr/>
        <w:t xml:space="preserve"> xác định rõ ai chịu trách nhiệm cho hành động của tác tử; chuẩn bị tuân thủ các khung pháp lý đang hình thành như EU AI Act và Luật Trí tuệ nhân tạo của Việt Nam (hiệu lực 01/3/2026).</w:t>
      </w:r>
    </w:p>
    <w:p>
      <w:pPr>
        <w:pStyle w:val="Normal"/>
        <w:spacing w:lineRule="auto" w:line="314" w:before="0" w:after="165"/>
        <w:jc w:val="both"/>
        <w:rPr/>
      </w:pPr>
      <w:r>
        <w:rPr/>
        <w:t>AI có trách nhiệm không phải rào cản tốc độ, mà là điều kiện để mở rộng bền vững. Các doanh nghiệp xem quản trị là “tính năng nền tảng” thường triển khai nhanh hơn và an toàn hơn về dài hạn.</w:t>
      </w:r>
    </w:p>
    <w:p>
      <w:pPr>
        <w:pStyle w:val="Heading1"/>
        <w:rPr/>
      </w:pPr>
      <w:bookmarkStart w:id="32" w:name="__RefHeading___Toc1237_217012103"/>
      <w:bookmarkEnd w:id="32"/>
      <w:r>
        <w:rPr/>
        <w:t>Phần 5 — Dự báo tiến hóa AI Agent 2026–2029</w:t>
      </w:r>
    </w:p>
    <w:p>
      <w:pPr>
        <w:pStyle w:val="Normal"/>
        <w:spacing w:lineRule="auto" w:line="319" w:before="0" w:after="185"/>
        <w:jc w:val="both"/>
        <w:rPr/>
      </w:pPr>
      <w:r>
        <w:rPr>
          <w:color w:val="16233B"/>
          <w:sz w:val="25"/>
          <w:szCs w:val="25"/>
        </w:rPr>
        <w:t>Ba năm tới, AI Agent sẽ tiến hóa từ những trợ lý đơn lẻ thành các mạng lưới tác tử phối hợp, định hình lại cách con người làm việc, cách phần mềm được sử dụng và cách doanh nghiệp giao dịch với nhau.</w:t>
      </w:r>
    </w:p>
    <w:p>
      <w:pPr>
        <w:pStyle w:val="Heading2"/>
        <w:rPr/>
      </w:pPr>
      <w:bookmarkStart w:id="33" w:name="__RefHeading___Toc1239_217012103"/>
      <w:bookmarkEnd w:id="33"/>
      <w:r>
        <w:rPr/>
        <w:t>5.1. Lộ trình ba năm theo dự báo của Gartner</w:t>
      </w:r>
    </w:p>
    <w:p>
      <w:pPr>
        <w:pStyle w:val="Normal"/>
        <w:spacing w:before="80" w:after="40"/>
        <w:jc w:val="center"/>
        <w:rPr/>
      </w:pPr>
      <w:r>
        <w:rPr/>
        <w:drawing>
          <wp:inline distT="0" distB="0" distL="0" distR="0">
            <wp:extent cx="5715000" cy="2962275"/>
            <wp:effectExtent l="0" t="0" r="0" b="0"/>
            <wp:docPr id="11" name="roadmap_3yr.png" descr="roadmap_3yr.png&#10;roadmap_3y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roadmap_3yr.png" descr="roadmap_3yr.png&#10;roadmap_3yr.png"/>
                    <pic:cNvPicPr>
                      <a:picLocks noChangeAspect="1" noChangeArrowheads="1"/>
                    </pic:cNvPicPr>
                  </pic:nvPicPr>
                  <pic:blipFill>
                    <a:blip r:embed="rId18"/>
                    <a:stretch>
                      <a:fillRect/>
                    </a:stretch>
                  </pic:blipFill>
                  <pic:spPr bwMode="auto">
                    <a:xfrm>
                      <a:off x="0" y="0"/>
                      <a:ext cx="5715000" cy="2962275"/>
                    </a:xfrm>
                    <a:prstGeom prst="rect">
                      <a:avLst/>
                    </a:prstGeom>
                    <a:noFill/>
                  </pic:spPr>
                </pic:pic>
              </a:graphicData>
            </a:graphic>
          </wp:inline>
        </w:drawing>
      </w:r>
    </w:p>
    <w:p>
      <w:pPr>
        <w:pStyle w:val="Normal"/>
        <w:spacing w:before="0" w:after="200"/>
        <w:jc w:val="center"/>
        <w:rPr/>
      </w:pPr>
      <w:r>
        <w:rPr>
          <w:b/>
          <w:bCs/>
          <w:i/>
          <w:iCs/>
          <w:color w:val="5B6675"/>
          <w:sz w:val="18"/>
          <w:szCs w:val="18"/>
        </w:rPr>
        <w:t xml:space="preserve">Hình 10. </w:t>
      </w:r>
      <w:r>
        <w:rPr>
          <w:i/>
          <w:iCs/>
          <w:color w:val="5B6675"/>
          <w:sz w:val="18"/>
          <w:szCs w:val="18"/>
        </w:rPr>
        <w:t>Lộ trình tiến hóa AI Agent 2026–2029 theo các dự báo của Gartner.</w:t>
      </w:r>
    </w:p>
    <w:p>
      <w:pPr>
        <w:pStyle w:val="Normal"/>
        <w:spacing w:lineRule="auto" w:line="314" w:before="0" w:after="165"/>
        <w:jc w:val="both"/>
        <w:rPr/>
      </w:pPr>
      <w:r>
        <w:rPr/>
        <w:t>Tổng hợp các dự báo của Gartner phác họa một lộ trình tăng tốc rõ rệt:</w:t>
      </w:r>
    </w:p>
    <w:p>
      <w:pPr>
        <w:pStyle w:val="ListParagraph"/>
        <w:numPr>
          <w:ilvl w:val="0"/>
          <w:numId w:val="1"/>
        </w:numPr>
        <w:spacing w:lineRule="auto" w:line="302" w:before="0" w:after="98"/>
        <w:jc w:val="both"/>
        <w:rPr/>
      </w:pPr>
      <w:r>
        <w:rPr>
          <w:b/>
          <w:bCs/>
        </w:rPr>
        <w:t>2026:</w:t>
      </w:r>
      <w:r>
        <w:rPr/>
        <w:t xml:space="preserve"> 40% ứng dụng doanh nghiệp tích hợp AI Agent chuyên biệt (từ mức dưới 5% năm 2025). Tại Đông Nam Á, hơn 90% doanh nghiệp dự định thử nghiệm agentic AI.</w:t>
      </w:r>
    </w:p>
    <w:p>
      <w:pPr>
        <w:pStyle w:val="ListParagraph"/>
        <w:numPr>
          <w:ilvl w:val="0"/>
          <w:numId w:val="1"/>
        </w:numPr>
        <w:spacing w:lineRule="auto" w:line="302" w:before="0" w:after="98"/>
        <w:jc w:val="both"/>
        <w:rPr/>
      </w:pPr>
      <w:r>
        <w:rPr>
          <w:b/>
          <w:bCs/>
        </w:rPr>
        <w:t>2027:</w:t>
      </w:r>
      <w:r>
        <w:rPr/>
        <w:t xml:space="preserve"> Một phần ba số triển khai agentic AI sẽ kết hợp nhiều tác tử có kỹ năng khác nhau để xử lý nhiệm vụ phức tạp. Đây cũng là năm “thanh lọc”: hơn 40% dự án có nguy cơ bị hủy.</w:t>
      </w:r>
    </w:p>
    <w:p>
      <w:pPr>
        <w:pStyle w:val="ListParagraph"/>
        <w:numPr>
          <w:ilvl w:val="0"/>
          <w:numId w:val="1"/>
        </w:numPr>
        <w:spacing w:lineRule="auto" w:line="302" w:before="0" w:after="98"/>
        <w:jc w:val="both"/>
        <w:rPr/>
      </w:pPr>
      <w:r>
        <w:rPr>
          <w:b/>
          <w:bCs/>
        </w:rPr>
        <w:t>2028:</w:t>
      </w:r>
      <w:r>
        <w:rPr/>
        <w:t xml:space="preserve"> 15% quyết định công việc hằng ngày được đưa ra một cách tự chủ (từ 0% năm 2024); một phần ba trải nghiệm người dùng chuyển từ ứng dụng truyền thống sang “giao diện tác tử” (agentic front</w:t>
        <w:noBreakHyphen/>
        <w:t>end); và 90% giao dịch mua sắm B2B qua trung gian AI Agent — đẩy hơn 15.000 tỷ USD chi tiêu B2B qua các sàn tác tử.</w:t>
      </w:r>
    </w:p>
    <w:p>
      <w:pPr>
        <w:pStyle w:val="ListParagraph"/>
        <w:numPr>
          <w:ilvl w:val="0"/>
          <w:numId w:val="1"/>
        </w:numPr>
        <w:spacing w:lineRule="auto" w:line="302" w:before="0" w:after="98"/>
        <w:jc w:val="both"/>
        <w:rPr/>
      </w:pPr>
      <w:r>
        <w:rPr>
          <w:b/>
          <w:bCs/>
        </w:rPr>
        <w:t>2029:</w:t>
      </w:r>
      <w:r>
        <w:rPr/>
        <w:t xml:space="preserve"> Ít nhất 50% lao động tri thức phát triển kỹ năng mới để làm việc, quản trị hoặc tạo ra AI Agent — tác tử trở thành một phần của cơ cấu “nhân sự số”.</w:t>
      </w:r>
    </w:p>
    <w:p>
      <w:pPr>
        <w:pStyle w:val="Heading2"/>
        <w:rPr/>
      </w:pPr>
      <w:bookmarkStart w:id="34" w:name="__RefHeading___Toc1241_217012103"/>
      <w:bookmarkEnd w:id="34"/>
      <w:r>
        <w:rPr/>
        <w:t>5.2. Sáu xu hướng định hình giai đoạn 2026–2029</w:t>
      </w:r>
    </w:p>
    <w:p>
      <w:pPr>
        <w:pStyle w:val="Normal"/>
        <w:spacing w:lineRule="auto" w:line="314" w:before="0" w:after="165"/>
        <w:jc w:val="both"/>
        <w:rPr/>
      </w:pPr>
      <w:r>
        <w:rPr>
          <w:b/>
          <w:bCs/>
        </w:rPr>
        <w:t>1. Hệ sinh thái đa tác tử (multi</w:t>
        <w:noBreakHyphen/>
        <w:t>agent).</w:t>
      </w:r>
      <w:r>
        <w:rPr/>
        <w:t xml:space="preserve"> Mô hình “một tác tử – một tác vụ” nhường chỗ cho các mạng lưới tác tử chuyên biệt phối hợp xuyên ứng dụng và phòng ban, được điều phối bởi một lớp orchestration thông minh.</w:t>
      </w:r>
    </w:p>
    <w:p>
      <w:pPr>
        <w:pStyle w:val="Normal"/>
        <w:spacing w:lineRule="auto" w:line="314" w:before="0" w:after="165"/>
        <w:jc w:val="both"/>
        <w:rPr/>
      </w:pPr>
      <w:r>
        <w:rPr>
          <w:b/>
          <w:bCs/>
        </w:rPr>
        <w:t>2. Tác tử theo chiều dọc (vertical agents).</w:t>
      </w:r>
      <w:r>
        <w:rPr/>
        <w:t xml:space="preserve"> Làn sóng tác tử chuyên sâu theo ngành và theo quy trình (tài chính, y tế, pháp lý, chuỗi cung ứng) — được tinh chỉnh với dữ liệu và quy tắc đặc thù — sẽ vượt trội so với tác tử đa năng.</w:t>
      </w:r>
    </w:p>
    <w:p>
      <w:pPr>
        <w:pStyle w:val="Normal"/>
        <w:spacing w:lineRule="auto" w:line="314" w:before="0" w:after="165"/>
        <w:jc w:val="both"/>
        <w:rPr/>
      </w:pPr>
      <w:r>
        <w:rPr>
          <w:b/>
          <w:bCs/>
        </w:rPr>
        <w:t>3. Giao diện tác tử (agentic interfaces).</w:t>
      </w:r>
      <w:r>
        <w:rPr/>
        <w:t xml:space="preserve"> Người dùng ngày càng tương tác với mục tiêu thay vì thao tác trên từng ứng dụng; điều này làm dịch chuyển giá trị và mô hình định giá phần mềm từ “theo ghế” sang “theo kết quả/hành động”.</w:t>
      </w:r>
    </w:p>
    <w:p>
      <w:pPr>
        <w:pStyle w:val="Normal"/>
        <w:spacing w:lineRule="auto" w:line="314" w:before="0" w:after="165"/>
        <w:jc w:val="both"/>
        <w:rPr/>
      </w:pPr>
      <w:r>
        <w:rPr>
          <w:b/>
          <w:bCs/>
        </w:rPr>
        <w:t>4. Thương mại tác tử (agentic commerce).</w:t>
      </w:r>
      <w:r>
        <w:rPr/>
        <w:t xml:space="preserve"> Tác tử sẽ tự tìm kiếm, đàm phán và thực hiện giao dịch thay người dùng và doanh nghiệp — đặc biệt trong mua sắm B2B — tạo ra cả kênh bán hàng mới lẫn yêu cầu mới về tin cậy và xác thực.</w:t>
      </w:r>
    </w:p>
    <w:p>
      <w:pPr>
        <w:pStyle w:val="Normal"/>
        <w:spacing w:lineRule="auto" w:line="314" w:before="0" w:after="165"/>
        <w:jc w:val="both"/>
        <w:rPr/>
      </w:pPr>
      <w:r>
        <w:rPr>
          <w:b/>
          <w:bCs/>
        </w:rPr>
        <w:t>5. Quản trị và an toàn trở thành ngành riêng.</w:t>
      </w:r>
      <w:r>
        <w:rPr/>
        <w:t xml:space="preserve"> Quản lý định danh tác tử, giám sát hành vi thời gian thực, “AgentOps” và khung tuân thủ sẽ trở thành hạ tầng bắt buộc, song hành cùng tốc độ mở rộng.</w:t>
      </w:r>
    </w:p>
    <w:p>
      <w:pPr>
        <w:pStyle w:val="Normal"/>
        <w:spacing w:lineRule="auto" w:line="314" w:before="0" w:after="165"/>
        <w:jc w:val="both"/>
        <w:rPr/>
      </w:pPr>
      <w:r>
        <w:rPr>
          <w:b/>
          <w:bCs/>
        </w:rPr>
        <w:t>6. Lực lượng lao động lai (hybrid workforce).</w:t>
      </w:r>
      <w:r>
        <w:rPr/>
        <w:t xml:space="preserve"> Con người và tác tử cùng làm việc; vai trò con người dịch chuyển sang giao mục tiêu, giám sát, xử lý ngoại lệ và ra quyết định mang tính phán đoán — đòi hỏi tái đào tạo kỹ năng quy mô lớn.</w:t>
      </w:r>
    </w:p>
    <w:p>
      <w:pPr>
        <w:pStyle w:val="Heading2"/>
        <w:rPr/>
      </w:pPr>
      <w:bookmarkStart w:id="35" w:name="__RefHeading___Toc1243_217012103"/>
      <w:bookmarkEnd w:id="35"/>
      <w:r>
        <w:rPr/>
        <w:t>5.3. Tác động tới lực lượng lao động và mô hình kinh doanh</w:t>
      </w:r>
    </w:p>
    <w:p>
      <w:pPr>
        <w:pStyle w:val="Normal"/>
        <w:spacing w:lineRule="auto" w:line="314" w:before="0" w:after="165"/>
        <w:jc w:val="both"/>
        <w:rPr/>
      </w:pPr>
      <w:r>
        <w:rPr/>
        <w:t xml:space="preserve">Tác động sâu sắc nhất không phải là “thay thế con người” mà là </w:t>
      </w:r>
      <w:r>
        <w:rPr>
          <w:b/>
          <w:bCs/>
        </w:rPr>
        <w:t>tái cấu trúc công việc</w:t>
      </w:r>
      <w:r>
        <w:rPr/>
        <w:t>. Khi tác tử đảm nhận các tác vụ lặp lại và một phần công việc tri thức, giá trị của con người dịch chuyển lên các năng lực khó tự động hóa: tư duy chiến lược, sáng tạo, đồng cảm, đàm phán và phán đoán đạo đức. Các tổ chức sẽ cần thiết kế lại quy trình quanh mô hình cộng tác người–tác tử, đồng thời xây dựng lộ trình nâng cao kỹ năng (upskilling) cho lực lượng lao động hiện hữu.</w:t>
      </w:r>
    </w:p>
    <w:p>
      <w:pPr>
        <w:pStyle w:val="Normal"/>
        <w:spacing w:lineRule="auto" w:line="314" w:before="0" w:after="165"/>
        <w:jc w:val="both"/>
        <w:rPr/>
      </w:pPr>
      <w:r>
        <w:rPr/>
        <w:t>Về mô hình kinh doanh, sự dịch chuyển sang giao diện tác tử và thương mại tác tử sẽ tạo ra các mô hình định giá mới (theo kết quả, theo hành động), các kênh phân phối mới (qua tác tử của khách hàng) và các lợi thế cạnh tranh mới dựa trên chất lượng dữ liệu độc quyền và độ tin cậy của tác tử.</w:t>
      </w:r>
    </w:p>
    <w:p>
      <w:pPr>
        <w:pStyle w:val="Heading2"/>
        <w:rPr/>
      </w:pPr>
      <w:bookmarkStart w:id="36" w:name="__RefHeading___Toc1245_217012103"/>
      <w:bookmarkEnd w:id="36"/>
      <w:r>
        <w:rPr/>
        <w:t>5.4. Ba kịch bản cho doanh nghiệp</w:t>
      </w:r>
    </w:p>
    <w:tbl>
      <w:tblPr>
        <w:tblW w:w="9360" w:type="dxa"/>
        <w:jc w:val="left"/>
        <w:tblInd w:w="111" w:type="dxa"/>
        <w:tblLayout w:type="fixed"/>
        <w:tblCellMar>
          <w:top w:w="70" w:type="dxa"/>
          <w:left w:w="110" w:type="dxa"/>
          <w:bottom w:w="70" w:type="dxa"/>
          <w:right w:w="110" w:type="dxa"/>
        </w:tblCellMar>
      </w:tblPr>
      <w:tblGrid>
        <w:gridCol w:w="1699"/>
        <w:gridCol w:w="4061"/>
        <w:gridCol w:w="3600"/>
      </w:tblGrid>
      <w:tr>
        <w:trPr>
          <w:tblHeader w:val="true"/>
        </w:trPr>
        <w:tc>
          <w:tcPr>
            <w:tcW w:w="1699" w:type="dxa"/>
            <w:tcBorders>
              <w:top w:val="single" w:sz="2" w:space="0" w:color="C9D6E5"/>
              <w:left w:val="single" w:sz="2" w:space="0" w:color="C9D6E5"/>
              <w:bottom w:val="single" w:sz="2" w:space="0" w:color="C9D6E5"/>
              <w:right w:val="single" w:sz="2" w:space="0" w:color="C9D6E5"/>
            </w:tcBorders>
            <w:shd w:fill="0F2440" w:val="clear"/>
            <w:vAlign w:val="center"/>
          </w:tcPr>
          <w:p>
            <w:pPr>
              <w:pStyle w:val="Normal"/>
              <w:rPr/>
            </w:pPr>
            <w:r>
              <w:rPr>
                <w:b/>
                <w:bCs/>
                <w:color w:val="FFFFFF"/>
                <w:sz w:val="21"/>
                <w:szCs w:val="21"/>
              </w:rPr>
              <w:t>Kịch bản</w:t>
            </w:r>
          </w:p>
        </w:tc>
        <w:tc>
          <w:tcPr>
            <w:tcW w:w="4061" w:type="dxa"/>
            <w:tcBorders>
              <w:top w:val="single" w:sz="2" w:space="0" w:color="C9D6E5"/>
              <w:left w:val="single" w:sz="2" w:space="0" w:color="C9D6E5"/>
              <w:bottom w:val="single" w:sz="2" w:space="0" w:color="C9D6E5"/>
              <w:right w:val="single" w:sz="2" w:space="0" w:color="C9D6E5"/>
            </w:tcBorders>
            <w:shd w:fill="0F2440" w:val="clear"/>
            <w:vAlign w:val="center"/>
          </w:tcPr>
          <w:p>
            <w:pPr>
              <w:pStyle w:val="Normal"/>
              <w:rPr/>
            </w:pPr>
            <w:r>
              <w:rPr>
                <w:b/>
                <w:bCs/>
                <w:color w:val="FFFFFF"/>
                <w:sz w:val="21"/>
                <w:szCs w:val="21"/>
              </w:rPr>
              <w:t>Đặc điểm</w:t>
            </w:r>
          </w:p>
        </w:tc>
        <w:tc>
          <w:tcPr>
            <w:tcW w:w="3600" w:type="dxa"/>
            <w:tcBorders>
              <w:top w:val="single" w:sz="2" w:space="0" w:color="C9D6E5"/>
              <w:left w:val="single" w:sz="2" w:space="0" w:color="C9D6E5"/>
              <w:bottom w:val="single" w:sz="2" w:space="0" w:color="C9D6E5"/>
              <w:right w:val="single" w:sz="2" w:space="0" w:color="C9D6E5"/>
            </w:tcBorders>
            <w:shd w:fill="0F2440" w:val="clear"/>
            <w:vAlign w:val="center"/>
          </w:tcPr>
          <w:p>
            <w:pPr>
              <w:pStyle w:val="Normal"/>
              <w:rPr/>
            </w:pPr>
            <w:r>
              <w:rPr>
                <w:b/>
                <w:bCs/>
                <w:color w:val="FFFFFF"/>
                <w:sz w:val="21"/>
                <w:szCs w:val="21"/>
              </w:rPr>
              <w:t>Vị thế cạnh tranh đến 2029</w:t>
            </w:r>
          </w:p>
        </w:tc>
      </w:tr>
      <w:tr>
        <w:trPr/>
        <w:tc>
          <w:tcPr>
            <w:tcW w:w="1699" w:type="dxa"/>
            <w:tcBorders>
              <w:top w:val="single" w:sz="2" w:space="0" w:color="C9D6E5"/>
              <w:left w:val="single" w:sz="2" w:space="0" w:color="C9D6E5"/>
              <w:bottom w:val="single" w:sz="2" w:space="0" w:color="C9D6E5"/>
              <w:right w:val="single" w:sz="2" w:space="0" w:color="C9D6E5"/>
            </w:tcBorders>
            <w:shd w:fill="FFFFFF" w:val="clear"/>
            <w:tcMar>
              <w:top w:w="60" w:type="dxa"/>
              <w:bottom w:w="60" w:type="dxa"/>
            </w:tcMar>
            <w:vAlign w:val="center"/>
          </w:tcPr>
          <w:p>
            <w:pPr>
              <w:pStyle w:val="Normal"/>
              <w:spacing w:lineRule="auto" w:line="271"/>
              <w:rPr/>
            </w:pPr>
            <w:r>
              <w:rPr>
                <w:sz w:val="21"/>
                <w:szCs w:val="21"/>
              </w:rPr>
              <w:t>Thận trọng</w:t>
            </w:r>
          </w:p>
        </w:tc>
        <w:tc>
          <w:tcPr>
            <w:tcW w:w="4061" w:type="dxa"/>
            <w:tcBorders>
              <w:top w:val="single" w:sz="2" w:space="0" w:color="C9D6E5"/>
              <w:left w:val="single" w:sz="2" w:space="0" w:color="C9D6E5"/>
              <w:bottom w:val="single" w:sz="2" w:space="0" w:color="C9D6E5"/>
              <w:right w:val="single" w:sz="2" w:space="0" w:color="C9D6E5"/>
            </w:tcBorders>
            <w:shd w:fill="FFFFFF" w:val="clear"/>
            <w:tcMar>
              <w:top w:w="60" w:type="dxa"/>
              <w:bottom w:w="60" w:type="dxa"/>
            </w:tcMar>
            <w:vAlign w:val="center"/>
          </w:tcPr>
          <w:p>
            <w:pPr>
              <w:pStyle w:val="Normal"/>
              <w:spacing w:lineRule="auto" w:line="271"/>
              <w:rPr/>
            </w:pPr>
            <w:r>
              <w:rPr>
                <w:sz w:val="21"/>
                <w:szCs w:val="21"/>
              </w:rPr>
              <w:t>Chỉ dùng trợ lý L1; chờ công nghệ chín muồi</w:t>
            </w:r>
          </w:p>
        </w:tc>
        <w:tc>
          <w:tcPr>
            <w:tcW w:w="3600" w:type="dxa"/>
            <w:tcBorders>
              <w:top w:val="single" w:sz="2" w:space="0" w:color="C9D6E5"/>
              <w:left w:val="single" w:sz="2" w:space="0" w:color="C9D6E5"/>
              <w:bottom w:val="single" w:sz="2" w:space="0" w:color="C9D6E5"/>
              <w:right w:val="single" w:sz="2" w:space="0" w:color="C9D6E5"/>
            </w:tcBorders>
            <w:shd w:fill="FFFFFF" w:val="clear"/>
            <w:tcMar>
              <w:top w:w="60" w:type="dxa"/>
              <w:bottom w:w="60" w:type="dxa"/>
            </w:tcMar>
            <w:vAlign w:val="center"/>
          </w:tcPr>
          <w:p>
            <w:pPr>
              <w:pStyle w:val="Normal"/>
              <w:spacing w:lineRule="auto" w:line="271"/>
              <w:rPr/>
            </w:pPr>
            <w:r>
              <w:rPr>
                <w:sz w:val="21"/>
                <w:szCs w:val="21"/>
              </w:rPr>
              <w:t>Tụt hậu về chi phí và tốc độ; rủi ro bị gián đoạn</w:t>
            </w:r>
          </w:p>
        </w:tc>
      </w:tr>
      <w:tr>
        <w:trPr/>
        <w:tc>
          <w:tcPr>
            <w:tcW w:w="1699" w:type="dxa"/>
            <w:tcBorders>
              <w:top w:val="single" w:sz="2" w:space="0" w:color="C9D6E5"/>
              <w:left w:val="single" w:sz="2" w:space="0" w:color="C9D6E5"/>
              <w:bottom w:val="single" w:sz="2" w:space="0" w:color="C9D6E5"/>
              <w:right w:val="single" w:sz="2" w:space="0" w:color="C9D6E5"/>
            </w:tcBorders>
            <w:shd w:fill="F4F7FB" w:val="clear"/>
            <w:tcMar>
              <w:top w:w="60" w:type="dxa"/>
              <w:bottom w:w="60" w:type="dxa"/>
            </w:tcMar>
            <w:vAlign w:val="center"/>
          </w:tcPr>
          <w:p>
            <w:pPr>
              <w:pStyle w:val="Normal"/>
              <w:spacing w:lineRule="auto" w:line="271"/>
              <w:rPr/>
            </w:pPr>
            <w:r>
              <w:rPr>
                <w:sz w:val="21"/>
                <w:szCs w:val="21"/>
              </w:rPr>
              <w:t>Cơ sở</w:t>
            </w:r>
          </w:p>
        </w:tc>
        <w:tc>
          <w:tcPr>
            <w:tcW w:w="4061" w:type="dxa"/>
            <w:tcBorders>
              <w:top w:val="single" w:sz="2" w:space="0" w:color="C9D6E5"/>
              <w:left w:val="single" w:sz="2" w:space="0" w:color="C9D6E5"/>
              <w:bottom w:val="single" w:sz="2" w:space="0" w:color="C9D6E5"/>
              <w:right w:val="single" w:sz="2" w:space="0" w:color="C9D6E5"/>
            </w:tcBorders>
            <w:shd w:fill="F4F7FB" w:val="clear"/>
            <w:tcMar>
              <w:top w:w="60" w:type="dxa"/>
              <w:bottom w:w="60" w:type="dxa"/>
            </w:tcMar>
            <w:vAlign w:val="center"/>
          </w:tcPr>
          <w:p>
            <w:pPr>
              <w:pStyle w:val="Normal"/>
              <w:spacing w:lineRule="auto" w:line="271"/>
              <w:rPr/>
            </w:pPr>
            <w:r>
              <w:rPr>
                <w:sz w:val="21"/>
                <w:szCs w:val="21"/>
              </w:rPr>
              <w:t>Triển khai chọn lọc L2–L3 ở vài chức năng, có quản trị</w:t>
            </w:r>
          </w:p>
        </w:tc>
        <w:tc>
          <w:tcPr>
            <w:tcW w:w="3600" w:type="dxa"/>
            <w:tcBorders>
              <w:top w:val="single" w:sz="2" w:space="0" w:color="C9D6E5"/>
              <w:left w:val="single" w:sz="2" w:space="0" w:color="C9D6E5"/>
              <w:bottom w:val="single" w:sz="2" w:space="0" w:color="C9D6E5"/>
              <w:right w:val="single" w:sz="2" w:space="0" w:color="C9D6E5"/>
            </w:tcBorders>
            <w:shd w:fill="F4F7FB" w:val="clear"/>
            <w:tcMar>
              <w:top w:w="60" w:type="dxa"/>
              <w:bottom w:w="60" w:type="dxa"/>
            </w:tcMar>
            <w:vAlign w:val="center"/>
          </w:tcPr>
          <w:p>
            <w:pPr>
              <w:pStyle w:val="Normal"/>
              <w:spacing w:lineRule="auto" w:line="271"/>
              <w:rPr/>
            </w:pPr>
            <w:r>
              <w:rPr>
                <w:sz w:val="21"/>
                <w:szCs w:val="21"/>
              </w:rPr>
              <w:t>Theo kịp thị trường; cải thiện biên lợi nhuận ổn định</w:t>
            </w:r>
          </w:p>
        </w:tc>
      </w:tr>
      <w:tr>
        <w:trPr/>
        <w:tc>
          <w:tcPr>
            <w:tcW w:w="1699" w:type="dxa"/>
            <w:tcBorders>
              <w:top w:val="single" w:sz="2" w:space="0" w:color="C9D6E5"/>
              <w:left w:val="single" w:sz="2" w:space="0" w:color="C9D6E5"/>
              <w:bottom w:val="single" w:sz="2" w:space="0" w:color="C9D6E5"/>
              <w:right w:val="single" w:sz="2" w:space="0" w:color="C9D6E5"/>
            </w:tcBorders>
            <w:shd w:fill="FFFFFF" w:val="clear"/>
            <w:tcMar>
              <w:top w:w="60" w:type="dxa"/>
              <w:bottom w:w="60" w:type="dxa"/>
            </w:tcMar>
            <w:vAlign w:val="center"/>
          </w:tcPr>
          <w:p>
            <w:pPr>
              <w:pStyle w:val="Normal"/>
              <w:spacing w:lineRule="auto" w:line="271"/>
              <w:rPr/>
            </w:pPr>
            <w:r>
              <w:rPr>
                <w:sz w:val="21"/>
                <w:szCs w:val="21"/>
              </w:rPr>
              <w:t>Tăng tốc</w:t>
            </w:r>
          </w:p>
        </w:tc>
        <w:tc>
          <w:tcPr>
            <w:tcW w:w="4061" w:type="dxa"/>
            <w:tcBorders>
              <w:top w:val="single" w:sz="2" w:space="0" w:color="C9D6E5"/>
              <w:left w:val="single" w:sz="2" w:space="0" w:color="C9D6E5"/>
              <w:bottom w:val="single" w:sz="2" w:space="0" w:color="C9D6E5"/>
              <w:right w:val="single" w:sz="2" w:space="0" w:color="C9D6E5"/>
            </w:tcBorders>
            <w:shd w:fill="FFFFFF" w:val="clear"/>
            <w:tcMar>
              <w:top w:w="60" w:type="dxa"/>
              <w:bottom w:w="60" w:type="dxa"/>
            </w:tcMar>
            <w:vAlign w:val="center"/>
          </w:tcPr>
          <w:p>
            <w:pPr>
              <w:pStyle w:val="Normal"/>
              <w:spacing w:lineRule="auto" w:line="271"/>
              <w:rPr/>
            </w:pPr>
            <w:r>
              <w:rPr>
                <w:sz w:val="21"/>
                <w:szCs w:val="21"/>
              </w:rPr>
              <w:t>Xây năng lực nền tảng, mở rộng đa tác tử có kỷ luật</w:t>
            </w:r>
          </w:p>
        </w:tc>
        <w:tc>
          <w:tcPr>
            <w:tcW w:w="3600" w:type="dxa"/>
            <w:tcBorders>
              <w:top w:val="single" w:sz="2" w:space="0" w:color="C9D6E5"/>
              <w:left w:val="single" w:sz="2" w:space="0" w:color="C9D6E5"/>
              <w:bottom w:val="single" w:sz="2" w:space="0" w:color="C9D6E5"/>
              <w:right w:val="single" w:sz="2" w:space="0" w:color="C9D6E5"/>
            </w:tcBorders>
            <w:shd w:fill="FFFFFF" w:val="clear"/>
            <w:tcMar>
              <w:top w:w="60" w:type="dxa"/>
              <w:bottom w:w="60" w:type="dxa"/>
            </w:tcMar>
            <w:vAlign w:val="center"/>
          </w:tcPr>
          <w:p>
            <w:pPr>
              <w:pStyle w:val="Normal"/>
              <w:spacing w:lineRule="auto" w:line="271"/>
              <w:rPr/>
            </w:pPr>
            <w:r>
              <w:rPr>
                <w:sz w:val="21"/>
                <w:szCs w:val="21"/>
              </w:rPr>
              <w:t>Dẫn dắt ngành; tái định hình mô hình kinh doanh</w:t>
            </w:r>
          </w:p>
        </w:tc>
      </w:tr>
    </w:tbl>
    <w:p>
      <w:pPr>
        <w:pStyle w:val="Normal"/>
        <w:spacing w:before="0" w:after="40"/>
        <w:rPr/>
      </w:pPr>
      <w:r>
        <w:rPr/>
      </w:r>
    </w:p>
    <w:tbl>
      <w:tblPr>
        <w:tblW w:w="9360" w:type="dxa"/>
        <w:jc w:val="left"/>
        <w:tblInd w:w="255" w:type="dxa"/>
        <w:tblLayout w:type="fixed"/>
        <w:tblCellMar>
          <w:top w:w="140" w:type="dxa"/>
          <w:left w:w="220" w:type="dxa"/>
          <w:bottom w:w="140" w:type="dxa"/>
          <w:right w:w="200" w:type="dxa"/>
        </w:tblCellMar>
      </w:tblPr>
      <w:tblGrid>
        <w:gridCol w:w="9360"/>
      </w:tblGrid>
      <w:tr>
        <w:trPr/>
        <w:tc>
          <w:tcPr>
            <w:tcW w:w="9360" w:type="dxa"/>
            <w:tcBorders>
              <w:top w:val="single" w:sz="2" w:space="0" w:color="EAF1FB"/>
              <w:left w:val="single" w:sz="28" w:space="0" w:color="1C6DD0"/>
              <w:bottom w:val="single" w:sz="2" w:space="0" w:color="EAF1FB"/>
              <w:right w:val="single" w:sz="2" w:space="0" w:color="EAF1FB"/>
            </w:tcBorders>
            <w:shd w:fill="EAF1FB" w:val="clear"/>
          </w:tcPr>
          <w:p>
            <w:pPr>
              <w:pStyle w:val="Normal"/>
              <w:spacing w:before="0" w:after="60"/>
              <w:rPr/>
            </w:pPr>
            <w:r>
              <w:rPr>
                <w:b/>
                <w:bCs/>
                <w:color w:val="1C6DD0"/>
                <w:sz w:val="23"/>
                <w:szCs w:val="23"/>
              </w:rPr>
              <w:t>Quan điểm cân bằng</w:t>
            </w:r>
          </w:p>
          <w:p>
            <w:pPr>
              <w:pStyle w:val="Normal"/>
              <w:spacing w:lineRule="auto" w:line="281" w:before="0" w:after="0"/>
              <w:rPr/>
            </w:pPr>
            <w:r>
              <w:rPr>
                <w:sz w:val="22"/>
                <w:szCs w:val="22"/>
              </w:rPr>
              <w:t xml:space="preserve">Các con số dự báo (40% dự án bị hủy, 90% mua sắm B2B qua tác tử…) phản ánh kỳ vọng của giới phân tích, không phải điều chắc chắn. Lịch sử công nghệ cho thấy tốc độ áp dụng thường bị </w:t>
            </w:r>
            <w:r>
              <w:rPr>
                <w:b/>
                <w:bCs/>
                <w:sz w:val="22"/>
                <w:szCs w:val="22"/>
              </w:rPr>
              <w:t>đánh giá quá cao trong ngắn hạn và quá thấp trong dài hạn</w:t>
            </w:r>
            <w:r>
              <w:rPr>
                <w:sz w:val="22"/>
                <w:szCs w:val="22"/>
              </w:rPr>
              <w:t>. Hướng đi khôn ngoan là chuẩn bị năng lực nền tảng để hưởng lợi dù kịch bản nào xảy ra, thay vì đặt cược vào một mốc thời gian cụ thể.</w:t>
            </w:r>
          </w:p>
        </w:tc>
      </w:tr>
    </w:tbl>
    <w:p>
      <w:pPr>
        <w:pStyle w:val="Heading1"/>
        <w:rPr/>
      </w:pPr>
      <w:bookmarkStart w:id="37" w:name="__RefHeading___Toc1247_217012103"/>
      <w:bookmarkEnd w:id="37"/>
      <w:r>
        <w:rPr/>
        <w:t>Phần 6 — Khuyến nghị hành động cho Ban Lãnh đạo</w:t>
      </w:r>
    </w:p>
    <w:p>
      <w:pPr>
        <w:pStyle w:val="Normal"/>
        <w:spacing w:lineRule="auto" w:line="319" w:before="0" w:after="185"/>
        <w:jc w:val="both"/>
        <w:rPr/>
      </w:pPr>
      <w:r>
        <w:rPr>
          <w:color w:val="16233B"/>
          <w:sz w:val="25"/>
          <w:szCs w:val="25"/>
        </w:rPr>
        <w:t>Chuyển từ nhận thức sang hành động đòi hỏi một lộ trình rõ ràng theo từng chân trời thời gian. Dưới đây là khuyến nghị thực tiễn cho ba mốc: 90 ngày, 12 tháng và 3 năm.</w:t>
      </w:r>
    </w:p>
    <w:p>
      <w:pPr>
        <w:pStyle w:val="Heading3"/>
        <w:rPr/>
      </w:pPr>
      <w:bookmarkStart w:id="38" w:name="__RefHeading___Toc1249_217012103"/>
      <w:bookmarkEnd w:id="38"/>
      <w:r>
        <w:rPr/>
        <w:t>Trong 90 ngày tới — Tạo nền và chứng minh giá trị</w:t>
      </w:r>
    </w:p>
    <w:p>
      <w:pPr>
        <w:pStyle w:val="ListParagraph"/>
        <w:numPr>
          <w:ilvl w:val="0"/>
          <w:numId w:val="1"/>
        </w:numPr>
        <w:spacing w:lineRule="auto" w:line="302" w:before="0" w:after="98"/>
        <w:jc w:val="both"/>
        <w:rPr/>
      </w:pPr>
      <w:r>
        <w:rPr/>
        <w:t>Thành lập một nhóm điều phối AI Agent đa chức năng (nghiệp vụ – CNTT – dữ liệu – pháp chế/rủi ro).</w:t>
      </w:r>
    </w:p>
    <w:p>
      <w:pPr>
        <w:pStyle w:val="ListParagraph"/>
        <w:numPr>
          <w:ilvl w:val="0"/>
          <w:numId w:val="1"/>
        </w:numPr>
        <w:spacing w:lineRule="auto" w:line="302" w:before="0" w:after="98"/>
        <w:jc w:val="both"/>
        <w:rPr/>
      </w:pPr>
      <w:r>
        <w:rPr/>
        <w:t>Lập danh mục use case và chọn 1–2 bài toán “giá trị cao, rủi ro thấp” với KPI rõ ràng để thử nghiệm.</w:t>
      </w:r>
    </w:p>
    <w:p>
      <w:pPr>
        <w:pStyle w:val="ListParagraph"/>
        <w:numPr>
          <w:ilvl w:val="0"/>
          <w:numId w:val="1"/>
        </w:numPr>
        <w:spacing w:lineRule="auto" w:line="302" w:before="0" w:after="98"/>
        <w:jc w:val="both"/>
        <w:rPr/>
      </w:pPr>
      <w:r>
        <w:rPr/>
        <w:t>Đánh giá mức độ sẵn sàng của dữ liệu và hạ tầng tích hợp; xác định khoảng trống cần lấp.</w:t>
      </w:r>
    </w:p>
    <w:p>
      <w:pPr>
        <w:pStyle w:val="ListParagraph"/>
        <w:numPr>
          <w:ilvl w:val="0"/>
          <w:numId w:val="1"/>
        </w:numPr>
        <w:spacing w:lineRule="auto" w:line="302" w:before="0" w:after="98"/>
        <w:jc w:val="both"/>
        <w:rPr/>
      </w:pPr>
      <w:r>
        <w:rPr/>
        <w:t>Thiết lập nguyên tắc quản trị tối thiểu: phân quyền, human</w:t>
        <w:noBreakHyphen/>
        <w:t>in</w:t>
        <w:noBreakHyphen/>
        <w:t>the</w:t>
        <w:noBreakHyphen/>
        <w:t>loop, nhật ký kiểm toán.</w:t>
      </w:r>
    </w:p>
    <w:p>
      <w:pPr>
        <w:pStyle w:val="Heading3"/>
        <w:rPr/>
      </w:pPr>
      <w:bookmarkStart w:id="39" w:name="__RefHeading___Toc1251_217012103"/>
      <w:bookmarkEnd w:id="39"/>
      <w:r>
        <w:rPr/>
        <w:t>Trong 12 tháng — Mở rộng có kỷ luật</w:t>
      </w:r>
    </w:p>
    <w:p>
      <w:pPr>
        <w:pStyle w:val="ListParagraph"/>
        <w:numPr>
          <w:ilvl w:val="0"/>
          <w:numId w:val="1"/>
        </w:numPr>
        <w:spacing w:lineRule="auto" w:line="302" w:before="0" w:after="98"/>
        <w:jc w:val="both"/>
        <w:rPr/>
      </w:pPr>
      <w:r>
        <w:rPr/>
        <w:t>Đưa pilot thành công lên production với giám sát chặt; chuẩn hóa thành “mẫu hình” để nhân rộng.</w:t>
      </w:r>
    </w:p>
    <w:p>
      <w:pPr>
        <w:pStyle w:val="ListParagraph"/>
        <w:numPr>
          <w:ilvl w:val="0"/>
          <w:numId w:val="1"/>
        </w:numPr>
        <w:spacing w:lineRule="auto" w:line="302" w:before="0" w:after="98"/>
        <w:jc w:val="both"/>
        <w:rPr/>
      </w:pPr>
      <w:r>
        <w:rPr/>
        <w:t>Đầu tư vào “xương sống dữ liệu” và ưu tiên nền tảng tương thích chuẩn mở (MCP/A2A).</w:t>
      </w:r>
    </w:p>
    <w:p>
      <w:pPr>
        <w:pStyle w:val="ListParagraph"/>
        <w:numPr>
          <w:ilvl w:val="0"/>
          <w:numId w:val="1"/>
        </w:numPr>
        <w:spacing w:lineRule="auto" w:line="302" w:before="0" w:after="98"/>
        <w:jc w:val="both"/>
        <w:rPr/>
      </w:pPr>
      <w:r>
        <w:rPr/>
        <w:t>Xây dựng năng lực “AgentOps” và quản lý định danh tác tử; tích hợp vào khung an ninh hiện hữu.</w:t>
      </w:r>
    </w:p>
    <w:p>
      <w:pPr>
        <w:pStyle w:val="ListParagraph"/>
        <w:numPr>
          <w:ilvl w:val="0"/>
          <w:numId w:val="1"/>
        </w:numPr>
        <w:spacing w:lineRule="auto" w:line="302" w:before="0" w:after="98"/>
        <w:jc w:val="both"/>
        <w:rPr/>
      </w:pPr>
      <w:r>
        <w:rPr/>
        <w:t>Khởi động chương trình nâng cao kỹ năng cho nhân viên để cộng tác hiệu quả với tác tử.</w:t>
      </w:r>
    </w:p>
    <w:p>
      <w:pPr>
        <w:pStyle w:val="Heading3"/>
        <w:rPr/>
      </w:pPr>
      <w:bookmarkStart w:id="40" w:name="__RefHeading___Toc1253_217012103"/>
      <w:bookmarkEnd w:id="40"/>
      <w:r>
        <w:rPr/>
        <w:t>Trong 3 năm — Tái định hình năng lực cạnh tranh</w:t>
      </w:r>
    </w:p>
    <w:p>
      <w:pPr>
        <w:pStyle w:val="ListParagraph"/>
        <w:numPr>
          <w:ilvl w:val="0"/>
          <w:numId w:val="1"/>
        </w:numPr>
        <w:spacing w:lineRule="auto" w:line="302" w:before="0" w:after="98"/>
        <w:jc w:val="both"/>
        <w:rPr/>
      </w:pPr>
      <w:r>
        <w:rPr/>
        <w:t>Chuyển từ tác tử đơn lẻ sang hệ đa tác tử phối hợp ở các quy trình lõi xuyên phòng ban.</w:t>
      </w:r>
    </w:p>
    <w:p>
      <w:pPr>
        <w:pStyle w:val="ListParagraph"/>
        <w:numPr>
          <w:ilvl w:val="0"/>
          <w:numId w:val="1"/>
        </w:numPr>
        <w:spacing w:lineRule="auto" w:line="302" w:before="0" w:after="98"/>
        <w:jc w:val="both"/>
        <w:rPr/>
      </w:pPr>
      <w:r>
        <w:rPr/>
        <w:t>Khai thác giao diện tác tử và thương mại tác tử như kênh tăng trưởng và mô hình định giá mới.</w:t>
      </w:r>
    </w:p>
    <w:p>
      <w:pPr>
        <w:pStyle w:val="ListParagraph"/>
        <w:numPr>
          <w:ilvl w:val="0"/>
          <w:numId w:val="1"/>
        </w:numPr>
        <w:spacing w:lineRule="auto" w:line="302" w:before="0" w:after="98"/>
        <w:jc w:val="both"/>
        <w:rPr/>
      </w:pPr>
      <w:r>
        <w:rPr/>
        <w:t>Thiết kế lại tổ chức quanh mô hình lực lượng lao động lai người–tác tử.</w:t>
      </w:r>
    </w:p>
    <w:p>
      <w:pPr>
        <w:pStyle w:val="ListParagraph"/>
        <w:numPr>
          <w:ilvl w:val="0"/>
          <w:numId w:val="1"/>
        </w:numPr>
        <w:spacing w:lineRule="auto" w:line="302" w:before="0" w:after="98"/>
        <w:jc w:val="both"/>
        <w:rPr/>
      </w:pPr>
      <w:r>
        <w:rPr/>
        <w:t>Đưa quản trị AI có trách nhiệm thành lợi thế cạnh tranh, sẵn sàng tuân thủ Luật AI và quy định ngành.</w:t>
      </w:r>
    </w:p>
    <w:p>
      <w:pPr>
        <w:pStyle w:val="Heading1"/>
        <w:rPr/>
      </w:pPr>
      <w:bookmarkStart w:id="41" w:name="__RefHeading___Toc1255_217012103"/>
      <w:bookmarkEnd w:id="41"/>
      <w:r>
        <w:rPr/>
        <w:t>Phần 7 — Lộ trình triển khai (Playbook 5 bước)</w:t>
      </w:r>
    </w:p>
    <w:p>
      <w:pPr>
        <w:pStyle w:val="Normal"/>
        <w:spacing w:lineRule="auto" w:line="319" w:before="0" w:after="185"/>
        <w:jc w:val="both"/>
        <w:rPr/>
      </w:pPr>
      <w:r>
        <w:rPr>
          <w:color w:val="16233B"/>
          <w:sz w:val="25"/>
          <w:szCs w:val="25"/>
        </w:rPr>
        <w:t>Playbook dưới đây cô đọng kinh nghiệm từ các triển khai thành công thành một quy trình năm bước, giúp doanh nghiệp đi từ ý tưởng đến vận hành ở quy mô mà vẫn kiểm soát được rủi ro.</w:t>
      </w:r>
    </w:p>
    <w:tbl>
      <w:tblPr>
        <w:tblW w:w="9360" w:type="dxa"/>
        <w:jc w:val="left"/>
        <w:tblInd w:w="111" w:type="dxa"/>
        <w:tblLayout w:type="fixed"/>
        <w:tblCellMar>
          <w:top w:w="70" w:type="dxa"/>
          <w:left w:w="110" w:type="dxa"/>
          <w:bottom w:w="70" w:type="dxa"/>
          <w:right w:w="110" w:type="dxa"/>
        </w:tblCellMar>
      </w:tblPr>
      <w:tblGrid>
        <w:gridCol w:w="1979"/>
        <w:gridCol w:w="1821"/>
        <w:gridCol w:w="3059"/>
        <w:gridCol w:w="2501"/>
      </w:tblGrid>
      <w:tr>
        <w:trPr>
          <w:tblHeader w:val="true"/>
        </w:trPr>
        <w:tc>
          <w:tcPr>
            <w:tcW w:w="1979" w:type="dxa"/>
            <w:tcBorders>
              <w:top w:val="single" w:sz="2" w:space="0" w:color="C9D6E5"/>
              <w:left w:val="single" w:sz="2" w:space="0" w:color="C9D6E5"/>
              <w:bottom w:val="single" w:sz="2" w:space="0" w:color="C9D6E5"/>
              <w:right w:val="single" w:sz="2" w:space="0" w:color="C9D6E5"/>
            </w:tcBorders>
            <w:shd w:fill="0F2440" w:val="clear"/>
            <w:vAlign w:val="center"/>
          </w:tcPr>
          <w:p>
            <w:pPr>
              <w:pStyle w:val="Normal"/>
              <w:rPr/>
            </w:pPr>
            <w:r>
              <w:rPr>
                <w:b/>
                <w:bCs/>
                <w:color w:val="FFFFFF"/>
                <w:sz w:val="21"/>
                <w:szCs w:val="21"/>
              </w:rPr>
              <w:t>Bước</w:t>
            </w:r>
          </w:p>
        </w:tc>
        <w:tc>
          <w:tcPr>
            <w:tcW w:w="1821" w:type="dxa"/>
            <w:tcBorders>
              <w:top w:val="single" w:sz="2" w:space="0" w:color="C9D6E5"/>
              <w:left w:val="single" w:sz="2" w:space="0" w:color="C9D6E5"/>
              <w:bottom w:val="single" w:sz="2" w:space="0" w:color="C9D6E5"/>
              <w:right w:val="single" w:sz="2" w:space="0" w:color="C9D6E5"/>
            </w:tcBorders>
            <w:shd w:fill="0F2440" w:val="clear"/>
            <w:vAlign w:val="center"/>
          </w:tcPr>
          <w:p>
            <w:pPr>
              <w:pStyle w:val="Normal"/>
              <w:rPr/>
            </w:pPr>
            <w:r>
              <w:rPr>
                <w:b/>
                <w:bCs/>
                <w:color w:val="FFFFFF"/>
                <w:sz w:val="21"/>
                <w:szCs w:val="21"/>
              </w:rPr>
              <w:t>Trọng tâm</w:t>
            </w:r>
          </w:p>
        </w:tc>
        <w:tc>
          <w:tcPr>
            <w:tcW w:w="3059" w:type="dxa"/>
            <w:tcBorders>
              <w:top w:val="single" w:sz="2" w:space="0" w:color="C9D6E5"/>
              <w:left w:val="single" w:sz="2" w:space="0" w:color="C9D6E5"/>
              <w:bottom w:val="single" w:sz="2" w:space="0" w:color="C9D6E5"/>
              <w:right w:val="single" w:sz="2" w:space="0" w:color="C9D6E5"/>
            </w:tcBorders>
            <w:shd w:fill="0F2440" w:val="clear"/>
            <w:vAlign w:val="center"/>
          </w:tcPr>
          <w:p>
            <w:pPr>
              <w:pStyle w:val="Normal"/>
              <w:rPr/>
            </w:pPr>
            <w:r>
              <w:rPr>
                <w:b/>
                <w:bCs/>
                <w:color w:val="FFFFFF"/>
                <w:sz w:val="21"/>
                <w:szCs w:val="21"/>
              </w:rPr>
              <w:t>Hoạt động chính</w:t>
            </w:r>
          </w:p>
        </w:tc>
        <w:tc>
          <w:tcPr>
            <w:tcW w:w="2501" w:type="dxa"/>
            <w:tcBorders>
              <w:top w:val="single" w:sz="2" w:space="0" w:color="C9D6E5"/>
              <w:left w:val="single" w:sz="2" w:space="0" w:color="C9D6E5"/>
              <w:bottom w:val="single" w:sz="2" w:space="0" w:color="C9D6E5"/>
              <w:right w:val="single" w:sz="2" w:space="0" w:color="C9D6E5"/>
            </w:tcBorders>
            <w:shd w:fill="0F2440" w:val="clear"/>
            <w:vAlign w:val="center"/>
          </w:tcPr>
          <w:p>
            <w:pPr>
              <w:pStyle w:val="Normal"/>
              <w:rPr/>
            </w:pPr>
            <w:r>
              <w:rPr>
                <w:b/>
                <w:bCs/>
                <w:color w:val="FFFFFF"/>
                <w:sz w:val="21"/>
                <w:szCs w:val="21"/>
              </w:rPr>
              <w:t>Kết quả đầu ra</w:t>
            </w:r>
          </w:p>
        </w:tc>
      </w:tr>
      <w:tr>
        <w:trPr/>
        <w:tc>
          <w:tcPr>
            <w:tcW w:w="1979" w:type="dxa"/>
            <w:tcBorders>
              <w:top w:val="single" w:sz="2" w:space="0" w:color="C9D6E5"/>
              <w:left w:val="single" w:sz="2" w:space="0" w:color="C9D6E5"/>
              <w:bottom w:val="single" w:sz="2" w:space="0" w:color="C9D6E5"/>
              <w:right w:val="single" w:sz="2" w:space="0" w:color="C9D6E5"/>
            </w:tcBorders>
            <w:shd w:fill="FFFFFF" w:val="clear"/>
            <w:tcMar>
              <w:top w:w="60" w:type="dxa"/>
              <w:bottom w:w="60" w:type="dxa"/>
            </w:tcMar>
            <w:vAlign w:val="center"/>
          </w:tcPr>
          <w:p>
            <w:pPr>
              <w:pStyle w:val="Normal"/>
              <w:spacing w:lineRule="auto" w:line="271"/>
              <w:rPr/>
            </w:pPr>
            <w:r>
              <w:rPr>
                <w:sz w:val="21"/>
                <w:szCs w:val="21"/>
              </w:rPr>
              <w:t>1. Khám phá &amp; ưu tiên</w:t>
            </w:r>
          </w:p>
        </w:tc>
        <w:tc>
          <w:tcPr>
            <w:tcW w:w="1821" w:type="dxa"/>
            <w:tcBorders>
              <w:top w:val="single" w:sz="2" w:space="0" w:color="C9D6E5"/>
              <w:left w:val="single" w:sz="2" w:space="0" w:color="C9D6E5"/>
              <w:bottom w:val="single" w:sz="2" w:space="0" w:color="C9D6E5"/>
              <w:right w:val="single" w:sz="2" w:space="0" w:color="C9D6E5"/>
            </w:tcBorders>
            <w:shd w:fill="FFFFFF" w:val="clear"/>
            <w:tcMar>
              <w:top w:w="60" w:type="dxa"/>
              <w:bottom w:w="60" w:type="dxa"/>
            </w:tcMar>
            <w:vAlign w:val="center"/>
          </w:tcPr>
          <w:p>
            <w:pPr>
              <w:pStyle w:val="Normal"/>
              <w:spacing w:lineRule="auto" w:line="271"/>
              <w:rPr/>
            </w:pPr>
            <w:r>
              <w:rPr>
                <w:sz w:val="21"/>
                <w:szCs w:val="21"/>
              </w:rPr>
              <w:t>Chọn đúng bài toán</w:t>
            </w:r>
          </w:p>
        </w:tc>
        <w:tc>
          <w:tcPr>
            <w:tcW w:w="3059" w:type="dxa"/>
            <w:tcBorders>
              <w:top w:val="single" w:sz="2" w:space="0" w:color="C9D6E5"/>
              <w:left w:val="single" w:sz="2" w:space="0" w:color="C9D6E5"/>
              <w:bottom w:val="single" w:sz="2" w:space="0" w:color="C9D6E5"/>
              <w:right w:val="single" w:sz="2" w:space="0" w:color="C9D6E5"/>
            </w:tcBorders>
            <w:shd w:fill="FFFFFF" w:val="clear"/>
            <w:tcMar>
              <w:top w:w="60" w:type="dxa"/>
              <w:bottom w:w="60" w:type="dxa"/>
            </w:tcMar>
            <w:vAlign w:val="center"/>
          </w:tcPr>
          <w:p>
            <w:pPr>
              <w:pStyle w:val="Normal"/>
              <w:spacing w:lineRule="auto" w:line="271"/>
              <w:rPr/>
            </w:pPr>
            <w:r>
              <w:rPr>
                <w:sz w:val="21"/>
                <w:szCs w:val="21"/>
              </w:rPr>
              <w:t>Lập bản đồ use case; chấm điểm giá trị / khả thi / rủi ro</w:t>
            </w:r>
          </w:p>
        </w:tc>
        <w:tc>
          <w:tcPr>
            <w:tcW w:w="2501" w:type="dxa"/>
            <w:tcBorders>
              <w:top w:val="single" w:sz="2" w:space="0" w:color="C9D6E5"/>
              <w:left w:val="single" w:sz="2" w:space="0" w:color="C9D6E5"/>
              <w:bottom w:val="single" w:sz="2" w:space="0" w:color="C9D6E5"/>
              <w:right w:val="single" w:sz="2" w:space="0" w:color="C9D6E5"/>
            </w:tcBorders>
            <w:shd w:fill="FFFFFF" w:val="clear"/>
            <w:tcMar>
              <w:top w:w="60" w:type="dxa"/>
              <w:bottom w:w="60" w:type="dxa"/>
            </w:tcMar>
            <w:vAlign w:val="center"/>
          </w:tcPr>
          <w:p>
            <w:pPr>
              <w:pStyle w:val="Normal"/>
              <w:spacing w:lineRule="auto" w:line="271"/>
              <w:rPr/>
            </w:pPr>
            <w:r>
              <w:rPr>
                <w:sz w:val="21"/>
                <w:szCs w:val="21"/>
              </w:rPr>
              <w:t>Danh mục ưu tiên &amp; KPI</w:t>
            </w:r>
          </w:p>
        </w:tc>
      </w:tr>
      <w:tr>
        <w:trPr/>
        <w:tc>
          <w:tcPr>
            <w:tcW w:w="1979" w:type="dxa"/>
            <w:tcBorders>
              <w:top w:val="single" w:sz="2" w:space="0" w:color="C9D6E5"/>
              <w:left w:val="single" w:sz="2" w:space="0" w:color="C9D6E5"/>
              <w:bottom w:val="single" w:sz="2" w:space="0" w:color="C9D6E5"/>
              <w:right w:val="single" w:sz="2" w:space="0" w:color="C9D6E5"/>
            </w:tcBorders>
            <w:shd w:fill="F4F7FB" w:val="clear"/>
            <w:tcMar>
              <w:top w:w="60" w:type="dxa"/>
              <w:bottom w:w="60" w:type="dxa"/>
            </w:tcMar>
            <w:vAlign w:val="center"/>
          </w:tcPr>
          <w:p>
            <w:pPr>
              <w:pStyle w:val="Normal"/>
              <w:spacing w:lineRule="auto" w:line="271"/>
              <w:rPr/>
            </w:pPr>
            <w:r>
              <w:rPr>
                <w:sz w:val="21"/>
                <w:szCs w:val="21"/>
              </w:rPr>
              <w:t>2. Thiết kế &amp; nguyên mẫu</w:t>
            </w:r>
          </w:p>
        </w:tc>
        <w:tc>
          <w:tcPr>
            <w:tcW w:w="1821" w:type="dxa"/>
            <w:tcBorders>
              <w:top w:val="single" w:sz="2" w:space="0" w:color="C9D6E5"/>
              <w:left w:val="single" w:sz="2" w:space="0" w:color="C9D6E5"/>
              <w:bottom w:val="single" w:sz="2" w:space="0" w:color="C9D6E5"/>
              <w:right w:val="single" w:sz="2" w:space="0" w:color="C9D6E5"/>
            </w:tcBorders>
            <w:shd w:fill="F4F7FB" w:val="clear"/>
            <w:tcMar>
              <w:top w:w="60" w:type="dxa"/>
              <w:bottom w:w="60" w:type="dxa"/>
            </w:tcMar>
            <w:vAlign w:val="center"/>
          </w:tcPr>
          <w:p>
            <w:pPr>
              <w:pStyle w:val="Normal"/>
              <w:spacing w:lineRule="auto" w:line="271"/>
              <w:rPr/>
            </w:pPr>
            <w:r>
              <w:rPr>
                <w:sz w:val="21"/>
                <w:szCs w:val="21"/>
              </w:rPr>
              <w:t>Chứng minh khả thi</w:t>
            </w:r>
          </w:p>
        </w:tc>
        <w:tc>
          <w:tcPr>
            <w:tcW w:w="3059" w:type="dxa"/>
            <w:tcBorders>
              <w:top w:val="single" w:sz="2" w:space="0" w:color="C9D6E5"/>
              <w:left w:val="single" w:sz="2" w:space="0" w:color="C9D6E5"/>
              <w:bottom w:val="single" w:sz="2" w:space="0" w:color="C9D6E5"/>
              <w:right w:val="single" w:sz="2" w:space="0" w:color="C9D6E5"/>
            </w:tcBorders>
            <w:shd w:fill="F4F7FB" w:val="clear"/>
            <w:tcMar>
              <w:top w:w="60" w:type="dxa"/>
              <w:bottom w:w="60" w:type="dxa"/>
            </w:tcMar>
            <w:vAlign w:val="center"/>
          </w:tcPr>
          <w:p>
            <w:pPr>
              <w:pStyle w:val="Normal"/>
              <w:spacing w:lineRule="auto" w:line="271"/>
              <w:rPr/>
            </w:pPr>
            <w:r>
              <w:rPr>
                <w:sz w:val="21"/>
                <w:szCs w:val="21"/>
              </w:rPr>
              <w:t>Thiết kế luồng tác tử, hàng rào an toàn; dựng nguyên mẫu</w:t>
            </w:r>
          </w:p>
        </w:tc>
        <w:tc>
          <w:tcPr>
            <w:tcW w:w="2501" w:type="dxa"/>
            <w:tcBorders>
              <w:top w:val="single" w:sz="2" w:space="0" w:color="C9D6E5"/>
              <w:left w:val="single" w:sz="2" w:space="0" w:color="C9D6E5"/>
              <w:bottom w:val="single" w:sz="2" w:space="0" w:color="C9D6E5"/>
              <w:right w:val="single" w:sz="2" w:space="0" w:color="C9D6E5"/>
            </w:tcBorders>
            <w:shd w:fill="F4F7FB" w:val="clear"/>
            <w:tcMar>
              <w:top w:w="60" w:type="dxa"/>
              <w:bottom w:w="60" w:type="dxa"/>
            </w:tcMar>
            <w:vAlign w:val="center"/>
          </w:tcPr>
          <w:p>
            <w:pPr>
              <w:pStyle w:val="Normal"/>
              <w:spacing w:lineRule="auto" w:line="271"/>
              <w:rPr/>
            </w:pPr>
            <w:r>
              <w:rPr>
                <w:sz w:val="21"/>
                <w:szCs w:val="21"/>
              </w:rPr>
              <w:t>Proof</w:t>
              <w:noBreakHyphen/>
              <w:t>of</w:t>
              <w:noBreakHyphen/>
              <w:t>concept</w:t>
            </w:r>
          </w:p>
        </w:tc>
      </w:tr>
      <w:tr>
        <w:trPr/>
        <w:tc>
          <w:tcPr>
            <w:tcW w:w="1979" w:type="dxa"/>
            <w:tcBorders>
              <w:top w:val="single" w:sz="2" w:space="0" w:color="C9D6E5"/>
              <w:left w:val="single" w:sz="2" w:space="0" w:color="C9D6E5"/>
              <w:bottom w:val="single" w:sz="2" w:space="0" w:color="C9D6E5"/>
              <w:right w:val="single" w:sz="2" w:space="0" w:color="C9D6E5"/>
            </w:tcBorders>
            <w:shd w:fill="FFFFFF" w:val="clear"/>
            <w:tcMar>
              <w:top w:w="60" w:type="dxa"/>
              <w:bottom w:w="60" w:type="dxa"/>
            </w:tcMar>
            <w:vAlign w:val="center"/>
          </w:tcPr>
          <w:p>
            <w:pPr>
              <w:pStyle w:val="Normal"/>
              <w:spacing w:lineRule="auto" w:line="271"/>
              <w:rPr/>
            </w:pPr>
            <w:r>
              <w:rPr>
                <w:sz w:val="21"/>
                <w:szCs w:val="21"/>
              </w:rPr>
              <w:t>3. Thí điểm có kiểm soát</w:t>
            </w:r>
          </w:p>
        </w:tc>
        <w:tc>
          <w:tcPr>
            <w:tcW w:w="1821" w:type="dxa"/>
            <w:tcBorders>
              <w:top w:val="single" w:sz="2" w:space="0" w:color="C9D6E5"/>
              <w:left w:val="single" w:sz="2" w:space="0" w:color="C9D6E5"/>
              <w:bottom w:val="single" w:sz="2" w:space="0" w:color="C9D6E5"/>
              <w:right w:val="single" w:sz="2" w:space="0" w:color="C9D6E5"/>
            </w:tcBorders>
            <w:shd w:fill="FFFFFF" w:val="clear"/>
            <w:tcMar>
              <w:top w:w="60" w:type="dxa"/>
              <w:bottom w:w="60" w:type="dxa"/>
            </w:tcMar>
            <w:vAlign w:val="center"/>
          </w:tcPr>
          <w:p>
            <w:pPr>
              <w:pStyle w:val="Normal"/>
              <w:spacing w:lineRule="auto" w:line="271"/>
              <w:rPr/>
            </w:pPr>
            <w:r>
              <w:rPr>
                <w:sz w:val="21"/>
                <w:szCs w:val="21"/>
              </w:rPr>
              <w:t>Kiểm chứng giá trị</w:t>
            </w:r>
          </w:p>
        </w:tc>
        <w:tc>
          <w:tcPr>
            <w:tcW w:w="3059" w:type="dxa"/>
            <w:tcBorders>
              <w:top w:val="single" w:sz="2" w:space="0" w:color="C9D6E5"/>
              <w:left w:val="single" w:sz="2" w:space="0" w:color="C9D6E5"/>
              <w:bottom w:val="single" w:sz="2" w:space="0" w:color="C9D6E5"/>
              <w:right w:val="single" w:sz="2" w:space="0" w:color="C9D6E5"/>
            </w:tcBorders>
            <w:shd w:fill="FFFFFF" w:val="clear"/>
            <w:tcMar>
              <w:top w:w="60" w:type="dxa"/>
              <w:bottom w:w="60" w:type="dxa"/>
            </w:tcMar>
            <w:vAlign w:val="center"/>
          </w:tcPr>
          <w:p>
            <w:pPr>
              <w:pStyle w:val="Normal"/>
              <w:spacing w:lineRule="auto" w:line="271"/>
              <w:rPr/>
            </w:pPr>
            <w:r>
              <w:rPr>
                <w:sz w:val="21"/>
                <w:szCs w:val="21"/>
              </w:rPr>
              <w:t>Chạy thật phạm vi hẹp, human</w:t>
              <w:noBreakHyphen/>
              <w:t>in</w:t>
              <w:noBreakHyphen/>
              <w:t>the</w:t>
              <w:noBreakHyphen/>
              <w:t>loop, đo KPI</w:t>
            </w:r>
          </w:p>
        </w:tc>
        <w:tc>
          <w:tcPr>
            <w:tcW w:w="2501" w:type="dxa"/>
            <w:tcBorders>
              <w:top w:val="single" w:sz="2" w:space="0" w:color="C9D6E5"/>
              <w:left w:val="single" w:sz="2" w:space="0" w:color="C9D6E5"/>
              <w:bottom w:val="single" w:sz="2" w:space="0" w:color="C9D6E5"/>
              <w:right w:val="single" w:sz="2" w:space="0" w:color="C9D6E5"/>
            </w:tcBorders>
            <w:shd w:fill="FFFFFF" w:val="clear"/>
            <w:tcMar>
              <w:top w:w="60" w:type="dxa"/>
              <w:bottom w:w="60" w:type="dxa"/>
            </w:tcMar>
            <w:vAlign w:val="center"/>
          </w:tcPr>
          <w:p>
            <w:pPr>
              <w:pStyle w:val="Normal"/>
              <w:spacing w:lineRule="auto" w:line="271"/>
              <w:rPr/>
            </w:pPr>
            <w:r>
              <w:rPr>
                <w:sz w:val="21"/>
                <w:szCs w:val="21"/>
              </w:rPr>
              <w:t>Bằng chứng ROI</w:t>
            </w:r>
          </w:p>
        </w:tc>
      </w:tr>
      <w:tr>
        <w:trPr/>
        <w:tc>
          <w:tcPr>
            <w:tcW w:w="1979" w:type="dxa"/>
            <w:tcBorders>
              <w:top w:val="single" w:sz="2" w:space="0" w:color="C9D6E5"/>
              <w:left w:val="single" w:sz="2" w:space="0" w:color="C9D6E5"/>
              <w:bottom w:val="single" w:sz="2" w:space="0" w:color="C9D6E5"/>
              <w:right w:val="single" w:sz="2" w:space="0" w:color="C9D6E5"/>
            </w:tcBorders>
            <w:shd w:fill="F4F7FB" w:val="clear"/>
            <w:tcMar>
              <w:top w:w="60" w:type="dxa"/>
              <w:bottom w:w="60" w:type="dxa"/>
            </w:tcMar>
            <w:vAlign w:val="center"/>
          </w:tcPr>
          <w:p>
            <w:pPr>
              <w:pStyle w:val="Normal"/>
              <w:spacing w:lineRule="auto" w:line="271"/>
              <w:rPr/>
            </w:pPr>
            <w:r>
              <w:rPr>
                <w:sz w:val="21"/>
                <w:szCs w:val="21"/>
              </w:rPr>
              <w:t>4. Production &amp; mở rộng</w:t>
            </w:r>
          </w:p>
        </w:tc>
        <w:tc>
          <w:tcPr>
            <w:tcW w:w="1821" w:type="dxa"/>
            <w:tcBorders>
              <w:top w:val="single" w:sz="2" w:space="0" w:color="C9D6E5"/>
              <w:left w:val="single" w:sz="2" w:space="0" w:color="C9D6E5"/>
              <w:bottom w:val="single" w:sz="2" w:space="0" w:color="C9D6E5"/>
              <w:right w:val="single" w:sz="2" w:space="0" w:color="C9D6E5"/>
            </w:tcBorders>
            <w:shd w:fill="F4F7FB" w:val="clear"/>
            <w:tcMar>
              <w:top w:w="60" w:type="dxa"/>
              <w:bottom w:w="60" w:type="dxa"/>
            </w:tcMar>
            <w:vAlign w:val="center"/>
          </w:tcPr>
          <w:p>
            <w:pPr>
              <w:pStyle w:val="Normal"/>
              <w:spacing w:lineRule="auto" w:line="271"/>
              <w:rPr/>
            </w:pPr>
            <w:r>
              <w:rPr>
                <w:sz w:val="21"/>
                <w:szCs w:val="21"/>
              </w:rPr>
              <w:t>Nhân rộng</w:t>
            </w:r>
          </w:p>
        </w:tc>
        <w:tc>
          <w:tcPr>
            <w:tcW w:w="3059" w:type="dxa"/>
            <w:tcBorders>
              <w:top w:val="single" w:sz="2" w:space="0" w:color="C9D6E5"/>
              <w:left w:val="single" w:sz="2" w:space="0" w:color="C9D6E5"/>
              <w:bottom w:val="single" w:sz="2" w:space="0" w:color="C9D6E5"/>
              <w:right w:val="single" w:sz="2" w:space="0" w:color="C9D6E5"/>
            </w:tcBorders>
            <w:shd w:fill="F4F7FB" w:val="clear"/>
            <w:tcMar>
              <w:top w:w="60" w:type="dxa"/>
              <w:bottom w:w="60" w:type="dxa"/>
            </w:tcMar>
            <w:vAlign w:val="center"/>
          </w:tcPr>
          <w:p>
            <w:pPr>
              <w:pStyle w:val="Normal"/>
              <w:spacing w:lineRule="auto" w:line="271"/>
              <w:rPr/>
            </w:pPr>
            <w:r>
              <w:rPr>
                <w:sz w:val="21"/>
                <w:szCs w:val="21"/>
              </w:rPr>
              <w:t>Tăng cường tích hợp, định danh, giám sát; chuẩn hóa mẫu hình</w:t>
            </w:r>
          </w:p>
        </w:tc>
        <w:tc>
          <w:tcPr>
            <w:tcW w:w="2501" w:type="dxa"/>
            <w:tcBorders>
              <w:top w:val="single" w:sz="2" w:space="0" w:color="C9D6E5"/>
              <w:left w:val="single" w:sz="2" w:space="0" w:color="C9D6E5"/>
              <w:bottom w:val="single" w:sz="2" w:space="0" w:color="C9D6E5"/>
              <w:right w:val="single" w:sz="2" w:space="0" w:color="C9D6E5"/>
            </w:tcBorders>
            <w:shd w:fill="F4F7FB" w:val="clear"/>
            <w:tcMar>
              <w:top w:w="60" w:type="dxa"/>
              <w:bottom w:w="60" w:type="dxa"/>
            </w:tcMar>
            <w:vAlign w:val="center"/>
          </w:tcPr>
          <w:p>
            <w:pPr>
              <w:pStyle w:val="Normal"/>
              <w:spacing w:lineRule="auto" w:line="271"/>
              <w:rPr/>
            </w:pPr>
            <w:r>
              <w:rPr>
                <w:sz w:val="21"/>
                <w:szCs w:val="21"/>
              </w:rPr>
              <w:t>Tác tử vận hành thật</w:t>
            </w:r>
          </w:p>
        </w:tc>
      </w:tr>
      <w:tr>
        <w:trPr/>
        <w:tc>
          <w:tcPr>
            <w:tcW w:w="1979" w:type="dxa"/>
            <w:tcBorders>
              <w:top w:val="single" w:sz="2" w:space="0" w:color="C9D6E5"/>
              <w:left w:val="single" w:sz="2" w:space="0" w:color="C9D6E5"/>
              <w:bottom w:val="single" w:sz="2" w:space="0" w:color="C9D6E5"/>
              <w:right w:val="single" w:sz="2" w:space="0" w:color="C9D6E5"/>
            </w:tcBorders>
            <w:shd w:fill="FFFFFF" w:val="clear"/>
            <w:tcMar>
              <w:top w:w="60" w:type="dxa"/>
              <w:bottom w:w="60" w:type="dxa"/>
            </w:tcMar>
            <w:vAlign w:val="center"/>
          </w:tcPr>
          <w:p>
            <w:pPr>
              <w:pStyle w:val="Normal"/>
              <w:spacing w:lineRule="auto" w:line="271"/>
              <w:rPr/>
            </w:pPr>
            <w:r>
              <w:rPr>
                <w:sz w:val="21"/>
                <w:szCs w:val="21"/>
              </w:rPr>
              <w:t>5. Vận hành &amp; cải tiến</w:t>
            </w:r>
          </w:p>
        </w:tc>
        <w:tc>
          <w:tcPr>
            <w:tcW w:w="1821" w:type="dxa"/>
            <w:tcBorders>
              <w:top w:val="single" w:sz="2" w:space="0" w:color="C9D6E5"/>
              <w:left w:val="single" w:sz="2" w:space="0" w:color="C9D6E5"/>
              <w:bottom w:val="single" w:sz="2" w:space="0" w:color="C9D6E5"/>
              <w:right w:val="single" w:sz="2" w:space="0" w:color="C9D6E5"/>
            </w:tcBorders>
            <w:shd w:fill="FFFFFF" w:val="clear"/>
            <w:tcMar>
              <w:top w:w="60" w:type="dxa"/>
              <w:bottom w:w="60" w:type="dxa"/>
            </w:tcMar>
            <w:vAlign w:val="center"/>
          </w:tcPr>
          <w:p>
            <w:pPr>
              <w:pStyle w:val="Normal"/>
              <w:spacing w:lineRule="auto" w:line="271"/>
              <w:rPr/>
            </w:pPr>
            <w:r>
              <w:rPr>
                <w:sz w:val="21"/>
                <w:szCs w:val="21"/>
              </w:rPr>
              <w:t>Bền vững (AgentOps)</w:t>
            </w:r>
          </w:p>
        </w:tc>
        <w:tc>
          <w:tcPr>
            <w:tcW w:w="3059" w:type="dxa"/>
            <w:tcBorders>
              <w:top w:val="single" w:sz="2" w:space="0" w:color="C9D6E5"/>
              <w:left w:val="single" w:sz="2" w:space="0" w:color="C9D6E5"/>
              <w:bottom w:val="single" w:sz="2" w:space="0" w:color="C9D6E5"/>
              <w:right w:val="single" w:sz="2" w:space="0" w:color="C9D6E5"/>
            </w:tcBorders>
            <w:shd w:fill="FFFFFF" w:val="clear"/>
            <w:tcMar>
              <w:top w:w="60" w:type="dxa"/>
              <w:bottom w:w="60" w:type="dxa"/>
            </w:tcMar>
            <w:vAlign w:val="center"/>
          </w:tcPr>
          <w:p>
            <w:pPr>
              <w:pStyle w:val="Normal"/>
              <w:spacing w:lineRule="auto" w:line="271"/>
              <w:rPr/>
            </w:pPr>
            <w:r>
              <w:rPr>
                <w:sz w:val="21"/>
                <w:szCs w:val="21"/>
              </w:rPr>
              <w:t>Giám sát hiệu năng / chi phí; đánh giá và tối ưu liên tục</w:t>
            </w:r>
          </w:p>
        </w:tc>
        <w:tc>
          <w:tcPr>
            <w:tcW w:w="2501" w:type="dxa"/>
            <w:tcBorders>
              <w:top w:val="single" w:sz="2" w:space="0" w:color="C9D6E5"/>
              <w:left w:val="single" w:sz="2" w:space="0" w:color="C9D6E5"/>
              <w:bottom w:val="single" w:sz="2" w:space="0" w:color="C9D6E5"/>
              <w:right w:val="single" w:sz="2" w:space="0" w:color="C9D6E5"/>
            </w:tcBorders>
            <w:shd w:fill="FFFFFF" w:val="clear"/>
            <w:tcMar>
              <w:top w:w="60" w:type="dxa"/>
              <w:bottom w:w="60" w:type="dxa"/>
            </w:tcMar>
            <w:vAlign w:val="center"/>
          </w:tcPr>
          <w:p>
            <w:pPr>
              <w:pStyle w:val="Normal"/>
              <w:spacing w:lineRule="auto" w:line="271"/>
              <w:rPr/>
            </w:pPr>
            <w:r>
              <w:rPr>
                <w:sz w:val="21"/>
                <w:szCs w:val="21"/>
              </w:rPr>
              <w:t>Cải tiến &amp; mở rộng tiếp</w:t>
            </w:r>
          </w:p>
        </w:tc>
      </w:tr>
    </w:tbl>
    <w:p>
      <w:pPr>
        <w:pStyle w:val="Normal"/>
        <w:spacing w:before="0" w:after="40"/>
        <w:rPr/>
      </w:pPr>
      <w:r>
        <w:rPr/>
      </w:r>
    </w:p>
    <w:p>
      <w:pPr>
        <w:pStyle w:val="Heading3"/>
        <w:rPr/>
      </w:pPr>
      <w:bookmarkStart w:id="42" w:name="__RefHeading___Toc1257_217012103"/>
      <w:bookmarkEnd w:id="42"/>
      <w:r>
        <w:rPr/>
        <w:t>Các yếu tố thành công then chốt</w:t>
      </w:r>
    </w:p>
    <w:p>
      <w:pPr>
        <w:pStyle w:val="ListParagraph"/>
        <w:numPr>
          <w:ilvl w:val="0"/>
          <w:numId w:val="1"/>
        </w:numPr>
        <w:spacing w:lineRule="auto" w:line="302" w:before="0" w:after="98"/>
        <w:jc w:val="both"/>
        <w:rPr/>
      </w:pPr>
      <w:r>
        <w:rPr>
          <w:b/>
          <w:bCs/>
        </w:rPr>
        <w:t>Bảo trợ từ lãnh đạo:</w:t>
      </w:r>
      <w:r>
        <w:rPr/>
        <w:t xml:space="preserve"> một người chịu trách nhiệm cấp điều hành (executive sponsor) và ngân sách rõ ràng.</w:t>
      </w:r>
    </w:p>
    <w:p>
      <w:pPr>
        <w:pStyle w:val="ListParagraph"/>
        <w:numPr>
          <w:ilvl w:val="0"/>
          <w:numId w:val="1"/>
        </w:numPr>
        <w:spacing w:lineRule="auto" w:line="302" w:before="0" w:after="98"/>
        <w:jc w:val="both"/>
        <w:rPr/>
      </w:pPr>
      <w:r>
        <w:rPr>
          <w:b/>
          <w:bCs/>
        </w:rPr>
        <w:t>Đội ngũ đa chức năng:</w:t>
      </w:r>
      <w:r>
        <w:rPr/>
        <w:t xml:space="preserve"> kết hợp nghiệp vụ, dữ liệu, kỹ thuật và rủi ro ngay từ đầu.</w:t>
      </w:r>
    </w:p>
    <w:p>
      <w:pPr>
        <w:pStyle w:val="ListParagraph"/>
        <w:numPr>
          <w:ilvl w:val="0"/>
          <w:numId w:val="1"/>
        </w:numPr>
        <w:spacing w:lineRule="auto" w:line="302" w:before="0" w:after="98"/>
        <w:jc w:val="both"/>
        <w:rPr/>
      </w:pPr>
      <w:r>
        <w:rPr>
          <w:b/>
          <w:bCs/>
        </w:rPr>
        <w:t>Tư duy sản phẩm, không phải dự án:</w:t>
      </w:r>
      <w:r>
        <w:rPr/>
        <w:t xml:space="preserve"> tác tử cần được vận hành, đo lường và cải tiến liên tục như một sản phẩm sống.</w:t>
      </w:r>
    </w:p>
    <w:p>
      <w:pPr>
        <w:pStyle w:val="ListParagraph"/>
        <w:numPr>
          <w:ilvl w:val="0"/>
          <w:numId w:val="1"/>
        </w:numPr>
        <w:spacing w:lineRule="auto" w:line="302" w:before="0" w:after="98"/>
        <w:jc w:val="both"/>
        <w:rPr/>
      </w:pPr>
      <w:r>
        <w:rPr>
          <w:b/>
          <w:bCs/>
        </w:rPr>
        <w:t>Quản trị thay đổi:</w:t>
      </w:r>
      <w:r>
        <w:rPr/>
        <w:t xml:space="preserve"> truyền thông minh bạch và đào tạo để nhân viên tin tưởng và cộng tác với tác tử.</w:t>
      </w:r>
    </w:p>
    <w:tbl>
      <w:tblPr>
        <w:tblW w:w="9360" w:type="dxa"/>
        <w:jc w:val="left"/>
        <w:tblInd w:w="255" w:type="dxa"/>
        <w:tblLayout w:type="fixed"/>
        <w:tblCellMar>
          <w:top w:w="140" w:type="dxa"/>
          <w:left w:w="220" w:type="dxa"/>
          <w:bottom w:w="140" w:type="dxa"/>
          <w:right w:w="200" w:type="dxa"/>
        </w:tblCellMar>
      </w:tblPr>
      <w:tblGrid>
        <w:gridCol w:w="9360"/>
      </w:tblGrid>
      <w:tr>
        <w:trPr/>
        <w:tc>
          <w:tcPr>
            <w:tcW w:w="9360" w:type="dxa"/>
            <w:tcBorders>
              <w:top w:val="single" w:sz="2" w:space="0" w:color="FBF1DD"/>
              <w:left w:val="single" w:sz="28" w:space="0" w:color="E0890F"/>
              <w:bottom w:val="single" w:sz="2" w:space="0" w:color="FBF1DD"/>
              <w:right w:val="single" w:sz="2" w:space="0" w:color="FBF1DD"/>
            </w:tcBorders>
            <w:shd w:fill="FBF1DD" w:val="clear"/>
          </w:tcPr>
          <w:p>
            <w:pPr>
              <w:pStyle w:val="Normal"/>
              <w:spacing w:before="0" w:after="60"/>
              <w:rPr/>
            </w:pPr>
            <w:r>
              <w:rPr>
                <w:b/>
                <w:bCs/>
                <w:color w:val="E0890F"/>
                <w:sz w:val="23"/>
                <w:szCs w:val="23"/>
              </w:rPr>
              <w:t>Sai lầm cần tránh</w:t>
            </w:r>
          </w:p>
          <w:p>
            <w:pPr>
              <w:pStyle w:val="Normal"/>
              <w:spacing w:lineRule="auto" w:line="281" w:before="0" w:after="0"/>
              <w:rPr/>
            </w:pPr>
            <w:r>
              <w:rPr>
                <w:sz w:val="22"/>
                <w:szCs w:val="22"/>
              </w:rPr>
              <w:t>Triển khai dàn trải hàng chục thử nghiệm rời rạc không có KPI; coi nhẹ chất lượng dữ liệu; bỏ qua quản trị cho đến khi sự cố xảy ra; và kỳ vọng tự chủ hoàn toàn ngay lập tức thay vì nâng dần mức độ tự chủ theo niềm tin tích lũy được.</w:t>
            </w:r>
          </w:p>
        </w:tc>
      </w:tr>
    </w:tbl>
    <w:p>
      <w:pPr>
        <w:pStyle w:val="Heading1"/>
        <w:rPr/>
      </w:pPr>
      <w:bookmarkStart w:id="43" w:name="__RefHeading___Toc1259_217012103"/>
      <w:bookmarkEnd w:id="43"/>
      <w:r>
        <w:rPr/>
        <w:t>Kết luận</w:t>
      </w:r>
    </w:p>
    <w:p>
      <w:pPr>
        <w:pStyle w:val="Normal"/>
        <w:spacing w:before="0" w:after="20"/>
        <w:rPr/>
      </w:pPr>
      <w:r>
        <w:rPr/>
      </w:r>
    </w:p>
    <w:tbl>
      <w:tblPr>
        <w:tblW w:w="9360" w:type="dxa"/>
        <w:jc w:val="left"/>
        <w:tblInd w:w="255" w:type="dxa"/>
        <w:tblLayout w:type="fixed"/>
        <w:tblCellMar>
          <w:top w:w="140" w:type="dxa"/>
          <w:left w:w="220" w:type="dxa"/>
          <w:bottom w:w="140" w:type="dxa"/>
          <w:right w:w="200" w:type="dxa"/>
        </w:tblCellMar>
      </w:tblPr>
      <w:tblGrid>
        <w:gridCol w:w="9360"/>
      </w:tblGrid>
      <w:tr>
        <w:trPr/>
        <w:tc>
          <w:tcPr>
            <w:tcW w:w="9360" w:type="dxa"/>
            <w:tcBorders>
              <w:top w:val="single" w:sz="2" w:space="0" w:color="FBF1DD"/>
              <w:left w:val="single" w:sz="28" w:space="0" w:color="E0890F"/>
              <w:bottom w:val="single" w:sz="2" w:space="0" w:color="FBF1DD"/>
              <w:right w:val="single" w:sz="2" w:space="0" w:color="FBF1DD"/>
            </w:tcBorders>
            <w:shd w:fill="FBF1DD" w:val="clear"/>
          </w:tcPr>
          <w:p>
            <w:pPr>
              <w:pStyle w:val="Normal"/>
              <w:spacing w:before="0" w:after="60"/>
              <w:rPr/>
            </w:pPr>
            <w:r>
              <w:rPr>
                <w:b/>
                <w:bCs/>
                <w:color w:val="E0890F"/>
                <w:sz w:val="23"/>
                <w:szCs w:val="23"/>
              </w:rPr>
              <w:t>Thông điệp cuối cùng</w:t>
            </w:r>
          </w:p>
          <w:p>
            <w:pPr>
              <w:pStyle w:val="Normal"/>
              <w:spacing w:lineRule="auto" w:line="281" w:before="0" w:after="70"/>
              <w:rPr/>
            </w:pPr>
            <w:r>
              <w:rPr>
                <w:sz w:val="22"/>
                <w:szCs w:val="22"/>
              </w:rPr>
              <w:t>AI Agent đang ở điểm uốn của đường cong áp dụng: công nghệ đã đủ chín để tạo giá trị thực, hạ tầng đã đủ chuẩn hóa để mở rộng, và bằng chứng ROI đã đủ thuyết phục. Khoảng cách lớn giữa “áp dụng” và “triển khai thật” chính là cửa sổ cơ hội cho những doanh nghiệp hành động sớm và có kỷ luật.</w:t>
            </w:r>
          </w:p>
          <w:p>
            <w:pPr>
              <w:pStyle w:val="Normal"/>
              <w:spacing w:lineRule="auto" w:line="281" w:before="0" w:after="0"/>
              <w:rPr/>
            </w:pPr>
            <w:r>
              <w:rPr>
                <w:sz w:val="22"/>
                <w:szCs w:val="22"/>
              </w:rPr>
              <w:t xml:space="preserve">Người chiến thắng trong ba năm tới sẽ không phải là người sở hữu mô hình mạnh nhất, mà là người </w:t>
            </w:r>
            <w:r>
              <w:rPr>
                <w:b/>
                <w:bCs/>
                <w:sz w:val="22"/>
                <w:szCs w:val="22"/>
              </w:rPr>
              <w:t>biến tác tử thành năng lực vận hành đáng tin cậy</w:t>
            </w:r>
            <w:r>
              <w:rPr>
                <w:sz w:val="22"/>
                <w:szCs w:val="22"/>
              </w:rPr>
              <w:t xml:space="preserve"> — gắn với bài toán kinh doanh rõ ràng, được nâng đỡ bởi dữ liệu chất lượng và quản trị vững vàng. Câu hỏi dành cho Ban Lãnh đạo không phải là “khi nào bắt đầu”, mà là “bắt đầu ở đâu, và làm sao để mở rộng an toàn”.</w:t>
            </w:r>
          </w:p>
        </w:tc>
      </w:tr>
    </w:tbl>
    <w:p>
      <w:pPr>
        <w:pStyle w:val="Heading1"/>
        <w:rPr/>
      </w:pPr>
      <w:bookmarkStart w:id="44" w:name="__RefHeading___Toc1261_217012103"/>
      <w:bookmarkEnd w:id="44"/>
      <w:r>
        <w:rPr/>
        <w:t>Phụ lục A — Thuật ngữ</w:t>
      </w:r>
    </w:p>
    <w:p>
      <w:pPr>
        <w:pStyle w:val="Normal"/>
        <w:spacing w:lineRule="auto" w:line="314" w:before="0" w:after="165"/>
        <w:jc w:val="both"/>
        <w:rPr/>
      </w:pPr>
      <w:r>
        <w:rPr/>
        <w:t>Bảng thuật ngữ ngắn gọn giúp Ban Lãnh đạo và các bên liên quan thống nhất cách hiểu khi trao đổi về AI Agent.</w:t>
      </w:r>
    </w:p>
    <w:tbl>
      <w:tblPr>
        <w:tblW w:w="9360" w:type="dxa"/>
        <w:jc w:val="left"/>
        <w:tblInd w:w="111" w:type="dxa"/>
        <w:tblLayout w:type="fixed"/>
        <w:tblCellMar>
          <w:top w:w="70" w:type="dxa"/>
          <w:left w:w="110" w:type="dxa"/>
          <w:bottom w:w="70" w:type="dxa"/>
          <w:right w:w="110" w:type="dxa"/>
        </w:tblCellMar>
      </w:tblPr>
      <w:tblGrid>
        <w:gridCol w:w="2600"/>
        <w:gridCol w:w="6760"/>
      </w:tblGrid>
      <w:tr>
        <w:trPr>
          <w:tblHeader w:val="true"/>
        </w:trPr>
        <w:tc>
          <w:tcPr>
            <w:tcW w:w="2600" w:type="dxa"/>
            <w:tcBorders>
              <w:top w:val="single" w:sz="2" w:space="0" w:color="C9D6E5"/>
              <w:left w:val="single" w:sz="2" w:space="0" w:color="C9D6E5"/>
              <w:bottom w:val="single" w:sz="2" w:space="0" w:color="C9D6E5"/>
              <w:right w:val="single" w:sz="2" w:space="0" w:color="C9D6E5"/>
            </w:tcBorders>
            <w:shd w:fill="0F2440" w:val="clear"/>
            <w:vAlign w:val="center"/>
          </w:tcPr>
          <w:p>
            <w:pPr>
              <w:pStyle w:val="Normal"/>
              <w:rPr/>
            </w:pPr>
            <w:r>
              <w:rPr>
                <w:b/>
                <w:bCs/>
                <w:color w:val="FFFFFF"/>
                <w:sz w:val="21"/>
                <w:szCs w:val="21"/>
              </w:rPr>
              <w:t>Thuật ngữ</w:t>
            </w:r>
          </w:p>
        </w:tc>
        <w:tc>
          <w:tcPr>
            <w:tcW w:w="6760" w:type="dxa"/>
            <w:tcBorders>
              <w:top w:val="single" w:sz="2" w:space="0" w:color="C9D6E5"/>
              <w:left w:val="single" w:sz="2" w:space="0" w:color="C9D6E5"/>
              <w:bottom w:val="single" w:sz="2" w:space="0" w:color="C9D6E5"/>
              <w:right w:val="single" w:sz="2" w:space="0" w:color="C9D6E5"/>
            </w:tcBorders>
            <w:shd w:fill="0F2440" w:val="clear"/>
            <w:vAlign w:val="center"/>
          </w:tcPr>
          <w:p>
            <w:pPr>
              <w:pStyle w:val="Normal"/>
              <w:rPr/>
            </w:pPr>
            <w:r>
              <w:rPr>
                <w:b/>
                <w:bCs/>
                <w:color w:val="FFFFFF"/>
                <w:sz w:val="21"/>
                <w:szCs w:val="21"/>
              </w:rPr>
              <w:t>Giải nghĩa ngắn gọn</w:t>
            </w:r>
          </w:p>
        </w:tc>
      </w:tr>
      <w:tr>
        <w:trPr/>
        <w:tc>
          <w:tcPr>
            <w:tcW w:w="2600" w:type="dxa"/>
            <w:tcBorders>
              <w:top w:val="single" w:sz="2" w:space="0" w:color="C9D6E5"/>
              <w:left w:val="single" w:sz="2" w:space="0" w:color="C9D6E5"/>
              <w:bottom w:val="single" w:sz="2" w:space="0" w:color="C9D6E5"/>
              <w:right w:val="single" w:sz="2" w:space="0" w:color="C9D6E5"/>
            </w:tcBorders>
            <w:shd w:fill="FFFFFF" w:val="clear"/>
            <w:tcMar>
              <w:top w:w="60" w:type="dxa"/>
              <w:bottom w:w="60" w:type="dxa"/>
            </w:tcMar>
            <w:vAlign w:val="center"/>
          </w:tcPr>
          <w:p>
            <w:pPr>
              <w:pStyle w:val="Normal"/>
              <w:spacing w:lineRule="auto" w:line="271"/>
              <w:rPr/>
            </w:pPr>
            <w:r>
              <w:rPr>
                <w:sz w:val="21"/>
                <w:szCs w:val="21"/>
              </w:rPr>
              <w:t>AI Agent (tác tử AI)</w:t>
            </w:r>
          </w:p>
        </w:tc>
        <w:tc>
          <w:tcPr>
            <w:tcW w:w="6760" w:type="dxa"/>
            <w:tcBorders>
              <w:top w:val="single" w:sz="2" w:space="0" w:color="C9D6E5"/>
              <w:left w:val="single" w:sz="2" w:space="0" w:color="C9D6E5"/>
              <w:bottom w:val="single" w:sz="2" w:space="0" w:color="C9D6E5"/>
              <w:right w:val="single" w:sz="2" w:space="0" w:color="C9D6E5"/>
            </w:tcBorders>
            <w:shd w:fill="FFFFFF" w:val="clear"/>
            <w:tcMar>
              <w:top w:w="60" w:type="dxa"/>
              <w:bottom w:w="60" w:type="dxa"/>
            </w:tcMar>
            <w:vAlign w:val="center"/>
          </w:tcPr>
          <w:p>
            <w:pPr>
              <w:pStyle w:val="Normal"/>
              <w:spacing w:lineRule="auto" w:line="271"/>
              <w:rPr/>
            </w:pPr>
            <w:r>
              <w:rPr>
                <w:sz w:val="21"/>
                <w:szCs w:val="21"/>
              </w:rPr>
              <w:t>Hệ thống AI tự lập kế hoạch, ra quyết định và hành động để đạt mục tiêu được giao.</w:t>
            </w:r>
          </w:p>
        </w:tc>
      </w:tr>
      <w:tr>
        <w:trPr/>
        <w:tc>
          <w:tcPr>
            <w:tcW w:w="2600" w:type="dxa"/>
            <w:tcBorders>
              <w:top w:val="single" w:sz="2" w:space="0" w:color="C9D6E5"/>
              <w:left w:val="single" w:sz="2" w:space="0" w:color="C9D6E5"/>
              <w:bottom w:val="single" w:sz="2" w:space="0" w:color="C9D6E5"/>
              <w:right w:val="single" w:sz="2" w:space="0" w:color="C9D6E5"/>
            </w:tcBorders>
            <w:shd w:fill="F4F7FB" w:val="clear"/>
            <w:tcMar>
              <w:top w:w="60" w:type="dxa"/>
              <w:bottom w:w="60" w:type="dxa"/>
            </w:tcMar>
            <w:vAlign w:val="center"/>
          </w:tcPr>
          <w:p>
            <w:pPr>
              <w:pStyle w:val="Normal"/>
              <w:spacing w:lineRule="auto" w:line="271"/>
              <w:rPr/>
            </w:pPr>
            <w:r>
              <w:rPr>
                <w:sz w:val="21"/>
                <w:szCs w:val="21"/>
              </w:rPr>
              <w:t>Agentic AI</w:t>
            </w:r>
          </w:p>
        </w:tc>
        <w:tc>
          <w:tcPr>
            <w:tcW w:w="6760" w:type="dxa"/>
            <w:tcBorders>
              <w:top w:val="single" w:sz="2" w:space="0" w:color="C9D6E5"/>
              <w:left w:val="single" w:sz="2" w:space="0" w:color="C9D6E5"/>
              <w:bottom w:val="single" w:sz="2" w:space="0" w:color="C9D6E5"/>
              <w:right w:val="single" w:sz="2" w:space="0" w:color="C9D6E5"/>
            </w:tcBorders>
            <w:shd w:fill="F4F7FB" w:val="clear"/>
            <w:tcMar>
              <w:top w:w="60" w:type="dxa"/>
              <w:bottom w:w="60" w:type="dxa"/>
            </w:tcMar>
            <w:vAlign w:val="center"/>
          </w:tcPr>
          <w:p>
            <w:pPr>
              <w:pStyle w:val="Normal"/>
              <w:spacing w:lineRule="auto" w:line="271"/>
              <w:rPr/>
            </w:pPr>
            <w:r>
              <w:rPr>
                <w:sz w:val="21"/>
                <w:szCs w:val="21"/>
              </w:rPr>
              <w:t>Cách tiếp cận AI nhấn mạnh tính tự chủ và khả năng hành động của tác tử.</w:t>
            </w:r>
          </w:p>
        </w:tc>
      </w:tr>
      <w:tr>
        <w:trPr/>
        <w:tc>
          <w:tcPr>
            <w:tcW w:w="2600" w:type="dxa"/>
            <w:tcBorders>
              <w:top w:val="single" w:sz="2" w:space="0" w:color="C9D6E5"/>
              <w:left w:val="single" w:sz="2" w:space="0" w:color="C9D6E5"/>
              <w:bottom w:val="single" w:sz="2" w:space="0" w:color="C9D6E5"/>
              <w:right w:val="single" w:sz="2" w:space="0" w:color="C9D6E5"/>
            </w:tcBorders>
            <w:shd w:fill="FFFFFF" w:val="clear"/>
            <w:tcMar>
              <w:top w:w="60" w:type="dxa"/>
              <w:bottom w:w="60" w:type="dxa"/>
            </w:tcMar>
            <w:vAlign w:val="center"/>
          </w:tcPr>
          <w:p>
            <w:pPr>
              <w:pStyle w:val="Normal"/>
              <w:spacing w:lineRule="auto" w:line="271"/>
              <w:rPr/>
            </w:pPr>
            <w:r>
              <w:rPr>
                <w:sz w:val="21"/>
                <w:szCs w:val="21"/>
              </w:rPr>
              <w:t>LLM</w:t>
            </w:r>
          </w:p>
        </w:tc>
        <w:tc>
          <w:tcPr>
            <w:tcW w:w="6760" w:type="dxa"/>
            <w:tcBorders>
              <w:top w:val="single" w:sz="2" w:space="0" w:color="C9D6E5"/>
              <w:left w:val="single" w:sz="2" w:space="0" w:color="C9D6E5"/>
              <w:bottom w:val="single" w:sz="2" w:space="0" w:color="C9D6E5"/>
              <w:right w:val="single" w:sz="2" w:space="0" w:color="C9D6E5"/>
            </w:tcBorders>
            <w:shd w:fill="FFFFFF" w:val="clear"/>
            <w:tcMar>
              <w:top w:w="60" w:type="dxa"/>
              <w:bottom w:w="60" w:type="dxa"/>
            </w:tcMar>
            <w:vAlign w:val="center"/>
          </w:tcPr>
          <w:p>
            <w:pPr>
              <w:pStyle w:val="Normal"/>
              <w:spacing w:lineRule="auto" w:line="271"/>
              <w:rPr/>
            </w:pPr>
            <w:r>
              <w:rPr>
                <w:sz w:val="21"/>
                <w:szCs w:val="21"/>
              </w:rPr>
              <w:t>Mô hình ngôn ngữ lớn — đóng vai trò “bộ não” suy luận của tác tử.</w:t>
            </w:r>
          </w:p>
        </w:tc>
      </w:tr>
      <w:tr>
        <w:trPr/>
        <w:tc>
          <w:tcPr>
            <w:tcW w:w="2600" w:type="dxa"/>
            <w:tcBorders>
              <w:top w:val="single" w:sz="2" w:space="0" w:color="C9D6E5"/>
              <w:left w:val="single" w:sz="2" w:space="0" w:color="C9D6E5"/>
              <w:bottom w:val="single" w:sz="2" w:space="0" w:color="C9D6E5"/>
              <w:right w:val="single" w:sz="2" w:space="0" w:color="C9D6E5"/>
            </w:tcBorders>
            <w:shd w:fill="F4F7FB" w:val="clear"/>
            <w:tcMar>
              <w:top w:w="60" w:type="dxa"/>
              <w:bottom w:w="60" w:type="dxa"/>
            </w:tcMar>
            <w:vAlign w:val="center"/>
          </w:tcPr>
          <w:p>
            <w:pPr>
              <w:pStyle w:val="Normal"/>
              <w:spacing w:lineRule="auto" w:line="271"/>
              <w:rPr/>
            </w:pPr>
            <w:r>
              <w:rPr>
                <w:sz w:val="21"/>
                <w:szCs w:val="21"/>
              </w:rPr>
              <w:t>RPA</w:t>
            </w:r>
          </w:p>
        </w:tc>
        <w:tc>
          <w:tcPr>
            <w:tcW w:w="6760" w:type="dxa"/>
            <w:tcBorders>
              <w:top w:val="single" w:sz="2" w:space="0" w:color="C9D6E5"/>
              <w:left w:val="single" w:sz="2" w:space="0" w:color="C9D6E5"/>
              <w:bottom w:val="single" w:sz="2" w:space="0" w:color="C9D6E5"/>
              <w:right w:val="single" w:sz="2" w:space="0" w:color="C9D6E5"/>
            </w:tcBorders>
            <w:shd w:fill="F4F7FB" w:val="clear"/>
            <w:tcMar>
              <w:top w:w="60" w:type="dxa"/>
              <w:bottom w:w="60" w:type="dxa"/>
            </w:tcMar>
            <w:vAlign w:val="center"/>
          </w:tcPr>
          <w:p>
            <w:pPr>
              <w:pStyle w:val="Normal"/>
              <w:spacing w:lineRule="auto" w:line="271"/>
              <w:rPr/>
            </w:pPr>
            <w:r>
              <w:rPr>
                <w:sz w:val="21"/>
                <w:szCs w:val="21"/>
              </w:rPr>
              <w:t>Tự động hóa quy trình bằng robot theo quy tắc cố định.</w:t>
            </w:r>
          </w:p>
        </w:tc>
      </w:tr>
      <w:tr>
        <w:trPr/>
        <w:tc>
          <w:tcPr>
            <w:tcW w:w="2600" w:type="dxa"/>
            <w:tcBorders>
              <w:top w:val="single" w:sz="2" w:space="0" w:color="C9D6E5"/>
              <w:left w:val="single" w:sz="2" w:space="0" w:color="C9D6E5"/>
              <w:bottom w:val="single" w:sz="2" w:space="0" w:color="C9D6E5"/>
              <w:right w:val="single" w:sz="2" w:space="0" w:color="C9D6E5"/>
            </w:tcBorders>
            <w:shd w:fill="FFFFFF" w:val="clear"/>
            <w:tcMar>
              <w:top w:w="60" w:type="dxa"/>
              <w:bottom w:w="60" w:type="dxa"/>
            </w:tcMar>
            <w:vAlign w:val="center"/>
          </w:tcPr>
          <w:p>
            <w:pPr>
              <w:pStyle w:val="Normal"/>
              <w:spacing w:lineRule="auto" w:line="271"/>
              <w:rPr/>
            </w:pPr>
            <w:r>
              <w:rPr>
                <w:sz w:val="21"/>
                <w:szCs w:val="21"/>
              </w:rPr>
              <w:t>MCP</w:t>
            </w:r>
          </w:p>
        </w:tc>
        <w:tc>
          <w:tcPr>
            <w:tcW w:w="6760" w:type="dxa"/>
            <w:tcBorders>
              <w:top w:val="single" w:sz="2" w:space="0" w:color="C9D6E5"/>
              <w:left w:val="single" w:sz="2" w:space="0" w:color="C9D6E5"/>
              <w:bottom w:val="single" w:sz="2" w:space="0" w:color="C9D6E5"/>
              <w:right w:val="single" w:sz="2" w:space="0" w:color="C9D6E5"/>
            </w:tcBorders>
            <w:shd w:fill="FFFFFF" w:val="clear"/>
            <w:tcMar>
              <w:top w:w="60" w:type="dxa"/>
              <w:bottom w:w="60" w:type="dxa"/>
            </w:tcMar>
            <w:vAlign w:val="center"/>
          </w:tcPr>
          <w:p>
            <w:pPr>
              <w:pStyle w:val="Normal"/>
              <w:spacing w:lineRule="auto" w:line="271"/>
              <w:rPr/>
            </w:pPr>
            <w:r>
              <w:rPr>
                <w:sz w:val="21"/>
                <w:szCs w:val="21"/>
              </w:rPr>
              <w:t>Giao thức chuẩn hóa kết nối tác tử với công cụ và dữ liệu (Anthropic).</w:t>
            </w:r>
          </w:p>
        </w:tc>
      </w:tr>
      <w:tr>
        <w:trPr/>
        <w:tc>
          <w:tcPr>
            <w:tcW w:w="2600" w:type="dxa"/>
            <w:tcBorders>
              <w:top w:val="single" w:sz="2" w:space="0" w:color="C9D6E5"/>
              <w:left w:val="single" w:sz="2" w:space="0" w:color="C9D6E5"/>
              <w:bottom w:val="single" w:sz="2" w:space="0" w:color="C9D6E5"/>
              <w:right w:val="single" w:sz="2" w:space="0" w:color="C9D6E5"/>
            </w:tcBorders>
            <w:shd w:fill="F4F7FB" w:val="clear"/>
            <w:tcMar>
              <w:top w:w="60" w:type="dxa"/>
              <w:bottom w:w="60" w:type="dxa"/>
            </w:tcMar>
            <w:vAlign w:val="center"/>
          </w:tcPr>
          <w:p>
            <w:pPr>
              <w:pStyle w:val="Normal"/>
              <w:spacing w:lineRule="auto" w:line="271"/>
              <w:rPr/>
            </w:pPr>
            <w:r>
              <w:rPr>
                <w:sz w:val="21"/>
                <w:szCs w:val="21"/>
              </w:rPr>
              <w:t>A2A</w:t>
            </w:r>
          </w:p>
        </w:tc>
        <w:tc>
          <w:tcPr>
            <w:tcW w:w="6760" w:type="dxa"/>
            <w:tcBorders>
              <w:top w:val="single" w:sz="2" w:space="0" w:color="C9D6E5"/>
              <w:left w:val="single" w:sz="2" w:space="0" w:color="C9D6E5"/>
              <w:bottom w:val="single" w:sz="2" w:space="0" w:color="C9D6E5"/>
              <w:right w:val="single" w:sz="2" w:space="0" w:color="C9D6E5"/>
            </w:tcBorders>
            <w:shd w:fill="F4F7FB" w:val="clear"/>
            <w:tcMar>
              <w:top w:w="60" w:type="dxa"/>
              <w:bottom w:w="60" w:type="dxa"/>
            </w:tcMar>
            <w:vAlign w:val="center"/>
          </w:tcPr>
          <w:p>
            <w:pPr>
              <w:pStyle w:val="Normal"/>
              <w:spacing w:lineRule="auto" w:line="271"/>
              <w:rPr/>
            </w:pPr>
            <w:r>
              <w:rPr>
                <w:sz w:val="21"/>
                <w:szCs w:val="21"/>
              </w:rPr>
              <w:t>Giao thức chuẩn hóa giao tiếp giữa các tác tử với nhau (Google).</w:t>
            </w:r>
          </w:p>
        </w:tc>
      </w:tr>
      <w:tr>
        <w:trPr/>
        <w:tc>
          <w:tcPr>
            <w:tcW w:w="2600" w:type="dxa"/>
            <w:tcBorders>
              <w:top w:val="single" w:sz="2" w:space="0" w:color="C9D6E5"/>
              <w:left w:val="single" w:sz="2" w:space="0" w:color="C9D6E5"/>
              <w:bottom w:val="single" w:sz="2" w:space="0" w:color="C9D6E5"/>
              <w:right w:val="single" w:sz="2" w:space="0" w:color="C9D6E5"/>
            </w:tcBorders>
            <w:shd w:fill="FFFFFF" w:val="clear"/>
            <w:tcMar>
              <w:top w:w="60" w:type="dxa"/>
              <w:bottom w:w="60" w:type="dxa"/>
            </w:tcMar>
            <w:vAlign w:val="center"/>
          </w:tcPr>
          <w:p>
            <w:pPr>
              <w:pStyle w:val="Normal"/>
              <w:spacing w:lineRule="auto" w:line="271"/>
              <w:rPr/>
            </w:pPr>
            <w:r>
              <w:rPr>
                <w:sz w:val="21"/>
                <w:szCs w:val="21"/>
              </w:rPr>
              <w:t>Multi</w:t>
              <w:noBreakHyphen/>
              <w:t>agent</w:t>
            </w:r>
          </w:p>
        </w:tc>
        <w:tc>
          <w:tcPr>
            <w:tcW w:w="6760" w:type="dxa"/>
            <w:tcBorders>
              <w:top w:val="single" w:sz="2" w:space="0" w:color="C9D6E5"/>
              <w:left w:val="single" w:sz="2" w:space="0" w:color="C9D6E5"/>
              <w:bottom w:val="single" w:sz="2" w:space="0" w:color="C9D6E5"/>
              <w:right w:val="single" w:sz="2" w:space="0" w:color="C9D6E5"/>
            </w:tcBorders>
            <w:shd w:fill="FFFFFF" w:val="clear"/>
            <w:tcMar>
              <w:top w:w="60" w:type="dxa"/>
              <w:bottom w:w="60" w:type="dxa"/>
            </w:tcMar>
            <w:vAlign w:val="center"/>
          </w:tcPr>
          <w:p>
            <w:pPr>
              <w:pStyle w:val="Normal"/>
              <w:spacing w:lineRule="auto" w:line="271"/>
              <w:rPr/>
            </w:pPr>
            <w:r>
              <w:rPr>
                <w:sz w:val="21"/>
                <w:szCs w:val="21"/>
              </w:rPr>
              <w:t>Hệ nhiều tác tử chuyên biệt phối hợp xử lý nhiệm vụ phức tạp.</w:t>
            </w:r>
          </w:p>
        </w:tc>
      </w:tr>
      <w:tr>
        <w:trPr/>
        <w:tc>
          <w:tcPr>
            <w:tcW w:w="2600" w:type="dxa"/>
            <w:tcBorders>
              <w:top w:val="single" w:sz="2" w:space="0" w:color="C9D6E5"/>
              <w:left w:val="single" w:sz="2" w:space="0" w:color="C9D6E5"/>
              <w:bottom w:val="single" w:sz="2" w:space="0" w:color="C9D6E5"/>
              <w:right w:val="single" w:sz="2" w:space="0" w:color="C9D6E5"/>
            </w:tcBorders>
            <w:shd w:fill="F4F7FB" w:val="clear"/>
            <w:tcMar>
              <w:top w:w="60" w:type="dxa"/>
              <w:bottom w:w="60" w:type="dxa"/>
            </w:tcMar>
            <w:vAlign w:val="center"/>
          </w:tcPr>
          <w:p>
            <w:pPr>
              <w:pStyle w:val="Normal"/>
              <w:spacing w:lineRule="auto" w:line="271"/>
              <w:rPr/>
            </w:pPr>
            <w:r>
              <w:rPr>
                <w:sz w:val="21"/>
                <w:szCs w:val="21"/>
              </w:rPr>
              <w:t>Human</w:t>
              <w:noBreakHyphen/>
              <w:t>in</w:t>
              <w:noBreakHyphen/>
              <w:t>the</w:t>
              <w:noBreakHyphen/>
              <w:t>loop</w:t>
            </w:r>
          </w:p>
        </w:tc>
        <w:tc>
          <w:tcPr>
            <w:tcW w:w="6760" w:type="dxa"/>
            <w:tcBorders>
              <w:top w:val="single" w:sz="2" w:space="0" w:color="C9D6E5"/>
              <w:left w:val="single" w:sz="2" w:space="0" w:color="C9D6E5"/>
              <w:bottom w:val="single" w:sz="2" w:space="0" w:color="C9D6E5"/>
              <w:right w:val="single" w:sz="2" w:space="0" w:color="C9D6E5"/>
            </w:tcBorders>
            <w:shd w:fill="F4F7FB" w:val="clear"/>
            <w:tcMar>
              <w:top w:w="60" w:type="dxa"/>
              <w:bottom w:w="60" w:type="dxa"/>
            </w:tcMar>
            <w:vAlign w:val="center"/>
          </w:tcPr>
          <w:p>
            <w:pPr>
              <w:pStyle w:val="Normal"/>
              <w:spacing w:lineRule="auto" w:line="271"/>
              <w:rPr/>
            </w:pPr>
            <w:r>
              <w:rPr>
                <w:sz w:val="21"/>
                <w:szCs w:val="21"/>
              </w:rPr>
              <w:t>Cơ chế giữ con người trong vòng giám sát / phê duyệt.</w:t>
            </w:r>
          </w:p>
        </w:tc>
      </w:tr>
      <w:tr>
        <w:trPr/>
        <w:tc>
          <w:tcPr>
            <w:tcW w:w="2600" w:type="dxa"/>
            <w:tcBorders>
              <w:top w:val="single" w:sz="2" w:space="0" w:color="C9D6E5"/>
              <w:left w:val="single" w:sz="2" w:space="0" w:color="C9D6E5"/>
              <w:bottom w:val="single" w:sz="2" w:space="0" w:color="C9D6E5"/>
              <w:right w:val="single" w:sz="2" w:space="0" w:color="C9D6E5"/>
            </w:tcBorders>
            <w:shd w:fill="FFFFFF" w:val="clear"/>
            <w:tcMar>
              <w:top w:w="60" w:type="dxa"/>
              <w:bottom w:w="60" w:type="dxa"/>
            </w:tcMar>
            <w:vAlign w:val="center"/>
          </w:tcPr>
          <w:p>
            <w:pPr>
              <w:pStyle w:val="Normal"/>
              <w:spacing w:lineRule="auto" w:line="271"/>
              <w:rPr/>
            </w:pPr>
            <w:r>
              <w:rPr>
                <w:sz w:val="21"/>
                <w:szCs w:val="21"/>
              </w:rPr>
              <w:t>RAG</w:t>
            </w:r>
          </w:p>
        </w:tc>
        <w:tc>
          <w:tcPr>
            <w:tcW w:w="6760" w:type="dxa"/>
            <w:tcBorders>
              <w:top w:val="single" w:sz="2" w:space="0" w:color="C9D6E5"/>
              <w:left w:val="single" w:sz="2" w:space="0" w:color="C9D6E5"/>
              <w:bottom w:val="single" w:sz="2" w:space="0" w:color="C9D6E5"/>
              <w:right w:val="single" w:sz="2" w:space="0" w:color="C9D6E5"/>
            </w:tcBorders>
            <w:shd w:fill="FFFFFF" w:val="clear"/>
            <w:tcMar>
              <w:top w:w="60" w:type="dxa"/>
              <w:bottom w:w="60" w:type="dxa"/>
            </w:tcMar>
            <w:vAlign w:val="center"/>
          </w:tcPr>
          <w:p>
            <w:pPr>
              <w:pStyle w:val="Normal"/>
              <w:spacing w:lineRule="auto" w:line="271"/>
              <w:rPr/>
            </w:pPr>
            <w:r>
              <w:rPr>
                <w:sz w:val="21"/>
                <w:szCs w:val="21"/>
              </w:rPr>
              <w:t>Tăng cường truy xuất — cho tác tử dựa trên dữ liệu riêng của doanh nghiệp.</w:t>
            </w:r>
          </w:p>
        </w:tc>
      </w:tr>
      <w:tr>
        <w:trPr/>
        <w:tc>
          <w:tcPr>
            <w:tcW w:w="2600" w:type="dxa"/>
            <w:tcBorders>
              <w:top w:val="single" w:sz="2" w:space="0" w:color="C9D6E5"/>
              <w:left w:val="single" w:sz="2" w:space="0" w:color="C9D6E5"/>
              <w:bottom w:val="single" w:sz="2" w:space="0" w:color="C9D6E5"/>
              <w:right w:val="single" w:sz="2" w:space="0" w:color="C9D6E5"/>
            </w:tcBorders>
            <w:shd w:fill="F4F7FB" w:val="clear"/>
            <w:tcMar>
              <w:top w:w="60" w:type="dxa"/>
              <w:bottom w:w="60" w:type="dxa"/>
            </w:tcMar>
            <w:vAlign w:val="center"/>
          </w:tcPr>
          <w:p>
            <w:pPr>
              <w:pStyle w:val="Normal"/>
              <w:spacing w:lineRule="auto" w:line="271"/>
              <w:rPr/>
            </w:pPr>
            <w:r>
              <w:rPr>
                <w:sz w:val="21"/>
                <w:szCs w:val="21"/>
              </w:rPr>
              <w:t>AgentOps</w:t>
            </w:r>
          </w:p>
        </w:tc>
        <w:tc>
          <w:tcPr>
            <w:tcW w:w="6760" w:type="dxa"/>
            <w:tcBorders>
              <w:top w:val="single" w:sz="2" w:space="0" w:color="C9D6E5"/>
              <w:left w:val="single" w:sz="2" w:space="0" w:color="C9D6E5"/>
              <w:bottom w:val="single" w:sz="2" w:space="0" w:color="C9D6E5"/>
              <w:right w:val="single" w:sz="2" w:space="0" w:color="C9D6E5"/>
            </w:tcBorders>
            <w:shd w:fill="F4F7FB" w:val="clear"/>
            <w:tcMar>
              <w:top w:w="60" w:type="dxa"/>
              <w:bottom w:w="60" w:type="dxa"/>
            </w:tcMar>
            <w:vAlign w:val="center"/>
          </w:tcPr>
          <w:p>
            <w:pPr>
              <w:pStyle w:val="Normal"/>
              <w:spacing w:lineRule="auto" w:line="271"/>
              <w:rPr/>
            </w:pPr>
            <w:r>
              <w:rPr>
                <w:sz w:val="21"/>
                <w:szCs w:val="21"/>
              </w:rPr>
              <w:t>Tập thực hành vận hành, giám sát và cải tiến tác tử ở quy mô.</w:t>
            </w:r>
          </w:p>
        </w:tc>
      </w:tr>
      <w:tr>
        <w:trPr/>
        <w:tc>
          <w:tcPr>
            <w:tcW w:w="2600" w:type="dxa"/>
            <w:tcBorders>
              <w:top w:val="single" w:sz="2" w:space="0" w:color="C9D6E5"/>
              <w:left w:val="single" w:sz="2" w:space="0" w:color="C9D6E5"/>
              <w:bottom w:val="single" w:sz="2" w:space="0" w:color="C9D6E5"/>
              <w:right w:val="single" w:sz="2" w:space="0" w:color="C9D6E5"/>
            </w:tcBorders>
            <w:shd w:fill="FFFFFF" w:val="clear"/>
            <w:tcMar>
              <w:top w:w="60" w:type="dxa"/>
              <w:bottom w:w="60" w:type="dxa"/>
            </w:tcMar>
            <w:vAlign w:val="center"/>
          </w:tcPr>
          <w:p>
            <w:pPr>
              <w:pStyle w:val="Normal"/>
              <w:spacing w:lineRule="auto" w:line="271"/>
              <w:rPr/>
            </w:pPr>
            <w:r>
              <w:rPr>
                <w:sz w:val="21"/>
                <w:szCs w:val="21"/>
              </w:rPr>
              <w:t>Orchestration</w:t>
            </w:r>
          </w:p>
        </w:tc>
        <w:tc>
          <w:tcPr>
            <w:tcW w:w="6760" w:type="dxa"/>
            <w:tcBorders>
              <w:top w:val="single" w:sz="2" w:space="0" w:color="C9D6E5"/>
              <w:left w:val="single" w:sz="2" w:space="0" w:color="C9D6E5"/>
              <w:bottom w:val="single" w:sz="2" w:space="0" w:color="C9D6E5"/>
              <w:right w:val="single" w:sz="2" w:space="0" w:color="C9D6E5"/>
            </w:tcBorders>
            <w:shd w:fill="FFFFFF" w:val="clear"/>
            <w:tcMar>
              <w:top w:w="60" w:type="dxa"/>
              <w:bottom w:w="60" w:type="dxa"/>
            </w:tcMar>
            <w:vAlign w:val="center"/>
          </w:tcPr>
          <w:p>
            <w:pPr>
              <w:pStyle w:val="Normal"/>
              <w:spacing w:lineRule="auto" w:line="271"/>
              <w:rPr/>
            </w:pPr>
            <w:r>
              <w:rPr>
                <w:sz w:val="21"/>
                <w:szCs w:val="21"/>
              </w:rPr>
              <w:t>Lớp điều phối nhiều tác tử và công cụ phối hợp với nhau.</w:t>
            </w:r>
          </w:p>
        </w:tc>
      </w:tr>
      <w:tr>
        <w:trPr/>
        <w:tc>
          <w:tcPr>
            <w:tcW w:w="2600" w:type="dxa"/>
            <w:tcBorders>
              <w:top w:val="single" w:sz="2" w:space="0" w:color="C9D6E5"/>
              <w:left w:val="single" w:sz="2" w:space="0" w:color="C9D6E5"/>
              <w:bottom w:val="single" w:sz="2" w:space="0" w:color="C9D6E5"/>
              <w:right w:val="single" w:sz="2" w:space="0" w:color="C9D6E5"/>
            </w:tcBorders>
            <w:shd w:fill="F4F7FB" w:val="clear"/>
            <w:tcMar>
              <w:top w:w="60" w:type="dxa"/>
              <w:bottom w:w="60" w:type="dxa"/>
            </w:tcMar>
            <w:vAlign w:val="center"/>
          </w:tcPr>
          <w:p>
            <w:pPr>
              <w:pStyle w:val="Normal"/>
              <w:spacing w:lineRule="auto" w:line="271"/>
              <w:rPr/>
            </w:pPr>
            <w:r>
              <w:rPr>
                <w:sz w:val="21"/>
                <w:szCs w:val="21"/>
              </w:rPr>
              <w:t>TCO</w:t>
            </w:r>
          </w:p>
        </w:tc>
        <w:tc>
          <w:tcPr>
            <w:tcW w:w="6760" w:type="dxa"/>
            <w:tcBorders>
              <w:top w:val="single" w:sz="2" w:space="0" w:color="C9D6E5"/>
              <w:left w:val="single" w:sz="2" w:space="0" w:color="C9D6E5"/>
              <w:bottom w:val="single" w:sz="2" w:space="0" w:color="C9D6E5"/>
              <w:right w:val="single" w:sz="2" w:space="0" w:color="C9D6E5"/>
            </w:tcBorders>
            <w:shd w:fill="F4F7FB" w:val="clear"/>
            <w:tcMar>
              <w:top w:w="60" w:type="dxa"/>
              <w:bottom w:w="60" w:type="dxa"/>
            </w:tcMar>
            <w:vAlign w:val="center"/>
          </w:tcPr>
          <w:p>
            <w:pPr>
              <w:pStyle w:val="Normal"/>
              <w:spacing w:lineRule="auto" w:line="271"/>
              <w:rPr/>
            </w:pPr>
            <w:r>
              <w:rPr>
                <w:sz w:val="21"/>
                <w:szCs w:val="21"/>
              </w:rPr>
              <w:t>Tổng chi phí sở hữu, gồm cả dữ liệu, tích hợp, quản trị và con người.</w:t>
            </w:r>
          </w:p>
        </w:tc>
      </w:tr>
    </w:tbl>
    <w:p>
      <w:pPr>
        <w:pStyle w:val="Heading1"/>
        <w:rPr/>
      </w:pPr>
      <w:bookmarkStart w:id="45" w:name="__RefHeading___Toc1263_217012103"/>
      <w:bookmarkEnd w:id="45"/>
      <w:r>
        <w:rPr/>
        <w:t>Phụ lục B — Tự đánh giá mức độ sẵn sàng</w:t>
      </w:r>
    </w:p>
    <w:p>
      <w:pPr>
        <w:pStyle w:val="Normal"/>
        <w:spacing w:lineRule="auto" w:line="314" w:before="0" w:after="165"/>
        <w:jc w:val="both"/>
        <w:rPr/>
      </w:pPr>
      <w:r>
        <w:rPr/>
        <w:t>Bộ câu hỏi dưới đây giúp Ban Lãnh đạo nhanh chóng định vị mức độ sẵn sàng của tổ chức trên sáu trụ cột. Mỗi câu trả lời “chưa” là một hạng mục cần ưu tiên đầu tư.</w:t>
      </w:r>
    </w:p>
    <w:tbl>
      <w:tblPr>
        <w:tblW w:w="9360" w:type="dxa"/>
        <w:jc w:val="left"/>
        <w:tblInd w:w="111" w:type="dxa"/>
        <w:tblLayout w:type="fixed"/>
        <w:tblCellMar>
          <w:top w:w="70" w:type="dxa"/>
          <w:left w:w="110" w:type="dxa"/>
          <w:bottom w:w="70" w:type="dxa"/>
          <w:right w:w="110" w:type="dxa"/>
        </w:tblCellMar>
      </w:tblPr>
      <w:tblGrid>
        <w:gridCol w:w="2199"/>
        <w:gridCol w:w="7161"/>
      </w:tblGrid>
      <w:tr>
        <w:trPr>
          <w:tblHeader w:val="true"/>
        </w:trPr>
        <w:tc>
          <w:tcPr>
            <w:tcW w:w="2199" w:type="dxa"/>
            <w:tcBorders>
              <w:top w:val="single" w:sz="2" w:space="0" w:color="C9D6E5"/>
              <w:left w:val="single" w:sz="2" w:space="0" w:color="C9D6E5"/>
              <w:bottom w:val="single" w:sz="2" w:space="0" w:color="C9D6E5"/>
              <w:right w:val="single" w:sz="2" w:space="0" w:color="C9D6E5"/>
            </w:tcBorders>
            <w:shd w:fill="0F2440" w:val="clear"/>
            <w:vAlign w:val="center"/>
          </w:tcPr>
          <w:p>
            <w:pPr>
              <w:pStyle w:val="Normal"/>
              <w:rPr/>
            </w:pPr>
            <w:r>
              <w:rPr>
                <w:b/>
                <w:bCs/>
                <w:color w:val="FFFFFF"/>
                <w:sz w:val="21"/>
                <w:szCs w:val="21"/>
              </w:rPr>
              <w:t>Trụ cột</w:t>
            </w:r>
          </w:p>
        </w:tc>
        <w:tc>
          <w:tcPr>
            <w:tcW w:w="7161" w:type="dxa"/>
            <w:tcBorders>
              <w:top w:val="single" w:sz="2" w:space="0" w:color="C9D6E5"/>
              <w:left w:val="single" w:sz="2" w:space="0" w:color="C9D6E5"/>
              <w:bottom w:val="single" w:sz="2" w:space="0" w:color="C9D6E5"/>
              <w:right w:val="single" w:sz="2" w:space="0" w:color="C9D6E5"/>
            </w:tcBorders>
            <w:shd w:fill="0F2440" w:val="clear"/>
            <w:vAlign w:val="center"/>
          </w:tcPr>
          <w:p>
            <w:pPr>
              <w:pStyle w:val="Normal"/>
              <w:rPr/>
            </w:pPr>
            <w:r>
              <w:rPr>
                <w:b/>
                <w:bCs/>
                <w:color w:val="FFFFFF"/>
                <w:sz w:val="21"/>
                <w:szCs w:val="21"/>
              </w:rPr>
              <w:t>Câu hỏi tự đánh giá</w:t>
            </w:r>
          </w:p>
        </w:tc>
      </w:tr>
      <w:tr>
        <w:trPr/>
        <w:tc>
          <w:tcPr>
            <w:tcW w:w="2199" w:type="dxa"/>
            <w:tcBorders>
              <w:top w:val="single" w:sz="2" w:space="0" w:color="C9D6E5"/>
              <w:left w:val="single" w:sz="2" w:space="0" w:color="C9D6E5"/>
              <w:bottom w:val="single" w:sz="2" w:space="0" w:color="C9D6E5"/>
              <w:right w:val="single" w:sz="2" w:space="0" w:color="C9D6E5"/>
            </w:tcBorders>
            <w:shd w:fill="FFFFFF" w:val="clear"/>
            <w:tcMar>
              <w:top w:w="60" w:type="dxa"/>
              <w:bottom w:w="60" w:type="dxa"/>
            </w:tcMar>
            <w:vAlign w:val="center"/>
          </w:tcPr>
          <w:p>
            <w:pPr>
              <w:pStyle w:val="Normal"/>
              <w:spacing w:lineRule="auto" w:line="271"/>
              <w:rPr/>
            </w:pPr>
            <w:r>
              <w:rPr>
                <w:sz w:val="21"/>
                <w:szCs w:val="21"/>
              </w:rPr>
              <w:t>Chiến lược</w:t>
            </w:r>
          </w:p>
        </w:tc>
        <w:tc>
          <w:tcPr>
            <w:tcW w:w="7161" w:type="dxa"/>
            <w:tcBorders>
              <w:top w:val="single" w:sz="2" w:space="0" w:color="C9D6E5"/>
              <w:left w:val="single" w:sz="2" w:space="0" w:color="C9D6E5"/>
              <w:bottom w:val="single" w:sz="2" w:space="0" w:color="C9D6E5"/>
              <w:right w:val="single" w:sz="2" w:space="0" w:color="C9D6E5"/>
            </w:tcBorders>
            <w:shd w:fill="FFFFFF" w:val="clear"/>
            <w:tcMar>
              <w:top w:w="60" w:type="dxa"/>
              <w:bottom w:w="60" w:type="dxa"/>
            </w:tcMar>
            <w:vAlign w:val="center"/>
          </w:tcPr>
          <w:p>
            <w:pPr>
              <w:pStyle w:val="Normal"/>
              <w:spacing w:lineRule="auto" w:line="271"/>
              <w:rPr/>
            </w:pPr>
            <w:r>
              <w:rPr>
                <w:sz w:val="21"/>
                <w:szCs w:val="21"/>
              </w:rPr>
              <w:t>Đã xác định 1–3 use case ưu tiên gắn KPI và giá trị kinh doanh rõ ràng?</w:t>
            </w:r>
          </w:p>
        </w:tc>
      </w:tr>
      <w:tr>
        <w:trPr/>
        <w:tc>
          <w:tcPr>
            <w:tcW w:w="2199" w:type="dxa"/>
            <w:tcBorders>
              <w:top w:val="single" w:sz="2" w:space="0" w:color="C9D6E5"/>
              <w:left w:val="single" w:sz="2" w:space="0" w:color="C9D6E5"/>
              <w:bottom w:val="single" w:sz="2" w:space="0" w:color="C9D6E5"/>
              <w:right w:val="single" w:sz="2" w:space="0" w:color="C9D6E5"/>
            </w:tcBorders>
            <w:shd w:fill="F4F7FB" w:val="clear"/>
            <w:tcMar>
              <w:top w:w="60" w:type="dxa"/>
              <w:bottom w:w="60" w:type="dxa"/>
            </w:tcMar>
            <w:vAlign w:val="center"/>
          </w:tcPr>
          <w:p>
            <w:pPr>
              <w:pStyle w:val="Normal"/>
              <w:spacing w:lineRule="auto" w:line="271"/>
              <w:rPr/>
            </w:pPr>
            <w:r>
              <w:rPr>
                <w:sz w:val="21"/>
                <w:szCs w:val="21"/>
              </w:rPr>
              <w:t>Dữ liệu</w:t>
            </w:r>
          </w:p>
        </w:tc>
        <w:tc>
          <w:tcPr>
            <w:tcW w:w="7161" w:type="dxa"/>
            <w:tcBorders>
              <w:top w:val="single" w:sz="2" w:space="0" w:color="C9D6E5"/>
              <w:left w:val="single" w:sz="2" w:space="0" w:color="C9D6E5"/>
              <w:bottom w:val="single" w:sz="2" w:space="0" w:color="C9D6E5"/>
              <w:right w:val="single" w:sz="2" w:space="0" w:color="C9D6E5"/>
            </w:tcBorders>
            <w:shd w:fill="F4F7FB" w:val="clear"/>
            <w:tcMar>
              <w:top w:w="60" w:type="dxa"/>
              <w:bottom w:w="60" w:type="dxa"/>
            </w:tcMar>
            <w:vAlign w:val="center"/>
          </w:tcPr>
          <w:p>
            <w:pPr>
              <w:pStyle w:val="Normal"/>
              <w:spacing w:lineRule="auto" w:line="271"/>
              <w:rPr/>
            </w:pPr>
            <w:r>
              <w:rPr>
                <w:sz w:val="21"/>
                <w:szCs w:val="21"/>
              </w:rPr>
              <w:t>Dữ liệu cần thiết đã sạch, kết nối và truy cập được theo thời gian thực?</w:t>
            </w:r>
          </w:p>
        </w:tc>
      </w:tr>
      <w:tr>
        <w:trPr/>
        <w:tc>
          <w:tcPr>
            <w:tcW w:w="2199" w:type="dxa"/>
            <w:tcBorders>
              <w:top w:val="single" w:sz="2" w:space="0" w:color="C9D6E5"/>
              <w:left w:val="single" w:sz="2" w:space="0" w:color="C9D6E5"/>
              <w:bottom w:val="single" w:sz="2" w:space="0" w:color="C9D6E5"/>
              <w:right w:val="single" w:sz="2" w:space="0" w:color="C9D6E5"/>
            </w:tcBorders>
            <w:shd w:fill="FFFFFF" w:val="clear"/>
            <w:tcMar>
              <w:top w:w="60" w:type="dxa"/>
              <w:bottom w:w="60" w:type="dxa"/>
            </w:tcMar>
            <w:vAlign w:val="center"/>
          </w:tcPr>
          <w:p>
            <w:pPr>
              <w:pStyle w:val="Normal"/>
              <w:spacing w:lineRule="auto" w:line="271"/>
              <w:rPr/>
            </w:pPr>
            <w:r>
              <w:rPr>
                <w:sz w:val="21"/>
                <w:szCs w:val="21"/>
              </w:rPr>
              <w:t>Hạ tầng</w:t>
            </w:r>
          </w:p>
        </w:tc>
        <w:tc>
          <w:tcPr>
            <w:tcW w:w="7161" w:type="dxa"/>
            <w:tcBorders>
              <w:top w:val="single" w:sz="2" w:space="0" w:color="C9D6E5"/>
              <w:left w:val="single" w:sz="2" w:space="0" w:color="C9D6E5"/>
              <w:bottom w:val="single" w:sz="2" w:space="0" w:color="C9D6E5"/>
              <w:right w:val="single" w:sz="2" w:space="0" w:color="C9D6E5"/>
            </w:tcBorders>
            <w:shd w:fill="FFFFFF" w:val="clear"/>
            <w:tcMar>
              <w:top w:w="60" w:type="dxa"/>
              <w:bottom w:w="60" w:type="dxa"/>
            </w:tcMar>
            <w:vAlign w:val="center"/>
          </w:tcPr>
          <w:p>
            <w:pPr>
              <w:pStyle w:val="Normal"/>
              <w:spacing w:lineRule="auto" w:line="271"/>
              <w:rPr/>
            </w:pPr>
            <w:r>
              <w:rPr>
                <w:sz w:val="21"/>
                <w:szCs w:val="21"/>
              </w:rPr>
              <w:t>Hệ thống lõi có API hiện đại và kiến trúc đủ linh hoạt cho tác tử thực thi?</w:t>
            </w:r>
          </w:p>
        </w:tc>
      </w:tr>
      <w:tr>
        <w:trPr/>
        <w:tc>
          <w:tcPr>
            <w:tcW w:w="2199" w:type="dxa"/>
            <w:tcBorders>
              <w:top w:val="single" w:sz="2" w:space="0" w:color="C9D6E5"/>
              <w:left w:val="single" w:sz="2" w:space="0" w:color="C9D6E5"/>
              <w:bottom w:val="single" w:sz="2" w:space="0" w:color="C9D6E5"/>
              <w:right w:val="single" w:sz="2" w:space="0" w:color="C9D6E5"/>
            </w:tcBorders>
            <w:shd w:fill="F4F7FB" w:val="clear"/>
            <w:tcMar>
              <w:top w:w="60" w:type="dxa"/>
              <w:bottom w:w="60" w:type="dxa"/>
            </w:tcMar>
            <w:vAlign w:val="center"/>
          </w:tcPr>
          <w:p>
            <w:pPr>
              <w:pStyle w:val="Normal"/>
              <w:spacing w:lineRule="auto" w:line="271"/>
              <w:rPr/>
            </w:pPr>
            <w:r>
              <w:rPr>
                <w:sz w:val="21"/>
                <w:szCs w:val="21"/>
              </w:rPr>
              <w:t>Quản trị</w:t>
            </w:r>
          </w:p>
        </w:tc>
        <w:tc>
          <w:tcPr>
            <w:tcW w:w="7161" w:type="dxa"/>
            <w:tcBorders>
              <w:top w:val="single" w:sz="2" w:space="0" w:color="C9D6E5"/>
              <w:left w:val="single" w:sz="2" w:space="0" w:color="C9D6E5"/>
              <w:bottom w:val="single" w:sz="2" w:space="0" w:color="C9D6E5"/>
              <w:right w:val="single" w:sz="2" w:space="0" w:color="C9D6E5"/>
            </w:tcBorders>
            <w:shd w:fill="F4F7FB" w:val="clear"/>
            <w:tcMar>
              <w:top w:w="60" w:type="dxa"/>
              <w:bottom w:w="60" w:type="dxa"/>
            </w:tcMar>
            <w:vAlign w:val="center"/>
          </w:tcPr>
          <w:p>
            <w:pPr>
              <w:pStyle w:val="Normal"/>
              <w:spacing w:lineRule="auto" w:line="271"/>
              <w:rPr/>
            </w:pPr>
            <w:r>
              <w:rPr>
                <w:sz w:val="21"/>
                <w:szCs w:val="21"/>
              </w:rPr>
              <w:t>Đã có khung định danh, phân quyền, human</w:t>
              <w:noBreakHyphen/>
              <w:t>in</w:t>
              <w:noBreakHyphen/>
              <w:t>the</w:t>
              <w:noBreakHyphen/>
              <w:t>loop và nhật ký kiểm toán?</w:t>
            </w:r>
          </w:p>
        </w:tc>
      </w:tr>
      <w:tr>
        <w:trPr/>
        <w:tc>
          <w:tcPr>
            <w:tcW w:w="2199" w:type="dxa"/>
            <w:tcBorders>
              <w:top w:val="single" w:sz="2" w:space="0" w:color="C9D6E5"/>
              <w:left w:val="single" w:sz="2" w:space="0" w:color="C9D6E5"/>
              <w:bottom w:val="single" w:sz="2" w:space="0" w:color="C9D6E5"/>
              <w:right w:val="single" w:sz="2" w:space="0" w:color="C9D6E5"/>
            </w:tcBorders>
            <w:shd w:fill="FFFFFF" w:val="clear"/>
            <w:tcMar>
              <w:top w:w="60" w:type="dxa"/>
              <w:bottom w:w="60" w:type="dxa"/>
            </w:tcMar>
            <w:vAlign w:val="center"/>
          </w:tcPr>
          <w:p>
            <w:pPr>
              <w:pStyle w:val="Normal"/>
              <w:spacing w:lineRule="auto" w:line="271"/>
              <w:rPr/>
            </w:pPr>
            <w:r>
              <w:rPr>
                <w:sz w:val="21"/>
                <w:szCs w:val="21"/>
              </w:rPr>
              <w:t>Con người</w:t>
            </w:r>
          </w:p>
        </w:tc>
        <w:tc>
          <w:tcPr>
            <w:tcW w:w="7161" w:type="dxa"/>
            <w:tcBorders>
              <w:top w:val="single" w:sz="2" w:space="0" w:color="C9D6E5"/>
              <w:left w:val="single" w:sz="2" w:space="0" w:color="C9D6E5"/>
              <w:bottom w:val="single" w:sz="2" w:space="0" w:color="C9D6E5"/>
              <w:right w:val="single" w:sz="2" w:space="0" w:color="C9D6E5"/>
            </w:tcBorders>
            <w:shd w:fill="FFFFFF" w:val="clear"/>
            <w:tcMar>
              <w:top w:w="60" w:type="dxa"/>
              <w:bottom w:w="60" w:type="dxa"/>
            </w:tcMar>
            <w:vAlign w:val="center"/>
          </w:tcPr>
          <w:p>
            <w:pPr>
              <w:pStyle w:val="Normal"/>
              <w:spacing w:lineRule="auto" w:line="271"/>
              <w:rPr/>
            </w:pPr>
            <w:r>
              <w:rPr>
                <w:sz w:val="21"/>
                <w:szCs w:val="21"/>
              </w:rPr>
              <w:t>Đã có người bảo trợ cấp điều hành và kế hoạch đào tạo, quản trị thay đổi?</w:t>
            </w:r>
          </w:p>
        </w:tc>
      </w:tr>
      <w:tr>
        <w:trPr/>
        <w:tc>
          <w:tcPr>
            <w:tcW w:w="2199" w:type="dxa"/>
            <w:tcBorders>
              <w:top w:val="single" w:sz="2" w:space="0" w:color="C9D6E5"/>
              <w:left w:val="single" w:sz="2" w:space="0" w:color="C9D6E5"/>
              <w:bottom w:val="single" w:sz="2" w:space="0" w:color="C9D6E5"/>
              <w:right w:val="single" w:sz="2" w:space="0" w:color="C9D6E5"/>
            </w:tcBorders>
            <w:shd w:fill="F4F7FB" w:val="clear"/>
            <w:tcMar>
              <w:top w:w="60" w:type="dxa"/>
              <w:bottom w:w="60" w:type="dxa"/>
            </w:tcMar>
            <w:vAlign w:val="center"/>
          </w:tcPr>
          <w:p>
            <w:pPr>
              <w:pStyle w:val="Normal"/>
              <w:spacing w:lineRule="auto" w:line="271"/>
              <w:rPr/>
            </w:pPr>
            <w:r>
              <w:rPr>
                <w:sz w:val="21"/>
                <w:szCs w:val="21"/>
              </w:rPr>
              <w:t>Vận hành</w:t>
            </w:r>
          </w:p>
        </w:tc>
        <w:tc>
          <w:tcPr>
            <w:tcW w:w="7161" w:type="dxa"/>
            <w:tcBorders>
              <w:top w:val="single" w:sz="2" w:space="0" w:color="C9D6E5"/>
              <w:left w:val="single" w:sz="2" w:space="0" w:color="C9D6E5"/>
              <w:bottom w:val="single" w:sz="2" w:space="0" w:color="C9D6E5"/>
              <w:right w:val="single" w:sz="2" w:space="0" w:color="C9D6E5"/>
            </w:tcBorders>
            <w:shd w:fill="F4F7FB" w:val="clear"/>
            <w:tcMar>
              <w:top w:w="60" w:type="dxa"/>
              <w:bottom w:w="60" w:type="dxa"/>
            </w:tcMar>
            <w:vAlign w:val="center"/>
          </w:tcPr>
          <w:p>
            <w:pPr>
              <w:pStyle w:val="Normal"/>
              <w:spacing w:lineRule="auto" w:line="271"/>
              <w:rPr/>
            </w:pPr>
            <w:r>
              <w:rPr>
                <w:sz w:val="21"/>
                <w:szCs w:val="21"/>
              </w:rPr>
              <w:t>Đã có năng lực giám sát hiệu năng, chi phí và an toàn của tác tử (AgentOps)?</w:t>
            </w:r>
          </w:p>
        </w:tc>
      </w:tr>
    </w:tbl>
    <w:p>
      <w:pPr>
        <w:pStyle w:val="Normal"/>
        <w:spacing w:before="0" w:after="40"/>
        <w:rPr/>
      </w:pPr>
      <w:r>
        <w:rPr/>
      </w:r>
    </w:p>
    <w:tbl>
      <w:tblPr>
        <w:tblW w:w="9360" w:type="dxa"/>
        <w:jc w:val="left"/>
        <w:tblInd w:w="255" w:type="dxa"/>
        <w:tblLayout w:type="fixed"/>
        <w:tblCellMar>
          <w:top w:w="140" w:type="dxa"/>
          <w:left w:w="220" w:type="dxa"/>
          <w:bottom w:w="140" w:type="dxa"/>
          <w:right w:w="200" w:type="dxa"/>
        </w:tblCellMar>
      </w:tblPr>
      <w:tblGrid>
        <w:gridCol w:w="9360"/>
      </w:tblGrid>
      <w:tr>
        <w:trPr/>
        <w:tc>
          <w:tcPr>
            <w:tcW w:w="9360" w:type="dxa"/>
            <w:tcBorders>
              <w:top w:val="single" w:sz="2" w:space="0" w:color="E2F4F3"/>
              <w:left w:val="single" w:sz="28" w:space="0" w:color="11A4A0"/>
              <w:bottom w:val="single" w:sz="2" w:space="0" w:color="E2F4F3"/>
              <w:right w:val="single" w:sz="2" w:space="0" w:color="E2F4F3"/>
            </w:tcBorders>
            <w:shd w:fill="E2F4F3" w:val="clear"/>
          </w:tcPr>
          <w:p>
            <w:pPr>
              <w:pStyle w:val="Normal"/>
              <w:spacing w:before="0" w:after="60"/>
              <w:rPr/>
            </w:pPr>
            <w:r>
              <w:rPr>
                <w:b/>
                <w:bCs/>
                <w:color w:val="11A4A0"/>
                <w:sz w:val="23"/>
                <w:szCs w:val="23"/>
              </w:rPr>
              <w:t>Cách diễn giải</w:t>
            </w:r>
          </w:p>
          <w:p>
            <w:pPr>
              <w:pStyle w:val="Normal"/>
              <w:spacing w:lineRule="auto" w:line="281" w:before="0" w:after="0"/>
              <w:rPr/>
            </w:pPr>
            <w:r>
              <w:rPr>
                <w:b/>
                <w:bCs/>
                <w:sz w:val="22"/>
                <w:szCs w:val="22"/>
              </w:rPr>
              <w:t>5–6 câu “đã”:</w:t>
            </w:r>
            <w:r>
              <w:rPr>
                <w:sz w:val="22"/>
                <w:szCs w:val="22"/>
              </w:rPr>
              <w:t xml:space="preserve"> sẵn sàng mở rộng có kỷ luật. </w:t>
            </w:r>
            <w:r>
              <w:rPr>
                <w:b/>
                <w:bCs/>
                <w:sz w:val="22"/>
                <w:szCs w:val="22"/>
              </w:rPr>
              <w:t>3–4 câu “đã”:</w:t>
            </w:r>
            <w:r>
              <w:rPr>
                <w:sz w:val="22"/>
                <w:szCs w:val="22"/>
              </w:rPr>
              <w:t xml:space="preserve"> nên củng cố nền tảng song song với thí điểm. </w:t>
            </w:r>
            <w:r>
              <w:rPr>
                <w:b/>
                <w:bCs/>
                <w:sz w:val="22"/>
                <w:szCs w:val="22"/>
              </w:rPr>
              <w:t>0–2 câu “đã”:</w:t>
            </w:r>
            <w:r>
              <w:rPr>
                <w:sz w:val="22"/>
                <w:szCs w:val="22"/>
              </w:rPr>
              <w:t xml:space="preserve"> ưu tiên xây nền (dữ liệu, quản trị) trước khi mở rộng.</w:t>
            </w:r>
          </w:p>
        </w:tc>
      </w:tr>
    </w:tbl>
    <w:p>
      <w:pPr>
        <w:pStyle w:val="Heading1"/>
        <w:rPr/>
      </w:pPr>
      <w:bookmarkStart w:id="46" w:name="__RefHeading___Toc1265_217012103"/>
      <w:bookmarkEnd w:id="46"/>
      <w:r>
        <w:rPr/>
        <w:t>Phụ lục C — Câu hỏi thường gặp dành cho lãnh đạo</w:t>
      </w:r>
    </w:p>
    <w:p>
      <w:pPr>
        <w:pStyle w:val="Heading3"/>
        <w:rPr/>
      </w:pPr>
      <w:bookmarkStart w:id="47" w:name="__RefHeading___Toc1267_217012103"/>
      <w:bookmarkEnd w:id="47"/>
      <w:r>
        <w:rPr/>
        <w:t>AI Agent có thay thế nhân viên của chúng ta không?</w:t>
      </w:r>
    </w:p>
    <w:p>
      <w:pPr>
        <w:pStyle w:val="Normal"/>
        <w:spacing w:lineRule="auto" w:line="314" w:before="0" w:after="165"/>
        <w:jc w:val="both"/>
        <w:rPr/>
      </w:pPr>
      <w:r>
        <w:rPr/>
        <w:t>Trong phần lớn trường hợp, tác tử đảm nhận các tác vụ lặp lại và hỗ trợ con người, giúp nhân viên tập trung vào công việc giá trị cao hơn. Tác động chủ yếu là tái cấu trúc và nâng cấp vai trò, không phải thay thế hàng loạt — nhưng đòi hỏi đầu tư nghiêm túc vào đào tạo lại.</w:t>
      </w:r>
    </w:p>
    <w:p>
      <w:pPr>
        <w:pStyle w:val="Heading3"/>
        <w:rPr/>
      </w:pPr>
      <w:bookmarkStart w:id="48" w:name="__RefHeading___Toc1269_217012103"/>
      <w:bookmarkEnd w:id="48"/>
      <w:r>
        <w:rPr/>
        <w:t>Chúng ta nên bắt đầu từ đâu?</w:t>
      </w:r>
    </w:p>
    <w:p>
      <w:pPr>
        <w:pStyle w:val="Normal"/>
        <w:spacing w:lineRule="auto" w:line="314" w:before="0" w:after="165"/>
        <w:jc w:val="both"/>
        <w:rPr/>
      </w:pPr>
      <w:r>
        <w:rPr/>
        <w:t>Bắt đầu từ một use case “giá trị cao – rủi ro thấp” có dữ liệu sẵn sàng và KPI rõ ràng, thường trong dịch vụ khách hàng hoặc tự động hóa quy trình nội bộ. Chứng minh ROI ở phạm vi hẹp trước khi mở rộng.</w:t>
      </w:r>
    </w:p>
    <w:p>
      <w:pPr>
        <w:pStyle w:val="Heading3"/>
        <w:rPr/>
      </w:pPr>
      <w:bookmarkStart w:id="49" w:name="__RefHeading___Toc1271_217012103"/>
      <w:bookmarkEnd w:id="49"/>
      <w:r>
        <w:rPr/>
        <w:t>Rủi ro lớn nhất là gì?</w:t>
      </w:r>
    </w:p>
    <w:p>
      <w:pPr>
        <w:pStyle w:val="Normal"/>
        <w:spacing w:lineRule="auto" w:line="314" w:before="0" w:after="165"/>
        <w:jc w:val="both"/>
        <w:rPr/>
      </w:pPr>
      <w:r>
        <w:rPr/>
        <w:t>Không phải bản thân công nghệ, mà là triển khai thiếu quản trị: dữ liệu kém chất lượng, không kiểm soát định danh và quyền truy cập, thiếu giám sát và KPI. Đây là lý do hơn 40% dự án có nguy cơ thất bại.</w:t>
      </w:r>
    </w:p>
    <w:p>
      <w:pPr>
        <w:pStyle w:val="Heading3"/>
        <w:rPr/>
      </w:pPr>
      <w:bookmarkStart w:id="50" w:name="__RefHeading___Toc1273_217012103"/>
      <w:bookmarkEnd w:id="50"/>
      <w:r>
        <w:rPr/>
        <w:t>Mất bao lâu để thấy giá trị?</w:t>
      </w:r>
    </w:p>
    <w:p>
      <w:pPr>
        <w:pStyle w:val="Normal"/>
        <w:spacing w:lineRule="auto" w:line="314" w:before="0" w:after="165"/>
        <w:jc w:val="both"/>
        <w:rPr/>
      </w:pPr>
      <w:r>
        <w:rPr/>
        <w:t>Với use case được chọn đúng và dữ liệu sẵn sàng, nhiều doanh nghiệp thấy kết quả đo lường được trong vòng một quý (90 ngày). Mở rộng ra quy mô toàn tổ chức là hành trình nhiều quý đến vài năm.</w:t>
      </w:r>
    </w:p>
    <w:p>
      <w:pPr>
        <w:pStyle w:val="Heading3"/>
        <w:rPr/>
      </w:pPr>
      <w:bookmarkStart w:id="51" w:name="__RefHeading___Toc1275_217012103"/>
      <w:bookmarkEnd w:id="51"/>
      <w:r>
        <w:rPr/>
        <w:t>Chi phí có kiểm soát được không?</w:t>
      </w:r>
    </w:p>
    <w:p>
      <w:pPr>
        <w:pStyle w:val="Normal"/>
        <w:spacing w:lineRule="auto" w:line="314" w:before="0" w:after="165"/>
        <w:jc w:val="both"/>
        <w:rPr/>
      </w:pPr>
      <w:r>
        <w:rPr/>
        <w:t>Có — nếu theo dõi chi phí theo từng tác tử và nhiệm vụ ngay từ đầu, đặt hạn mức và tối ưu liên tục. Chi phí suy luận đang giảm nhanh, nhưng kỷ luật về “unit economics” là bắt buộc.</w:t>
      </w:r>
    </w:p>
    <w:p>
      <w:pPr>
        <w:pStyle w:val="Heading3"/>
        <w:rPr/>
      </w:pPr>
      <w:bookmarkStart w:id="52" w:name="__RefHeading___Toc1277_217012103"/>
      <w:bookmarkEnd w:id="52"/>
      <w:r>
        <w:rPr/>
        <w:t>Chúng ta có cần tự xây mô hình AI riêng không?</w:t>
      </w:r>
    </w:p>
    <w:p>
      <w:pPr>
        <w:pStyle w:val="Normal"/>
        <w:spacing w:lineRule="auto" w:line="314" w:before="0" w:after="165"/>
        <w:jc w:val="both"/>
        <w:rPr/>
      </w:pPr>
      <w:r>
        <w:rPr/>
        <w:t>Thường là không. Đa số doanh nghiệp tận dụng mô hình nền tảng có sẵn và tập trung nguồn lực vào dữ liệu, tích hợp, quy trình và quản trị — nơi tạo ra lợi thế cạnh tranh thực sự.</w:t>
      </w:r>
    </w:p>
    <w:p>
      <w:pPr>
        <w:pStyle w:val="Heading1"/>
        <w:rPr/>
      </w:pPr>
      <w:bookmarkStart w:id="53" w:name="__RefHeading___Toc1279_217012103"/>
      <w:bookmarkEnd w:id="53"/>
      <w:r>
        <w:rPr/>
        <w:t>Phụ lục D — Nguồn tham khảo</w:t>
      </w:r>
    </w:p>
    <w:p>
      <w:pPr>
        <w:pStyle w:val="Normal"/>
        <w:spacing w:lineRule="auto" w:line="314" w:before="0" w:after="165"/>
        <w:jc w:val="both"/>
        <w:rPr/>
      </w:pPr>
      <w:r>
        <w:rPr/>
        <w:t>Báo cáo tổng hợp dữ liệu từ các nghiên cứu và khảo sát công bố trong giai đoạn 2025–2026. Các nguồn chính gồm:</w:t>
      </w:r>
    </w:p>
    <w:p>
      <w:pPr>
        <w:pStyle w:val="ListParagraph"/>
        <w:numPr>
          <w:ilvl w:val="0"/>
          <w:numId w:val="2"/>
        </w:numPr>
        <w:spacing w:lineRule="auto" w:line="269" w:before="0" w:after="80"/>
        <w:rPr/>
      </w:pPr>
      <w:r>
        <w:rPr>
          <w:sz w:val="20"/>
          <w:szCs w:val="20"/>
        </w:rPr>
        <w:t xml:space="preserve">Gartner — 40% of Enterprise Apps Will Feature Task-Specific AI Agents by 2026 — </w:t>
      </w:r>
      <w:hyperlink r:id="rId19">
        <w:r>
          <w:rPr>
            <w:rStyle w:val="Hyperlink"/>
            <w:sz w:val="18"/>
            <w:szCs w:val="18"/>
          </w:rPr>
          <w:t>https://www.gartner.com/en/newsroom/press-releases/2025-08-26-gartner-predicts-40-percent-of-enterprise-apps-will-feature-task-specific-ai-agents-by-2026-up-from-less-than-5-percent-in-2025</w:t>
        </w:r>
      </w:hyperlink>
    </w:p>
    <w:p>
      <w:pPr>
        <w:pStyle w:val="ListParagraph"/>
        <w:numPr>
          <w:ilvl w:val="0"/>
          <w:numId w:val="2"/>
        </w:numPr>
        <w:spacing w:lineRule="auto" w:line="269" w:before="0" w:after="80"/>
        <w:rPr/>
      </w:pPr>
      <w:r>
        <w:rPr>
          <w:sz w:val="20"/>
          <w:szCs w:val="20"/>
        </w:rPr>
        <w:t xml:space="preserve">Gartner — Over 40% of Agentic AI Projects Will Be Canceled by End of 2027 — </w:t>
      </w:r>
      <w:hyperlink r:id="rId20">
        <w:r>
          <w:rPr>
            <w:rStyle w:val="Hyperlink"/>
            <w:sz w:val="18"/>
            <w:szCs w:val="18"/>
          </w:rPr>
          <w:t>https://www.gartner.com/en/newsroom/press-releases/2025-06-25-gartner-predicts-over-40-percent-of-agentic-ai-projects-will-be-canceled-by-end-of-2027</w:t>
        </w:r>
      </w:hyperlink>
    </w:p>
    <w:p>
      <w:pPr>
        <w:pStyle w:val="ListParagraph"/>
        <w:numPr>
          <w:ilvl w:val="0"/>
          <w:numId w:val="2"/>
        </w:numPr>
        <w:spacing w:lineRule="auto" w:line="269" w:before="0" w:after="80"/>
        <w:rPr/>
      </w:pPr>
      <w:r>
        <w:rPr>
          <w:sz w:val="20"/>
          <w:szCs w:val="20"/>
        </w:rPr>
        <w:t xml:space="preserve">Gartner — 60% of Brands Will Use Agentic AI for One-to-One Interactions by 2028 — </w:t>
      </w:r>
      <w:hyperlink r:id="rId21">
        <w:r>
          <w:rPr>
            <w:rStyle w:val="Hyperlink"/>
            <w:sz w:val="18"/>
            <w:szCs w:val="18"/>
          </w:rPr>
          <w:t>https://www.gartner.com/en/newsroom/press-releases/2026-01-15-gartner-predicts-60-percent-of-brands-will-use-agentic-ai-to-deliver-streamlined-one-to-one-interactions-by-2028</w:t>
        </w:r>
      </w:hyperlink>
    </w:p>
    <w:p>
      <w:pPr>
        <w:pStyle w:val="ListParagraph"/>
        <w:numPr>
          <w:ilvl w:val="0"/>
          <w:numId w:val="2"/>
        </w:numPr>
        <w:spacing w:lineRule="auto" w:line="269" w:before="0" w:after="80"/>
        <w:rPr/>
      </w:pPr>
      <w:r>
        <w:rPr>
          <w:sz w:val="20"/>
          <w:szCs w:val="20"/>
        </w:rPr>
        <w:t xml:space="preserve">McKinsey — The State of AI in 2025: Agents, Innovation, and Transformation — </w:t>
      </w:r>
      <w:hyperlink r:id="rId22">
        <w:r>
          <w:rPr>
            <w:rStyle w:val="Hyperlink"/>
            <w:sz w:val="18"/>
            <w:szCs w:val="18"/>
          </w:rPr>
          <w:t>https://www.mckinsey.com/capabilities/quantumblack/our-insights/the-state-of-ai</w:t>
        </w:r>
      </w:hyperlink>
    </w:p>
    <w:p>
      <w:pPr>
        <w:pStyle w:val="ListParagraph"/>
        <w:numPr>
          <w:ilvl w:val="0"/>
          <w:numId w:val="2"/>
        </w:numPr>
        <w:spacing w:lineRule="auto" w:line="269" w:before="0" w:after="80"/>
        <w:rPr/>
      </w:pPr>
      <w:r>
        <w:rPr>
          <w:sz w:val="20"/>
          <w:szCs w:val="20"/>
        </w:rPr>
        <w:t xml:space="preserve">McKinsey — The Economic Potential of Generative AI — </w:t>
      </w:r>
      <w:hyperlink r:id="rId23">
        <w:r>
          <w:rPr>
            <w:rStyle w:val="Hyperlink"/>
            <w:sz w:val="18"/>
            <w:szCs w:val="18"/>
          </w:rPr>
          <w:t>https://www.mckinsey.com/capabilities/tech-and-ai/our-insights/the-economic-potential-of-generative-ai-the-next-productivity-frontier</w:t>
        </w:r>
      </w:hyperlink>
    </w:p>
    <w:p>
      <w:pPr>
        <w:pStyle w:val="ListParagraph"/>
        <w:numPr>
          <w:ilvl w:val="0"/>
          <w:numId w:val="2"/>
        </w:numPr>
        <w:spacing w:lineRule="auto" w:line="269" w:before="0" w:after="80"/>
        <w:rPr/>
      </w:pPr>
      <w:r>
        <w:rPr>
          <w:sz w:val="20"/>
          <w:szCs w:val="20"/>
        </w:rPr>
        <w:t xml:space="preserve">McKinsey — Deploying Agentic AI with Safety and Security — </w:t>
      </w:r>
      <w:hyperlink r:id="rId24">
        <w:r>
          <w:rPr>
            <w:rStyle w:val="Hyperlink"/>
            <w:sz w:val="18"/>
            <w:szCs w:val="18"/>
          </w:rPr>
          <w:t>https://www.mckinsey.com/capabilities/risk-and-resilience/our-insights/deploying-agentic-ai-with-safety-and-security-a-playbook-for-technology-leaders</w:t>
        </w:r>
      </w:hyperlink>
    </w:p>
    <w:p>
      <w:pPr>
        <w:pStyle w:val="ListParagraph"/>
        <w:numPr>
          <w:ilvl w:val="0"/>
          <w:numId w:val="2"/>
        </w:numPr>
        <w:spacing w:lineRule="auto" w:line="269" w:before="0" w:after="80"/>
        <w:rPr/>
      </w:pPr>
      <w:r>
        <w:rPr>
          <w:sz w:val="20"/>
          <w:szCs w:val="20"/>
        </w:rPr>
        <w:t xml:space="preserve">Deloitte — Tech Trends 2026: Agentic AI Strategy — </w:t>
      </w:r>
      <w:hyperlink r:id="rId25">
        <w:r>
          <w:rPr>
            <w:rStyle w:val="Hyperlink"/>
            <w:sz w:val="18"/>
            <w:szCs w:val="18"/>
          </w:rPr>
          <w:t>https://www.deloitte.com/us/en/insights/topics/technology-management/tech-trends/2026/agentic-ai-strategy.html</w:t>
        </w:r>
      </w:hyperlink>
    </w:p>
    <w:p>
      <w:pPr>
        <w:pStyle w:val="ListParagraph"/>
        <w:numPr>
          <w:ilvl w:val="0"/>
          <w:numId w:val="2"/>
        </w:numPr>
        <w:spacing w:lineRule="auto" w:line="269" w:before="0" w:after="80"/>
        <w:rPr/>
      </w:pPr>
      <w:r>
        <w:rPr>
          <w:sz w:val="20"/>
          <w:szCs w:val="20"/>
        </w:rPr>
        <w:t xml:space="preserve">Capgemini Research Institute — World Cloud Report in Financial Services 2026 — </w:t>
      </w:r>
      <w:hyperlink r:id="rId26">
        <w:r>
          <w:rPr>
            <w:rStyle w:val="Hyperlink"/>
            <w:sz w:val="18"/>
            <w:szCs w:val="18"/>
          </w:rPr>
          <w:t>https://www.capgemini.com/us-en/news/press-releases/banks-and-insurers-deploy-ai-agents-to-fight-fraud-and-process-applications-with-plans-for-new-roles-to-supervise-the-ai/</w:t>
        </w:r>
      </w:hyperlink>
    </w:p>
    <w:p>
      <w:pPr>
        <w:pStyle w:val="ListParagraph"/>
        <w:numPr>
          <w:ilvl w:val="0"/>
          <w:numId w:val="2"/>
        </w:numPr>
        <w:spacing w:lineRule="auto" w:line="269" w:before="0" w:after="80"/>
        <w:rPr/>
      </w:pPr>
      <w:r>
        <w:rPr>
          <w:sz w:val="20"/>
          <w:szCs w:val="20"/>
        </w:rPr>
        <w:t xml:space="preserve">Salesforce — Agentforce Metrics &amp; Customer Stories — </w:t>
      </w:r>
      <w:hyperlink r:id="rId27">
        <w:r>
          <w:rPr>
            <w:rStyle w:val="Hyperlink"/>
            <w:sz w:val="18"/>
            <w:szCs w:val="18"/>
          </w:rPr>
          <w:t>https://www.salesforce.com/agentforce/metrics/</w:t>
        </w:r>
      </w:hyperlink>
    </w:p>
    <w:p>
      <w:pPr>
        <w:pStyle w:val="ListParagraph"/>
        <w:numPr>
          <w:ilvl w:val="0"/>
          <w:numId w:val="2"/>
        </w:numPr>
        <w:spacing w:lineRule="auto" w:line="269" w:before="0" w:after="80"/>
        <w:rPr/>
      </w:pPr>
      <w:r>
        <w:rPr>
          <w:sz w:val="20"/>
          <w:szCs w:val="20"/>
        </w:rPr>
        <w:t xml:space="preserve">Microsoft — Copilot Studio &amp; Autonomous Agents (2025–2026 release waves) — </w:t>
      </w:r>
      <w:hyperlink r:id="rId28">
        <w:r>
          <w:rPr>
            <w:rStyle w:val="Hyperlink"/>
            <w:sz w:val="18"/>
            <w:szCs w:val="18"/>
          </w:rPr>
          <w:t>https://learn.microsoft.com/en-us/power-platform/release-plan/2025wave2/microsoft-copilot-studio/</w:t>
        </w:r>
      </w:hyperlink>
    </w:p>
    <w:p>
      <w:pPr>
        <w:pStyle w:val="ListParagraph"/>
        <w:numPr>
          <w:ilvl w:val="0"/>
          <w:numId w:val="2"/>
        </w:numPr>
        <w:spacing w:lineRule="auto" w:line="269" w:before="0" w:after="80"/>
        <w:rPr/>
      </w:pPr>
      <w:r>
        <w:rPr>
          <w:sz w:val="20"/>
          <w:szCs w:val="20"/>
        </w:rPr>
        <w:t xml:space="preserve">Deloitte Insights — The Agentic Supply Chain in Manufacturing — </w:t>
      </w:r>
      <w:hyperlink r:id="rId29">
        <w:r>
          <w:rPr>
            <w:rStyle w:val="Hyperlink"/>
            <w:sz w:val="18"/>
            <w:szCs w:val="18"/>
          </w:rPr>
          <w:t>https://www.deloitte.com/us/en/insights/industry/manufacturing-industrial-products/agentic-supply-chain-artificial-intelligence-manufacturing.html</w:t>
        </w:r>
      </w:hyperlink>
    </w:p>
    <w:p>
      <w:pPr>
        <w:pStyle w:val="ListParagraph"/>
        <w:numPr>
          <w:ilvl w:val="0"/>
          <w:numId w:val="2"/>
        </w:numPr>
        <w:spacing w:lineRule="auto" w:line="269" w:before="0" w:after="80"/>
        <w:rPr/>
      </w:pPr>
      <w:r>
        <w:rPr>
          <w:sz w:val="20"/>
          <w:szCs w:val="20"/>
        </w:rPr>
        <w:t xml:space="preserve">Composio — The 2025 AI Agent Report: Why AI Pilots Fail in Production — </w:t>
      </w:r>
      <w:hyperlink r:id="rId30">
        <w:r>
          <w:rPr>
            <w:rStyle w:val="Hyperlink"/>
            <w:sz w:val="18"/>
            <w:szCs w:val="18"/>
          </w:rPr>
          <w:t>https://composio.dev/blog/why-ai-agent-pilots-fail-2026-integration-roadmap</w:t>
        </w:r>
      </w:hyperlink>
    </w:p>
    <w:p>
      <w:pPr>
        <w:pStyle w:val="ListParagraph"/>
        <w:numPr>
          <w:ilvl w:val="0"/>
          <w:numId w:val="2"/>
        </w:numPr>
        <w:spacing w:lineRule="auto" w:line="269" w:before="0" w:after="80"/>
        <w:rPr/>
      </w:pPr>
      <w:r>
        <w:rPr>
          <w:sz w:val="20"/>
          <w:szCs w:val="20"/>
        </w:rPr>
        <w:t xml:space="preserve">Model Context Protocol (MCP) &amp; Agent2Agent (A2A); Linux Foundation Agentic AI Foundation — </w:t>
      </w:r>
      <w:hyperlink r:id="rId31">
        <w:r>
          <w:rPr>
            <w:rStyle w:val="Hyperlink"/>
            <w:sz w:val="18"/>
            <w:szCs w:val="18"/>
          </w:rPr>
          <w:t>https://en.wikipedia.org/wiki/Model_Context_Protocol</w:t>
        </w:r>
      </w:hyperlink>
    </w:p>
    <w:p>
      <w:pPr>
        <w:pStyle w:val="ListParagraph"/>
        <w:numPr>
          <w:ilvl w:val="0"/>
          <w:numId w:val="2"/>
        </w:numPr>
        <w:spacing w:lineRule="auto" w:line="269" w:before="0" w:after="80"/>
        <w:rPr/>
      </w:pPr>
      <w:r>
        <w:rPr>
          <w:sz w:val="20"/>
          <w:szCs w:val="20"/>
        </w:rPr>
        <w:t xml:space="preserve">MarketsandMarkets / Precedence Research / Grand View Research — AI Agents Market Size — </w:t>
      </w:r>
      <w:hyperlink r:id="rId32">
        <w:r>
          <w:rPr>
            <w:rStyle w:val="Hyperlink"/>
            <w:sz w:val="18"/>
            <w:szCs w:val="18"/>
          </w:rPr>
          <w:t>https://www.precedenceresearch.com/ai-agents-market</w:t>
        </w:r>
      </w:hyperlink>
    </w:p>
    <w:p>
      <w:pPr>
        <w:pStyle w:val="ListParagraph"/>
        <w:numPr>
          <w:ilvl w:val="0"/>
          <w:numId w:val="2"/>
        </w:numPr>
        <w:spacing w:lineRule="auto" w:line="269" w:before="0" w:after="80"/>
        <w:rPr/>
      </w:pPr>
      <w:r>
        <w:rPr>
          <w:sz w:val="20"/>
          <w:szCs w:val="20"/>
        </w:rPr>
        <w:t xml:space="preserve">Vietnam News / VietnamPlus — Vietnam AI adoption, WIN World AI Index 2025 &amp; Law on AI — </w:t>
      </w:r>
      <w:hyperlink r:id="rId33">
        <w:r>
          <w:rPr>
            <w:rStyle w:val="Hyperlink"/>
            <w:sz w:val="18"/>
            <w:szCs w:val="18"/>
          </w:rPr>
          <w:t>https://vietnamnews.vn/economy/1730694/viet-nam-leads-southeast-asia-in-ai-adoption-trust.html</w:t>
        </w:r>
      </w:hyperlink>
    </w:p>
    <w:p>
      <w:pPr>
        <w:pStyle w:val="Normal"/>
        <w:spacing w:before="0" w:after="120"/>
        <w:rPr/>
      </w:pPr>
      <w:r>
        <w:rPr/>
      </w:r>
    </w:p>
    <w:p>
      <w:pPr>
        <w:pStyle w:val="Normal"/>
        <w:pBdr>
          <w:top w:val="single" w:sz="6" w:space="8" w:color="C9D6E5"/>
        </w:pBdr>
        <w:spacing w:before="120" w:after="0"/>
        <w:jc w:val="both"/>
        <w:rPr/>
      </w:pPr>
      <w:r>
        <w:rPr>
          <w:i/>
          <w:iCs/>
          <w:color w:val="5B6675"/>
          <w:sz w:val="18"/>
          <w:szCs w:val="18"/>
        </w:rPr>
        <w:t>Lưu ý: Các số liệu dự báo phản ánh ước tính của các tổ chức nghiên cứu tại thời điểm công bố và có thể thay đổi. Báo cáo này phục vụ mục đích tham khảo chiến lược, không cấu thành tư vấn đầu tư, pháp lý hay tài chính.</w:t>
      </w:r>
    </w:p>
    <w:sectPr>
      <w:headerReference w:type="even" r:id="rId34"/>
      <w:headerReference w:type="default" r:id="rId35"/>
      <w:headerReference w:type="first" r:id="rId36"/>
      <w:footerReference w:type="even" r:id="rId37"/>
      <w:footerReference w:type="default" r:id="rId38"/>
      <w:footerReference w:type="first" r:id="rId39"/>
      <w:type w:val="nextPage"/>
      <w:pgSz w:w="12240" w:h="15840"/>
      <w:pgMar w:left="1440" w:right="1440" w:gutter="0" w:header="708" w:top="1440" w:footer="708" w:bottom="1440"/>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6" w:color="C9D6E5"/>
      </w:pBdr>
      <w:tabs>
        <w:tab w:val="clear" w:pos="720"/>
        <w:tab w:val="right" w:pos="9360" w:leader="none"/>
      </w:tabs>
      <w:rPr/>
    </w:pPr>
    <w:r>
      <w:rPr>
        <w:color w:val="5B6675"/>
        <w:sz w:val="16"/>
        <w:szCs w:val="16"/>
      </w:rPr>
      <w:t>Báo cáo chiến lược · Tháng 6/2026</w:t>
      <w:tab/>
      <w:t xml:space="preserve">Trang </w:t>
    </w:r>
    <w:r>
      <w:rPr>
        <w:i/>
        <w:iCs/>
        <w:color w:val="5B6675"/>
        <w:sz w:val="18"/>
        <w:szCs w:val="18"/>
      </w:rPr>
      <w:fldChar w:fldCharType="begin"/>
    </w:r>
    <w:r>
      <w:rPr>
        <w:i/>
        <w:iCs/>
        <w:color w:val="5B6675"/>
        <w:sz w:val="18"/>
        <w:szCs w:val="18"/>
      </w:rPr>
      <w:instrText xml:space="preserve"> PAGE </w:instrText>
    </w:r>
    <w:r>
      <w:rPr>
        <w:i/>
        <w:iCs/>
        <w:color w:val="5B6675"/>
        <w:sz w:val="18"/>
        <w:szCs w:val="18"/>
      </w:rPr>
      <w:fldChar w:fldCharType="separate"/>
    </w:r>
    <w:r>
      <w:rPr>
        <w:i/>
        <w:iCs/>
        <w:color w:val="5B6675"/>
        <w:sz w:val="18"/>
        <w:szCs w:val="18"/>
      </w:rPr>
      <w:t>34</w:t>
    </w:r>
    <w:r>
      <w:rPr>
        <w:i/>
        <w:iCs/>
        <w:color w:val="5B6675"/>
        <w:sz w:val="18"/>
        <w:szCs w:val="18"/>
      </w:rPr>
      <w:fldChar w:fldCharType="end"/>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6" w:color="C9D6E5"/>
      </w:pBdr>
      <w:tabs>
        <w:tab w:val="clear" w:pos="720"/>
        <w:tab w:val="right" w:pos="9360" w:leader="none"/>
      </w:tabs>
      <w:rPr/>
    </w:pPr>
    <w:r>
      <w:rPr>
        <w:color w:val="5B6675"/>
        <w:sz w:val="16"/>
        <w:szCs w:val="16"/>
      </w:rPr>
      <w:t>Báo cáo chiến lược · Tháng 6/2026</w:t>
      <w:tab/>
      <w:t xml:space="preserve">Trang </w:t>
    </w:r>
    <w:r>
      <w:rPr>
        <w:i/>
        <w:iCs/>
        <w:color w:val="5B6675"/>
        <w:sz w:val="18"/>
        <w:szCs w:val="18"/>
      </w:rPr>
      <w:fldChar w:fldCharType="begin"/>
    </w:r>
    <w:r>
      <w:rPr>
        <w:i/>
        <w:iCs/>
        <w:color w:val="5B6675"/>
        <w:sz w:val="18"/>
        <w:szCs w:val="18"/>
      </w:rPr>
      <w:instrText xml:space="preserve"> PAGE </w:instrText>
    </w:r>
    <w:r>
      <w:rPr>
        <w:i/>
        <w:iCs/>
        <w:color w:val="5B6675"/>
        <w:sz w:val="18"/>
        <w:szCs w:val="18"/>
      </w:rPr>
      <w:fldChar w:fldCharType="separate"/>
    </w:r>
    <w:r>
      <w:rPr>
        <w:i/>
        <w:iCs/>
        <w:color w:val="5B6675"/>
        <w:sz w:val="18"/>
        <w:szCs w:val="18"/>
      </w:rPr>
      <w:t>34</w:t>
    </w:r>
    <w:r>
      <w:rPr>
        <w:i/>
        <w:iCs/>
        <w:color w:val="5B6675"/>
        <w:sz w:val="18"/>
        <w:szCs w:val="18"/>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C9D6E5"/>
      </w:pBdr>
      <w:jc w:val="right"/>
      <w:rPr/>
    </w:pPr>
    <w:r>
      <w:rPr>
        <w:i/>
        <w:iCs/>
        <w:color w:val="5B6675"/>
        <w:sz w:val="16"/>
        <w:szCs w:val="16"/>
      </w:rPr>
      <w:t>Sự phát triển &amp; Ứng dụng AI Agent trong Doanh nghiệp</w:t>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C9D6E5"/>
      </w:pBdr>
      <w:jc w:val="right"/>
      <w:rPr/>
    </w:pPr>
    <w:r>
      <w:rPr>
        <w:i/>
        <w:iCs/>
        <w:color w:val="5B6675"/>
        <w:sz w:val="16"/>
        <w:szCs w:val="16"/>
      </w:rPr>
      <w:t>Sự phát triển &amp; Ứng dụng AI Agent trong Doanh nghiệp</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460" w:hanging="28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460" w:hanging="30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1"/>
    <w:lvlOverride w:ilvl="0">
      <w:startOverride w:val="1"/>
    </w:lvlOverride>
  </w:num>
  <w:num w:numId="5">
    <w:abstractNumId w:val="2"/>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color w:val="16233B"/>
        <w:sz w:val="24"/>
        <w:szCs w:val="24"/>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16233B"/>
      <w:kern w:val="0"/>
      <w:sz w:val="24"/>
      <w:szCs w:val="24"/>
      <w:lang w:val="en-US" w:eastAsia="zh-CN" w:bidi="hi-IN"/>
    </w:rPr>
  </w:style>
  <w:style w:type="paragraph" w:styleId="Heading1">
    <w:name w:val="heading 1"/>
    <w:basedOn w:val="Heading"/>
    <w:qFormat/>
    <w:pPr>
      <w:keepNext w:val="true"/>
      <w:pageBreakBefore/>
      <w:pBdr>
        <w:bottom w:val="single" w:sz="10" w:space="6" w:color="0F2440"/>
      </w:pBdr>
      <w:spacing w:before="320" w:after="210"/>
      <w:outlineLvl w:val="0"/>
    </w:pPr>
    <w:rPr>
      <w:rFonts w:ascii="Arial" w:hAnsi="Arial" w:eastAsia="Arial" w:cs="Arial"/>
      <w:b/>
      <w:bCs/>
      <w:color w:val="0F2440"/>
      <w:sz w:val="32"/>
      <w:szCs w:val="32"/>
    </w:rPr>
  </w:style>
  <w:style w:type="paragraph" w:styleId="Heading2">
    <w:name w:val="heading 2"/>
    <w:basedOn w:val="Heading"/>
    <w:qFormat/>
    <w:pPr>
      <w:keepNext w:val="true"/>
      <w:spacing w:before="280" w:after="130"/>
      <w:outlineLvl w:val="1"/>
    </w:pPr>
    <w:rPr>
      <w:rFonts w:ascii="Arial" w:hAnsi="Arial" w:eastAsia="Arial" w:cs="Arial"/>
      <w:b/>
      <w:bCs/>
      <w:color w:val="1C6DD0"/>
      <w:sz w:val="26"/>
      <w:szCs w:val="26"/>
    </w:rPr>
  </w:style>
  <w:style w:type="paragraph" w:styleId="Heading3">
    <w:name w:val="heading 3"/>
    <w:basedOn w:val="Heading"/>
    <w:qFormat/>
    <w:pPr>
      <w:keepNext w:val="true"/>
      <w:spacing w:before="150" w:after="50"/>
      <w:outlineLvl w:val="2"/>
    </w:pPr>
    <w:rPr>
      <w:rFonts w:ascii="Arial" w:hAnsi="Arial" w:eastAsia="Arial" w:cs="Arial"/>
      <w:b/>
      <w:bCs/>
      <w:color w:val="16233B"/>
      <w:sz w:val="22"/>
      <w:szCs w:val="22"/>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Arial" w:hAnsi="Arial" w:eastAsia="Arial" w:cs="Arial"/>
      <w:b/>
      <w:bCs/>
      <w:color w:val="16233B"/>
      <w:kern w:val="0"/>
      <w:sz w:val="24"/>
      <w:szCs w:val="24"/>
      <w:lang w:val="en-US" w:eastAsia="zh-CN" w:bidi="hi-IN"/>
    </w:rPr>
  </w:style>
  <w:style w:type="paragraph" w:styleId="ListParagraph">
    <w:name w:val="List Paragraph"/>
    <w:qFormat/>
    <w:pPr>
      <w:widowControl/>
      <w:bidi w:val="0"/>
      <w:spacing w:before="0" w:after="0"/>
      <w:jc w:val="left"/>
    </w:pPr>
    <w:rPr>
      <w:rFonts w:ascii="Arial" w:hAnsi="Arial" w:eastAsia="Arial" w:cs="Arial"/>
      <w:color w:val="16233B"/>
      <w:kern w:val="0"/>
      <w:sz w:val="24"/>
      <w:szCs w:val="24"/>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OC1">
    <w:name w:val="toc 1"/>
    <w:basedOn w:val="Index"/>
    <w:pPr>
      <w:tabs>
        <w:tab w:val="clear" w:pos="720"/>
        <w:tab w:val="right" w:pos="10080" w:leader="dot"/>
      </w:tabs>
      <w:ind w:hanging="0" w:left="0"/>
    </w:pPr>
    <w:rPr/>
  </w:style>
  <w:style w:type="paragraph" w:styleId="TOC2">
    <w:name w:val="toc 2"/>
    <w:basedOn w:val="Index"/>
    <w:pPr>
      <w:tabs>
        <w:tab w:val="clear" w:pos="720"/>
        <w:tab w:val="right" w:pos="9797" w:leader="dot"/>
      </w:tabs>
      <w:ind w:hanging="0" w:left="283"/>
    </w:pPr>
    <w:rPr/>
  </w:style>
  <w:style w:type="paragraph" w:styleId="TOC3">
    <w:name w:val="toc 3"/>
    <w:basedOn w:val="Index"/>
    <w:pPr>
      <w:tabs>
        <w:tab w:val="clear" w:pos="720"/>
        <w:tab w:val="right" w:pos="9513" w:leader="dot"/>
      </w:tabs>
      <w:ind w:hanging="0" w:left="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hyperlink" Target="https://www.gartner.com/en/newsroom/press-releases/2025-08-26-gartner-predicts-40-percent-of-enterprise-apps-will-feature-task-specific-ai-agents-by-2026-up-from-less-than-5-percent-in-2025" TargetMode="External"/><Relationship Id="rId20" Type="http://schemas.openxmlformats.org/officeDocument/2006/relationships/hyperlink" Target="https://www.gartner.com/en/newsroom/press-releases/2025-06-25-gartner-predicts-over-40-percent-of-agentic-ai-projects-will-be-canceled-by-end-of-2027" TargetMode="External"/><Relationship Id="rId21" Type="http://schemas.openxmlformats.org/officeDocument/2006/relationships/hyperlink" Target="https://www.gartner.com/en/newsroom/press-releases/2026-01-15-gartner-predicts-60-percent-of-brands-will-use-agentic-ai-to-deliver-streamlined-one-to-one-interactions-by-2028" TargetMode="External"/><Relationship Id="rId22" Type="http://schemas.openxmlformats.org/officeDocument/2006/relationships/hyperlink" Target="https://www.mckinsey.com/capabilities/quantumblack/our-insights/the-state-of-ai" TargetMode="External"/><Relationship Id="rId23" Type="http://schemas.openxmlformats.org/officeDocument/2006/relationships/hyperlink" Target="https://www.mckinsey.com/capabilities/tech-and-ai/our-insights/the-economic-potential-of-generative-ai-the-next-productivity-frontier" TargetMode="External"/><Relationship Id="rId24" Type="http://schemas.openxmlformats.org/officeDocument/2006/relationships/hyperlink" Target="https://www.mckinsey.com/capabilities/risk-and-resilience/our-insights/deploying-agentic-ai-with-safety-and-security-a-playbook-for-technology-leaders" TargetMode="External"/><Relationship Id="rId25" Type="http://schemas.openxmlformats.org/officeDocument/2006/relationships/hyperlink" Target="https://www.deloitte.com/us/en/insights/topics/technology-management/tech-trends/2026/agentic-ai-strategy.html" TargetMode="External"/><Relationship Id="rId26" Type="http://schemas.openxmlformats.org/officeDocument/2006/relationships/hyperlink" Target="https://www.capgemini.com/us-en/news/press-releases/banks-and-insurers-deploy-ai-agents-to-fight-fraud-and-process-applications-with-plans-for-new-roles-to-supervise-the-ai/" TargetMode="External"/><Relationship Id="rId27" Type="http://schemas.openxmlformats.org/officeDocument/2006/relationships/hyperlink" Target="https://www.salesforce.com/agentforce/metrics/" TargetMode="External"/><Relationship Id="rId28" Type="http://schemas.openxmlformats.org/officeDocument/2006/relationships/hyperlink" Target="https://learn.microsoft.com/en-us/power-platform/release-plan/2025wave2/microsoft-copilot-studio/" TargetMode="External"/><Relationship Id="rId29" Type="http://schemas.openxmlformats.org/officeDocument/2006/relationships/hyperlink" Target="https://www.deloitte.com/us/en/insights/industry/manufacturing-industrial-products/agentic-supply-chain-artificial-intelligence-manufacturing.html" TargetMode="External"/><Relationship Id="rId30" Type="http://schemas.openxmlformats.org/officeDocument/2006/relationships/hyperlink" Target="https://composio.dev/blog/why-ai-agent-pilots-fail-2026-integration-roadmap" TargetMode="External"/><Relationship Id="rId31" Type="http://schemas.openxmlformats.org/officeDocument/2006/relationships/hyperlink" Target="https://en.wikipedia.org/wiki/Model_Context_Protocol" TargetMode="External"/><Relationship Id="rId32" Type="http://schemas.openxmlformats.org/officeDocument/2006/relationships/hyperlink" Target="https://www.precedenceresearch.com/ai-agents-market" TargetMode="External"/><Relationship Id="rId33" Type="http://schemas.openxmlformats.org/officeDocument/2006/relationships/hyperlink" Target="https://vietnamnews.vn/economy/1730694/viet-nam-leads-southeast-asia-in-ai-adoption-trust.html" TargetMode="External"/><Relationship Id="rId34" Type="http://schemas.openxmlformats.org/officeDocument/2006/relationships/header" Target="header4.xml"/><Relationship Id="rId35" Type="http://schemas.openxmlformats.org/officeDocument/2006/relationships/header" Target="header5.xml"/><Relationship Id="rId36" Type="http://schemas.openxmlformats.org/officeDocument/2006/relationships/header" Target="header6.xml"/><Relationship Id="rId37" Type="http://schemas.openxmlformats.org/officeDocument/2006/relationships/footer" Target="footer4.xml"/><Relationship Id="rId38" Type="http://schemas.openxmlformats.org/officeDocument/2006/relationships/footer" Target="footer5.xml"/><Relationship Id="rId39" Type="http://schemas.openxmlformats.org/officeDocument/2006/relationships/footer" Target="footer6.xml"/><Relationship Id="rId40" Type="http://schemas.openxmlformats.org/officeDocument/2006/relationships/numbering" Target="numbering.xml"/><Relationship Id="rId41" Type="http://schemas.openxmlformats.org/officeDocument/2006/relationships/fontTable" Target="fontTable.xml"/><Relationship Id="rId42" Type="http://schemas.openxmlformats.org/officeDocument/2006/relationships/settings" Target="settings.xml"/><Relationship Id="rId4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LibreOffice/26.2.2.2$Linux_X86_64 LibreOffice_project/620$Build-2</Application>
  <AppVersion>15.0000</AppVersion>
  <Pages>36</Pages>
  <Words>10028</Words>
  <Characters>37915</Characters>
  <CharactersWithSpaces>47460</CharactersWithSpaces>
  <Paragraphs>525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2026-06-01T14:31:21Z</dcterms:created>
  <dc:creator>Báo cáo chiến lược AI Agent</dc:creator>
  <dc:description>Báo cáo phân tích và dự báo AI Agent 2026–2029</dc:description>
  <dc:language>en-US</dc:language>
  <cp:lastModifiedBy/>
  <dcterms:modified xsi:type="dcterms:W3CDTF">2026-06-02T00:55:08Z</dcterms:modified>
  <cp:revision>2</cp:revision>
  <dc:subject/>
  <dc:title>Sự phát triển &amp; Ứng dụng AI Agent trong Doanh nghiệp</dc:title>
</cp:coreProperties>
</file>