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CHUYỂN ĐỔI ERD SANG MÔ HÌNH QUAN HỆ</w:t>
      </w:r>
    </w:p>
    <w:p>
      <w:pPr>
        <w:jc w:val="center"/>
      </w:pPr>
      <w:r>
        <w:rPr>
          <w:i/>
          <w:sz w:val="24"/>
        </w:rPr>
        <w:t>Môn học: Cơ sở dữ liệu</w:t>
      </w:r>
    </w:p>
    <w:p>
      <w:r>
        <w:t>Sinh viên: Lò Văn Bắc</w:t>
      </w:r>
    </w:p>
    <w:p>
      <w:r>
        <w:t>Lớp: CNTT K23E</w:t>
      </w:r>
    </w:p>
    <w:p/>
    <w:p>
      <w:pPr>
        <w:pStyle w:val="Heading1"/>
      </w:pPr>
      <w:r>
        <w:t>I. Mục tiêu</w:t>
      </w:r>
    </w:p>
    <w:p>
      <w:r>
        <w:t>Chuyển đổi mô hình thực thể – kết hợp (ERD) thành mô hình dữ liệu quan hệ; xác định các bảng, khóa chính (PK), khóa ngoại (FK), các mối quan hệ và cách xử lý thuộc tính đa trị.</w:t>
      </w:r>
    </w:p>
    <w:p>
      <w:pPr>
        <w:pStyle w:val="Heading1"/>
      </w:pPr>
      <w:r>
        <w:t>II. Bước 1: Xác định các thực thể</w:t>
      </w:r>
    </w:p>
    <w:p>
      <w:r>
        <w:t>Từ sơ đồ ERD, xác định các thực thể chính sau:</w:t>
      </w:r>
    </w:p>
    <w:p>
      <w:pPr>
        <w:pStyle w:val="ListBullet"/>
      </w:pPr>
      <w:r>
        <w:rPr>
          <w:b/>
        </w:rPr>
        <w:t xml:space="preserve">PHIEUXUAT: </w:t>
      </w:r>
      <w:r>
        <w:t>SoPX (khóa chính), NgayXuat.</w:t>
      </w:r>
    </w:p>
    <w:p>
      <w:pPr>
        <w:pStyle w:val="ListBullet"/>
      </w:pPr>
      <w:r>
        <w:rPr>
          <w:b/>
        </w:rPr>
        <w:t xml:space="preserve">VATTU: </w:t>
      </w:r>
      <w:r>
        <w:t>MaVTU (khóa chính), TenVTU.</w:t>
      </w:r>
    </w:p>
    <w:p>
      <w:pPr>
        <w:pStyle w:val="ListBullet"/>
      </w:pPr>
      <w:r>
        <w:rPr>
          <w:b/>
        </w:rPr>
        <w:t xml:space="preserve">PHIEUNHAP: </w:t>
      </w:r>
      <w:r>
        <w:t>SoPN (khóa chính), NgayNhap.</w:t>
      </w:r>
    </w:p>
    <w:p>
      <w:pPr>
        <w:pStyle w:val="ListBullet"/>
      </w:pPr>
      <w:r>
        <w:rPr>
          <w:b/>
        </w:rPr>
        <w:t xml:space="preserve">DONDH: </w:t>
      </w:r>
      <w:r>
        <w:t>SoDH (khóa chính), NgayDH.</w:t>
      </w:r>
    </w:p>
    <w:p>
      <w:pPr>
        <w:pStyle w:val="ListBullet"/>
      </w:pPr>
      <w:r>
        <w:rPr>
          <w:b/>
        </w:rPr>
        <w:t xml:space="preserve">NHACC: </w:t>
      </w:r>
      <w:r>
        <w:t>MaNCC (khóa chính), TenNCC, DiaChi.</w:t>
      </w:r>
    </w:p>
    <w:p>
      <w:r>
        <w:t>Lưu ý: DGXuat và SLXuat là thuộc tính của quan hệ chi tiết phiếu xuất. DGNhap và SLNhap là thuộc tính của quan hệ chi tiết phiếu nhập. SDT là thuộc tính đa trị của nhà cung cấp.</w:t>
      </w:r>
    </w:p>
    <w:p>
      <w:pPr>
        <w:pStyle w:val="Heading1"/>
      </w:pPr>
      <w:r>
        <w:t>III. Bước 2: Xác định các mối quan hệ</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Times New Roman" w:hAnsi="Times New Roman" w:eastAsia="Times New Roman"/>
                <w:sz w:val="22"/>
              </w:rPr>
              <w:t>Mối quan hệ</w:t>
            </w:r>
          </w:p>
        </w:tc>
        <w:tc>
          <w:tcPr>
            <w:tcW w:type="dxa" w:w="3216"/>
          </w:tcPr>
          <w:p>
            <w:r>
              <w:rPr>
                <w:rFonts w:ascii="Times New Roman" w:hAnsi="Times New Roman" w:eastAsia="Times New Roman"/>
                <w:sz w:val="22"/>
              </w:rPr>
              <w:t>Loại quan hệ</w:t>
            </w:r>
          </w:p>
        </w:tc>
        <w:tc>
          <w:tcPr>
            <w:tcW w:type="dxa" w:w="3216"/>
          </w:tcPr>
          <w:p>
            <w:r>
              <w:rPr>
                <w:rFonts w:ascii="Times New Roman" w:hAnsi="Times New Roman" w:eastAsia="Times New Roman"/>
                <w:sz w:val="22"/>
              </w:rPr>
              <w:t>Cách chuyển đổi</w:t>
            </w:r>
          </w:p>
        </w:tc>
      </w:tr>
      <w:tr>
        <w:tc>
          <w:tcPr>
            <w:tcW w:type="dxa" w:w="3216"/>
          </w:tcPr>
          <w:p>
            <w:r>
              <w:rPr>
                <w:rFonts w:ascii="Times New Roman" w:hAnsi="Times New Roman" w:eastAsia="Times New Roman"/>
                <w:sz w:val="22"/>
              </w:rPr>
              <w:t>Chi tiết phiếu xuất</w:t>
            </w:r>
          </w:p>
        </w:tc>
        <w:tc>
          <w:tcPr>
            <w:tcW w:type="dxa" w:w="3216"/>
          </w:tcPr>
          <w:p>
            <w:r>
              <w:rPr>
                <w:rFonts w:ascii="Times New Roman" w:hAnsi="Times New Roman" w:eastAsia="Times New Roman"/>
                <w:sz w:val="22"/>
              </w:rPr>
              <w:t>N – N</w:t>
            </w:r>
          </w:p>
        </w:tc>
        <w:tc>
          <w:tcPr>
            <w:tcW w:type="dxa" w:w="3216"/>
          </w:tcPr>
          <w:p>
            <w:r>
              <w:rPr>
                <w:rFonts w:ascii="Times New Roman" w:hAnsi="Times New Roman" w:eastAsia="Times New Roman"/>
                <w:sz w:val="22"/>
              </w:rPr>
              <w:t>Tạo bảng CT_PHIEUXUAT, gồm SoPX, MaVTU, DGXuat, SLXuat.</w:t>
            </w:r>
          </w:p>
        </w:tc>
      </w:tr>
      <w:tr>
        <w:tc>
          <w:tcPr>
            <w:tcW w:type="dxa" w:w="3216"/>
          </w:tcPr>
          <w:p>
            <w:r>
              <w:rPr>
                <w:rFonts w:ascii="Times New Roman" w:hAnsi="Times New Roman" w:eastAsia="Times New Roman"/>
                <w:sz w:val="22"/>
              </w:rPr>
              <w:t>Chi tiết phiếu nhập</w:t>
            </w:r>
          </w:p>
        </w:tc>
        <w:tc>
          <w:tcPr>
            <w:tcW w:type="dxa" w:w="3216"/>
          </w:tcPr>
          <w:p>
            <w:r>
              <w:rPr>
                <w:rFonts w:ascii="Times New Roman" w:hAnsi="Times New Roman" w:eastAsia="Times New Roman"/>
                <w:sz w:val="22"/>
              </w:rPr>
              <w:t>N – N</w:t>
            </w:r>
          </w:p>
        </w:tc>
        <w:tc>
          <w:tcPr>
            <w:tcW w:type="dxa" w:w="3216"/>
          </w:tcPr>
          <w:p>
            <w:r>
              <w:rPr>
                <w:rFonts w:ascii="Times New Roman" w:hAnsi="Times New Roman" w:eastAsia="Times New Roman"/>
                <w:sz w:val="22"/>
              </w:rPr>
              <w:t>Tạo bảng CT_PHIEUNHAP, gồm SoPN, MaVTU, DGNhap, SLNhap.</w:t>
            </w:r>
          </w:p>
        </w:tc>
      </w:tr>
      <w:tr>
        <w:tc>
          <w:tcPr>
            <w:tcW w:type="dxa" w:w="3216"/>
          </w:tcPr>
          <w:p>
            <w:r>
              <w:rPr>
                <w:rFonts w:ascii="Times New Roman" w:hAnsi="Times New Roman" w:eastAsia="Times New Roman"/>
                <w:sz w:val="22"/>
              </w:rPr>
              <w:t>Chi tiết đơn đặt hàng</w:t>
            </w:r>
          </w:p>
        </w:tc>
        <w:tc>
          <w:tcPr>
            <w:tcW w:type="dxa" w:w="3216"/>
          </w:tcPr>
          <w:p>
            <w:r>
              <w:rPr>
                <w:rFonts w:ascii="Times New Roman" w:hAnsi="Times New Roman" w:eastAsia="Times New Roman"/>
                <w:sz w:val="22"/>
              </w:rPr>
              <w:t>N – N</w:t>
            </w:r>
          </w:p>
        </w:tc>
        <w:tc>
          <w:tcPr>
            <w:tcW w:type="dxa" w:w="3216"/>
          </w:tcPr>
          <w:p>
            <w:r>
              <w:rPr>
                <w:rFonts w:ascii="Times New Roman" w:hAnsi="Times New Roman" w:eastAsia="Times New Roman"/>
                <w:sz w:val="22"/>
              </w:rPr>
              <w:t>Tạo bảng CT_DONDH, gồm SoDH và MaVTU.</w:t>
            </w:r>
          </w:p>
        </w:tc>
      </w:tr>
      <w:tr>
        <w:tc>
          <w:tcPr>
            <w:tcW w:type="dxa" w:w="3216"/>
          </w:tcPr>
          <w:p>
            <w:r>
              <w:rPr>
                <w:rFonts w:ascii="Times New Roman" w:hAnsi="Times New Roman" w:eastAsia="Times New Roman"/>
                <w:sz w:val="22"/>
              </w:rPr>
              <w:t>Cung cấp (NHACC – DONDH)</w:t>
            </w:r>
          </w:p>
        </w:tc>
        <w:tc>
          <w:tcPr>
            <w:tcW w:type="dxa" w:w="3216"/>
          </w:tcPr>
          <w:p>
            <w:r>
              <w:rPr>
                <w:rFonts w:ascii="Times New Roman" w:hAnsi="Times New Roman" w:eastAsia="Times New Roman"/>
                <w:sz w:val="22"/>
              </w:rPr>
              <w:t>1 – N</w:t>
            </w:r>
          </w:p>
        </w:tc>
        <w:tc>
          <w:tcPr>
            <w:tcW w:type="dxa" w:w="3216"/>
          </w:tcPr>
          <w:p>
            <w:r>
              <w:rPr>
                <w:rFonts w:ascii="Times New Roman" w:hAnsi="Times New Roman" w:eastAsia="Times New Roman"/>
                <w:sz w:val="22"/>
              </w:rPr>
              <w:t>Thêm MaNCC làm khóa ngoại trong DONDH.</w:t>
            </w:r>
          </w:p>
        </w:tc>
      </w:tr>
    </w:tbl>
    <w:p>
      <w:pPr>
        <w:pStyle w:val="Heading1"/>
      </w:pPr>
      <w:r>
        <w:t>IV. Bước 3: Xử lý thuộc tính đa trị</w:t>
      </w:r>
    </w:p>
    <w:p>
      <w:r>
        <w:t>Thuộc tính SDT của NHACC được biểu diễn bằng hình oval kép trong ERD, cho biết một nhà cung cấp có thể có nhiều số điện thoại. Vì vậy, tách thuộc tính này thành bảng riêng:</w:t>
      </w:r>
    </w:p>
    <w:p>
      <w:pPr>
        <w:jc w:val="center"/>
      </w:pPr>
      <w:r>
        <w:rPr>
          <w:b/>
        </w:rPr>
        <w:t>NHACC_SDT(MaNCC, SDT)</w:t>
      </w:r>
    </w:p>
    <w:p>
      <w:r>
        <w:t>Khóa chính: (MaNCC, SDT). Khóa ngoại: MaNCC tham chiếu NHACC(MaNCC).</w:t>
      </w:r>
    </w:p>
    <w:p>
      <w:pPr>
        <w:pStyle w:val="Heading1"/>
      </w:pPr>
      <w:r>
        <w:t>V. Bước 4: Mô hình dữ liệu quan hệ sau chuyển đổi</w:t>
      </w:r>
    </w:p>
    <w:p>
      <w:pPr>
        <w:pStyle w:val="ListBullet"/>
      </w:pPr>
      <w:r>
        <w:rPr>
          <w:b/>
        </w:rPr>
        <w:t xml:space="preserve">PHIEUXUAT: </w:t>
      </w:r>
      <w:r>
        <w:t>SoPX (PK), NgayXuat</w:t>
      </w:r>
    </w:p>
    <w:p>
      <w:pPr>
        <w:pStyle w:val="ListBullet"/>
      </w:pPr>
      <w:r>
        <w:rPr>
          <w:b/>
        </w:rPr>
        <w:t xml:space="preserve">VATTU: </w:t>
      </w:r>
      <w:r>
        <w:t>MaVTU (PK), TenVTU</w:t>
      </w:r>
    </w:p>
    <w:p>
      <w:pPr>
        <w:pStyle w:val="ListBullet"/>
      </w:pPr>
      <w:r>
        <w:rPr>
          <w:b/>
        </w:rPr>
        <w:t xml:space="preserve">PHIEUNHAP: </w:t>
      </w:r>
      <w:r>
        <w:t>SoPN (PK), NgayNhap</w:t>
      </w:r>
    </w:p>
    <w:p>
      <w:pPr>
        <w:pStyle w:val="ListBullet"/>
      </w:pPr>
      <w:r>
        <w:rPr>
          <w:b/>
        </w:rPr>
        <w:t xml:space="preserve">NHACC: </w:t>
      </w:r>
      <w:r>
        <w:t>MaNCC (PK), TenNCC, DiaChi</w:t>
      </w:r>
    </w:p>
    <w:p>
      <w:pPr>
        <w:pStyle w:val="ListBullet"/>
      </w:pPr>
      <w:r>
        <w:rPr>
          <w:b/>
        </w:rPr>
        <w:t xml:space="preserve">DONDH: </w:t>
      </w:r>
      <w:r>
        <w:t>SoDH (PK), NgayDH, MaNCC (FK)</w:t>
      </w:r>
    </w:p>
    <w:p>
      <w:pPr>
        <w:pStyle w:val="ListBullet"/>
      </w:pPr>
      <w:r>
        <w:rPr>
          <w:b/>
        </w:rPr>
        <w:t xml:space="preserve">CT_PHIEUXUAT: </w:t>
      </w:r>
      <w:r>
        <w:t>SoPX (PK, FK), MaVTU (PK, FK), DGXuat, SLXuat</w:t>
      </w:r>
    </w:p>
    <w:p>
      <w:pPr>
        <w:pStyle w:val="ListBullet"/>
      </w:pPr>
      <w:r>
        <w:rPr>
          <w:b/>
        </w:rPr>
        <w:t xml:space="preserve">CT_PHIEUNHAP: </w:t>
      </w:r>
      <w:r>
        <w:t>SoPN (PK, FK), MaVTU (PK, FK), DGNhap, SLNhap</w:t>
      </w:r>
    </w:p>
    <w:p>
      <w:pPr>
        <w:pStyle w:val="ListBullet"/>
      </w:pPr>
      <w:r>
        <w:rPr>
          <w:b/>
        </w:rPr>
        <w:t xml:space="preserve">CT_DONDH: </w:t>
      </w:r>
      <w:r>
        <w:t>SoDH (PK, FK), MaVTU (PK, FK)</w:t>
      </w:r>
    </w:p>
    <w:p>
      <w:pPr>
        <w:pStyle w:val="ListBullet"/>
      </w:pPr>
      <w:r>
        <w:rPr>
          <w:b/>
        </w:rPr>
        <w:t xml:space="preserve">NHACC_SDT: </w:t>
      </w:r>
      <w:r>
        <w:t>MaNCC (PK, FK), SDT (PK)</w:t>
      </w:r>
    </w:p>
    <w:p>
      <w:pPr>
        <w:pStyle w:val="Heading1"/>
      </w:pPr>
      <w:r>
        <w:t>VI. Kết luận</w:t>
      </w:r>
    </w:p>
    <w:p>
      <w:r>
        <w:t>Sau khi chuyển đổi, mô hình gồm 9 bảng quan hệ: 5 bảng thực thể, 3 bảng chi tiết cho các quan hệ N–N và 1 bảng lưu thuộc tính đa trị SDT. Các khóa chính và khóa ngoại được xác định để đảm bảo tính liên kết giữa các bảng.</w:t>
      </w:r>
    </w:p>
    <w:p>
      <w:r>
        <w:t>Ghi chú: Sơ đồ gốc không thể hiện rõ các thuộc tính của quan hệ chi tiết đơn đặt hàng. Vì vậy, CT_DONDH được trình bày với hai khóa SoDH và MaVTU; nếu đề bài hoặc giảng viên yêu cầu thêm số lượng, đơn giá thì cần bổ sung theo đặc tả nghiệp vụ.</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