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1"/>
          <w:bCs w:val="1"/>
          <w:color w:val="77206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7206e"/>
          <w:sz w:val="32"/>
          <w:szCs w:val="32"/>
          <w:rtl w:val="0"/>
        </w:rPr>
        <w:t xml:space="preserve">Run Guide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notebooks/, run: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01_EDA.ipynb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02_Data_Preprocessing.ipynb (saves models/preprocessor.pkl &amp; splits)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03_Model_Training.ipynb (saves models/crop_model.pkl)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(Optional) 04_Evaluation_and_Tuning.ipynb (saves crop_model_tuned.pkl)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05_Final_Model_Save.ipynb (finalizes crop_model.pkl)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Launch the app: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app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B04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B04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B04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B04C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B04C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B04C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B04C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B04C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B04C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B04C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B04C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B04C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B04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B04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B04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B04C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B04C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B04C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B04C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04C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B04C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wlkKi6uGwQEMmXVJwFtosIsjg==">CgMxLjA4AHIhMTl3bVJLemh5WWg4MjdIaTFCZElYal9sUjBraUlaUTgx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2025-11-02T06:20:00Z</dcterms:created>
  <dc:creator>madhuri shingade</dc:creator>
</cp:coreProperties>
</file>