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1A10" w:val="clear"/>
            <w:tcMar>
              <w:top w:type="dxa" w:w="300"/>
              <w:left w:type="dxa" w:w="380"/>
              <w:bottom w:type="dxa" w:w="300"/>
              <w:right w:type="dxa" w:w="380"/>
            </w:tcMar>
          </w:tcPr>
          <w:p>
            <w:pPr>
              <w:spacing w:after="80" w:before="0"/>
              <w:jc w:val="center"/>
            </w:pPr>
            <w:r>
              <w:rPr>
                <w:rFonts w:ascii="Arial" w:cs="Arial" w:eastAsia="Arial" w:hAnsi="Arial"/>
                <w:b/>
                <w:bCs/>
                <w:color w:val="FFBBBB"/>
                <w:sz w:val="20"/>
                <w:szCs w:val="20"/>
              </w:rPr>
              <w:t xml:space="preserve">INFORME DE EVALUACION CRITICA DE CALIDAD</w:t>
            </w:r>
          </w:p>
          <w:p>
            <w:pPr>
              <w:spacing w:after="80" w:before="0"/>
              <w:jc w:val="center"/>
            </w:pPr>
            <w:r>
              <w:rPr>
                <w:rFonts w:ascii="Arial" w:cs="Arial" w:eastAsia="Arial" w:hAnsi="Arial"/>
                <w:b/>
                <w:bCs/>
                <w:color w:val="FFFFFF"/>
                <w:sz w:val="54"/>
                <w:szCs w:val="54"/>
              </w:rPr>
              <w:t xml:space="preserve">AuditMind Intelligence Platform</w:t>
            </w:r>
          </w:p>
          <w:p>
            <w:pPr>
              <w:spacing w:after="60" w:before="0"/>
              <w:jc w:val="center"/>
            </w:pPr>
            <w:r>
              <w:rPr>
                <w:rFonts w:ascii="Arial" w:cs="Arial" w:eastAsia="Arial" w:hAnsi="Arial"/>
                <w:color w:val="FFCCCC"/>
                <w:sz w:val="24"/>
                <w:szCs w:val="24"/>
              </w:rPr>
              <w:t xml:space="preserve">Evaluacion desde la perspectiva del</w:t>
            </w:r>
          </w:p>
          <w:p>
            <w:pPr>
              <w:spacing w:after="80" w:before="0"/>
              <w:jc w:val="center"/>
            </w:pPr>
            <w:r>
              <w:rPr>
                <w:rFonts w:ascii="Arial" w:cs="Arial" w:eastAsia="Arial" w:hAnsi="Arial"/>
                <w:b/>
                <w:bCs/>
                <w:color w:val="FFFFFF"/>
                <w:sz w:val="22"/>
                <w:szCs w:val="22"/>
              </w:rPr>
              <w:t xml:space="preserve">Marco Internacional de Practica Profesional (MIPP) | IIA 2025</w:t>
            </w:r>
          </w:p>
          <w:p>
            <w:pPr>
              <w:spacing w:after="60" w:before="0"/>
              <w:jc w:val="center"/>
            </w:pPr>
            <w:r>
              <w:rPr>
                <w:rFonts w:ascii="Arial" w:cs="Arial" w:eastAsia="Arial" w:hAnsi="Arial"/>
                <w:color w:val="FFDDDD"/>
                <w:sz w:val="20"/>
                <w:szCs w:val="20"/>
              </w:rPr>
              <w:t xml:space="preserve">COBIT 2019  |  NIST CSF 2.0  |  ISO 27001:2022  |  ISO 22301:2019</w:t>
            </w:r>
          </w:p>
          <w:p>
            <w:pPr>
              <w:spacing w:after="60" w:before="0"/>
              <w:jc w:val="center"/>
            </w:pPr>
            <w:r>
              <w:rPr>
                <w:rFonts w:ascii="Arial" w:cs="Arial" w:eastAsia="Arial" w:hAnsi="Arial"/>
                <w:color w:val="FFDDDD"/>
                <w:sz w:val="20"/>
                <w:szCs w:val="20"/>
              </w:rPr>
              <w:t xml:space="preserve">ISA / GAAS / IFRS  |  Big Four Methodology  |  COSO 2013 / ERM 2017</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4F6F9" w:val="clear"/>
                  <w:tcMar>
                    <w:top w:type="dxa" w:w="160"/>
                    <w:left w:type="dxa" w:w="220"/>
                    <w:bottom w:type="dxa" w:w="160"/>
                    <w:right w:type="dxa" w:w="220"/>
                  </w:tcMar>
                </w:tcPr>
                <w:p>
                  <w:pPr>
                    <w:jc w:val="center"/>
                  </w:pPr>
                  <w:r>
                    <w:rPr>
                      <w:rFonts w:ascii="Arial" w:cs="Arial" w:eastAsia="Arial" w:hAnsi="Arial"/>
                      <w:color w:val="4A4A4A"/>
                      <w:sz w:val="19"/>
                      <w:szCs w:val="19"/>
                    </w:rPr>
                    <w:t xml:space="preserve">Evaluador</w:t>
                  </w:r>
                </w:p>
                <w:p>
                  <w:pPr>
                    <w:jc w:val="center"/>
                  </w:pPr>
                  <w:r>
                    <w:rPr>
                      <w:rFonts w:ascii="Arial" w:cs="Arial" w:eastAsia="Arial" w:hAnsi="Arial"/>
                      <w:b/>
                      <w:bCs/>
                      <w:color w:val="0F2D4A"/>
                      <w:sz w:val="22"/>
                      <w:szCs w:val="22"/>
                    </w:rPr>
                    <w:t xml:space="preserve">Auditor Critico Experto</w:t>
                  </w:r>
                </w:p>
                <w:p>
                  <w:pPr>
                    <w:spacing w:after="0" w:before="30"/>
                    <w:jc w:val="center"/>
                  </w:pPr>
                  <w:r>
                    <w:rPr>
                      <w:rFonts w:ascii="Arial" w:cs="Arial" w:eastAsia="Arial" w:hAnsi="Arial"/>
                      <w:i/>
                      <w:iCs/>
                      <w:color w:val="4A4A4A"/>
                      <w:sz w:val="17"/>
                      <w:szCs w:val="17"/>
                    </w:rPr>
                    <w:t xml:space="preserve">Especialista en Auditoria Interna, TI y Marcos Internacionales</w:t>
                  </w:r>
                </w:p>
              </w:tc>
            </w:tr>
          </w:tbl>
          <w:p/>
        </w:tc>
        <w:tc>
          <w:tcPr>
            <w:tcW w:type="dxa" w:w="240"/>
            <w:tcBorders>
              <w:top w:val="none" w:color="FFFFFF" w:sz="0"/>
              <w:left w:val="none" w:color="FFFFFF" w:sz="0"/>
              <w:bottom w:val="none" w:color="FFFFFF" w:sz="0"/>
              <w:right w:val="none" w:color="FFFFFF" w:sz="0"/>
            </w:tcBorders>
          </w:tcPr>
          <w:p>
            <w:pPr>
              <w:spacing w:after="120" w:before="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60"/>
                    <w:left w:type="dxa" w:w="220"/>
                    <w:bottom w:type="dxa" w:w="160"/>
                    <w:right w:type="dxa" w:w="220"/>
                  </w:tcMar>
                </w:tcPr>
                <w:p>
                  <w:pPr>
                    <w:jc w:val="center"/>
                  </w:pPr>
                  <w:r>
                    <w:rPr>
                      <w:rFonts w:ascii="Arial" w:cs="Arial" w:eastAsia="Arial" w:hAnsi="Arial"/>
                      <w:color w:val="4A4A4A"/>
                      <w:sz w:val="19"/>
                      <w:szCs w:val="19"/>
                    </w:rPr>
                    <w:t xml:space="preserve">Calificacion Global</w:t>
                  </w:r>
                </w:p>
                <w:p>
                  <w:pPr>
                    <w:jc w:val="center"/>
                  </w:pPr>
                  <w:r>
                    <w:rPr>
                      <w:rFonts w:ascii="Arial" w:cs="Arial" w:eastAsia="Arial" w:hAnsi="Arial"/>
                      <w:b/>
                      <w:bCs/>
                      <w:color w:val="C25B10"/>
                      <w:sz w:val="36"/>
                      <w:szCs w:val="36"/>
                    </w:rPr>
                    <w:t xml:space="preserve">67 / 100</w:t>
                  </w:r>
                </w:p>
                <w:p>
                  <w:pPr>
                    <w:spacing w:after="0" w:before="30"/>
                    <w:jc w:val="center"/>
                  </w:pPr>
                  <w:r>
                    <w:rPr>
                      <w:rFonts w:ascii="Arial" w:cs="Arial" w:eastAsia="Arial" w:hAnsi="Arial"/>
                      <w:b/>
                      <w:bCs/>
                      <w:color w:val="C25B10"/>
                      <w:sz w:val="17"/>
                      <w:szCs w:val="17"/>
                    </w:rPr>
                    <w:t xml:space="preserve">BUENO CON BRECHAS CRITICAS</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2D4A"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§0  </w:t>
            </w:r>
            <w:r>
              <w:rPr>
                <w:rFonts w:ascii="Arial" w:cs="Arial" w:eastAsia="Arial" w:hAnsi="Arial"/>
                <w:b/>
                <w:bCs/>
                <w:color w:val="FFFFFF"/>
                <w:sz w:val="32"/>
                <w:szCs w:val="32"/>
              </w:rPr>
              <w:t xml:space="preserve">OPINION DEL AUDITOR EVALUADOR</w:t>
            </w:r>
          </w:p>
          <w:p>
            <w:r>
              <w:rPr>
                <w:rFonts w:ascii="Arial" w:cs="Arial" w:eastAsia="Arial" w:hAnsi="Arial"/>
                <w:i/>
                <w:iCs/>
                <w:color w:val="BBD4EE"/>
                <w:sz w:val="19"/>
                <w:szCs w:val="19"/>
              </w:rPr>
              <w:t xml:space="preserve">Evaluacion objetiva e independiente de AuditMind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60"/>
              <w:left w:type="dxa" w:w="220"/>
              <w:bottom w:type="dxa" w:w="160"/>
              <w:right w:type="dxa" w:w="220"/>
            </w:tcMar>
          </w:tcPr>
          <w:p>
            <w:pPr>
              <w:spacing w:after="100" w:before="0"/>
            </w:pPr>
            <w:r>
              <w:rPr>
                <w:rFonts w:ascii="Arial" w:cs="Arial" w:eastAsia="Arial" w:hAnsi="Arial"/>
                <w:b/>
                <w:bCs/>
                <w:color w:val="0F2D4A"/>
                <w:sz w:val="22"/>
                <w:szCs w:val="22"/>
              </w:rPr>
              <w:t xml:space="preserve">Opinion Profesional</w:t>
            </w:r>
          </w:p>
          <w:p>
            <w:pPr>
              <w:spacing w:after="80" w:before="55"/>
              <w:jc w:val="both"/>
            </w:pPr>
            <w:r>
              <w:rPr>
                <w:rFonts w:ascii="Arial" w:cs="Arial" w:eastAsia="Arial" w:hAnsi="Arial"/>
                <w:color w:val="1A1A1A"/>
                <w:sz w:val="21"/>
                <w:szCs w:val="21"/>
              </w:rPr>
              <w:t xml:space="preserve">Habiendo revisado exhaustivamente la documentacion de diseno de AuditMind en sus cinco dimensiones principales — arquitectura de modulos, integracion de IA, metodologia de auditoria, seguridad y compliance, y experiencia de usuario — emito la siguiente opinion profesional:</w:t>
            </w:r>
          </w:p>
          <w:p>
            <w:pPr>
              <w:spacing w:after="60" w:before="0"/>
            </w:pPr>
            <w:r>
              <w:t xml:space="preserve"/>
            </w:r>
          </w:p>
          <w:p>
            <w:pPr>
              <w:spacing w:after="80" w:before="55"/>
              <w:jc w:val="both"/>
            </w:pPr>
            <w:r>
              <w:rPr>
                <w:rFonts w:ascii="Arial" w:cs="Arial" w:eastAsia="Arial" w:hAnsi="Arial"/>
                <w:color w:val="1A1A1A"/>
                <w:sz w:val="21"/>
                <w:szCs w:val="21"/>
              </w:rPr>
              <w:t xml:space="preserve">AuditMind es un sistema con vision estrategica genuinamente ambiciosa y algunas capacidades diferenciadoreas reales que no existen en el mercado actual. La integracion de RAG con base normativa, el LLM Router con fallback automatico, el Score de Calidad de Hallazgos y el Portal del Auditado representan innovaciones metodologicamente validas y alineadas con los Estandares Globales de Auditoria Interna del IIA 2025.</w:t>
            </w:r>
          </w:p>
          <w:p>
            <w:pPr>
              <w:spacing w:after="60" w:before="0"/>
            </w:pPr>
            <w:r>
              <w:t xml:space="preserve"/>
            </w:r>
          </w:p>
          <w:p>
            <w:pPr>
              <w:spacing w:after="80" w:before="55"/>
              <w:jc w:val="both"/>
            </w:pPr>
            <w:r>
              <w:rPr>
                <w:rFonts w:ascii="Arial" w:cs="Arial" w:eastAsia="Arial" w:hAnsi="Arial"/>
                <w:color w:val="1A1A1A"/>
                <w:sz w:val="21"/>
                <w:szCs w:val="21"/>
              </w:rPr>
              <w:t xml:space="preserve">Sin embargo, como auditor critico tengo la obligacion de senalar que el sistema presenta brechas materiales en areas que, de no ser atendidas antes del lanzamiento a produccion, comprometerian su credibilidad ante auditores profesionales certificados (CIA, CISA, CFE) y ante clientes en sectores regulados. Estas brechas no son defectos de codigo — son defectos de alcance metodologico.</w:t>
            </w:r>
          </w:p>
          <w:p>
            <w:pPr>
              <w:spacing w:after="60" w:before="0"/>
            </w:pPr>
            <w:r>
              <w:t xml:space="preserve"/>
            </w:r>
          </w:p>
          <w:p>
            <w:pPr>
              <w:spacing w:after="80" w:before="55"/>
              <w:jc w:val="both"/>
            </w:pPr>
            <w:r>
              <w:rPr>
                <w:rFonts w:ascii="Arial" w:cs="Arial" w:eastAsia="Arial" w:hAnsi="Arial"/>
                <w:color w:val="1A1A1A"/>
                <w:sz w:val="21"/>
                <w:szCs w:val="21"/>
              </w:rPr>
              <w:t xml:space="preserve">Mi calificacion global es 67/100. Suficiente para validar el concepto y capturar el mercado general. Insuficiente para competir con Big Four o para clientes en banca, sector publico o salud sin las mejoras que se detallan en este informe.</w:t>
            </w:r>
          </w:p>
        </w:tc>
      </w:tr>
    </w:tbl>
    <w:p>
      <w:r>
        <w:br w:type="page"/>
      </w:r>
    </w:p>
    <w:p>
      <w:pPr>
        <w:pStyle w:val="Heading1"/>
        <w:spacing w:after="160" w:before="320"/>
      </w:pPr>
      <w:r>
        <w:rPr>
          <w:rFonts w:ascii="Arial" w:cs="Arial" w:eastAsia="Arial" w:hAnsi="Arial"/>
          <w:b/>
          <w:bCs/>
          <w:color w:val="0F2D4A"/>
          <w:sz w:val="36"/>
          <w:szCs w:val="36"/>
        </w:rPr>
        <w:t xml:space="preserve">SCORECARD EJECUTIVO DE EVALUACION</w:t>
      </w:r>
    </w:p>
    <w:p>
      <w:pPr>
        <w:pBdr>
          <w:bottom w:val="single" w:color="2E7DD1" w:sz="5" w:space="1"/>
        </w:pBdr>
        <w:spacing w:after="80" w:before="80"/>
      </w:pPr>
      <w:r>
        <w:t xml:space="preserve"/>
      </w:r>
    </w:p>
    <w:p>
      <w:pPr>
        <w:spacing w:after="80" w:before="0"/>
      </w:pPr>
      <w:r>
        <w:t xml:space="preserve"/>
      </w:r>
    </w:p>
    <w:p>
      <w:pPr>
        <w:spacing w:after="80" w:before="55"/>
        <w:jc w:val="both"/>
      </w:pPr>
      <w:r>
        <w:rPr>
          <w:rFonts w:ascii="Arial" w:cs="Arial" w:eastAsia="Arial" w:hAnsi="Arial"/>
          <w:color w:val="1A1A1A"/>
          <w:sz w:val="21"/>
          <w:szCs w:val="21"/>
        </w:rPr>
        <w:t xml:space="preserve">Evaluacion de 12 dimensiones criticas desde la perspectiva de los marcos internacionales de auditoria y tecnologia: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600"/>
        <w:gridCol w:w="2360"/>
      </w:tblGrid>
      <w:tr>
        <w:trPr>
          <w:tblHeader/>
        </w:trPr>
        <w:tc>
          <w:tcPr>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Dimension de Evaluacion</w:t>
            </w:r>
          </w:p>
        </w:tc>
        <w:tc>
          <w:tcPr>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pPr>
              <w:jc w:val="center"/>
            </w:pPr>
            <w:r>
              <w:rPr>
                <w:rFonts w:ascii="Arial" w:cs="Arial" w:eastAsia="Arial" w:hAnsi="Arial"/>
                <w:b/>
                <w:bCs/>
                <w:color w:val="FFFFFF"/>
                <w:sz w:val="18"/>
                <w:szCs w:val="18"/>
              </w:rPr>
              <w:t xml:space="preserve">Score</w:t>
            </w:r>
          </w:p>
        </w:tc>
        <w:tc>
          <w:tcPr>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pPr>
              <w:jc w:val="center"/>
            </w:pPr>
            <w:r>
              <w:rPr>
                <w:rFonts w:ascii="Arial" w:cs="Arial" w:eastAsia="Arial" w:hAnsi="Arial"/>
                <w:b/>
                <w:bCs/>
                <w:color w:val="FFFFFF"/>
                <w:sz w:val="18"/>
                <w:szCs w:val="18"/>
              </w:rPr>
              <w:t xml:space="preserve">Estado</w:t>
            </w:r>
          </w:p>
        </w:tc>
        <w:tc>
          <w:tcPr>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Referencia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1. Ciclo completo de auditoria interna</w:t>
            </w:r>
          </w:p>
        </w:tc>
        <w:tc>
          <w:tcPr>
            <w:tcW w:type="dxa" w:w="1200"/>
            <w:tcBorders>
              <w:top w:val="single" w:color="CCCCCC" w:sz="1"/>
              <w:left w:val="single" w:color="CCCCCC" w:sz="1"/>
              <w:bottom w:val="single" w:color="CCCCCC" w:sz="1"/>
              <w:right w:val="single" w:color="CCCCCC" w:sz="1"/>
            </w:tcBorders>
            <w:shd w:fill="B8860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78/100</w:t>
            </w:r>
          </w:p>
        </w:tc>
        <w:tc>
          <w:tcPr>
            <w:tcW w:type="dxa" w:w="16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SOLIDO</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2. Alineacion con Estandares IIA 2025</w:t>
            </w:r>
          </w:p>
        </w:tc>
        <w:tc>
          <w:tcPr>
            <w:tcW w:type="dxa" w:w="1200"/>
            <w:tcBorders>
              <w:top w:val="single" w:color="CCCCCC" w:sz="1"/>
              <w:left w:val="single" w:color="CCCCCC" w:sz="1"/>
              <w:bottom w:val="single" w:color="CCCCCC" w:sz="1"/>
              <w:right w:val="single" w:color="CCCCCC" w:sz="1"/>
            </w:tcBorders>
            <w:shd w:fill="C25B10"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55/100</w:t>
            </w:r>
          </w:p>
        </w:tc>
        <w:tc>
          <w:tcPr>
            <w:tcW w:type="dxa" w:w="1600"/>
            <w:tcBorders>
              <w:top w:val="single" w:color="CCCCCC" w:sz="1"/>
              <w:left w:val="single" w:color="CCCCCC" w:sz="1"/>
              <w:bottom w:val="single" w:color="CCCCCC" w:sz="1"/>
              <w:right w:val="single" w:color="CCCCCC" w:sz="1"/>
            </w:tcBorders>
            <w:shd w:fill="C25B1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PARCIAL</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3. Metodologia de papeles de trabajo</w:t>
            </w:r>
          </w:p>
        </w:tc>
        <w:tc>
          <w:tcPr>
            <w:tcW w:type="dxa" w:w="1200"/>
            <w:tcBorders>
              <w:top w:val="single" w:color="CCCCCC" w:sz="1"/>
              <w:left w:val="single" w:color="CCCCCC" w:sz="1"/>
              <w:bottom w:val="single" w:color="CCCCCC" w:sz="1"/>
              <w:right w:val="single" w:color="CCCCCC" w:sz="1"/>
            </w:tcBorders>
            <w:shd w:fill="B8860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72/100</w:t>
            </w:r>
          </w:p>
        </w:tc>
        <w:tc>
          <w:tcPr>
            <w:tcW w:type="dxa" w:w="16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BUENO</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4. Gestion de hallazgos y seguimiento</w:t>
            </w:r>
          </w:p>
        </w:tc>
        <w:tc>
          <w:tcPr>
            <w:tcW w:type="dxa" w:w="12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80/100</w:t>
            </w:r>
          </w:p>
        </w:tc>
        <w:tc>
          <w:tcPr>
            <w:tcW w:type="dxa" w:w="16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SOLIDO</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5. Auditoria de TI / COBIT / NIST</w:t>
            </w:r>
          </w:p>
        </w:tc>
        <w:tc>
          <w:tcPr>
            <w:tcW w:type="dxa" w:w="1200"/>
            <w:tcBorders>
              <w:top w:val="single" w:color="CCCCCC" w:sz="1"/>
              <w:left w:val="single" w:color="CCCCCC" w:sz="1"/>
              <w:bottom w:val="single" w:color="CCCCCC" w:sz="1"/>
              <w:right w:val="single" w:color="CCCCCC" w:sz="1"/>
            </w:tcBorders>
            <w:shd w:fill="C25B10"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42/100</w:t>
            </w:r>
          </w:p>
        </w:tc>
        <w:tc>
          <w:tcPr>
            <w:tcW w:type="dxa" w:w="1600"/>
            <w:tcBorders>
              <w:top w:val="single" w:color="CCCCCC" w:sz="1"/>
              <w:left w:val="single" w:color="CCCCCC" w:sz="1"/>
              <w:bottom w:val="single" w:color="CCCCCC" w:sz="1"/>
              <w:right w:val="single" w:color="CCCCCC" w:sz="1"/>
            </w:tcBorders>
            <w:shd w:fill="C25B1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CRITICO</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6. Seguridad de la plataforma (ISO 27001)</w:t>
            </w:r>
          </w:p>
        </w:tc>
        <w:tc>
          <w:tcPr>
            <w:tcW w:type="dxa" w:w="1200"/>
            <w:tcBorders>
              <w:top w:val="single" w:color="CCCCCC" w:sz="1"/>
              <w:left w:val="single" w:color="CCCCCC" w:sz="1"/>
              <w:bottom w:val="single" w:color="CCCCCC" w:sz="1"/>
              <w:right w:val="single" w:color="CCCCCC" w:sz="1"/>
            </w:tcBorders>
            <w:shd w:fill="C25B10"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50/100</w:t>
            </w:r>
          </w:p>
        </w:tc>
        <w:tc>
          <w:tcPr>
            <w:tcW w:type="dxa" w:w="1600"/>
            <w:tcBorders>
              <w:top w:val="single" w:color="CCCCCC" w:sz="1"/>
              <w:left w:val="single" w:color="CCCCCC" w:sz="1"/>
              <w:bottom w:val="single" w:color="CCCCCC" w:sz="1"/>
              <w:right w:val="single" w:color="CCCCCC" w:sz="1"/>
            </w:tcBorders>
            <w:shd w:fill="C25B1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PARCIAL</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7. Continuidad del negocio (ISO 22301)</w:t>
            </w:r>
          </w:p>
        </w:tc>
        <w:tc>
          <w:tcPr>
            <w:tcW w:type="dxa" w:w="12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18/100</w:t>
            </w:r>
          </w:p>
        </w:tc>
        <w:tc>
          <w:tcPr>
            <w:tcW w:type="dxa" w:w="1600"/>
            <w:tcBorders>
              <w:top w:val="single" w:color="CCCCCC" w:sz="1"/>
              <w:left w:val="single" w:color="CCCCCC" w:sz="1"/>
              <w:bottom w:val="single" w:color="CCCCCC" w:sz="1"/>
              <w:right w:val="single" w:color="CCCCCC" w:sz="1"/>
            </w:tcBorders>
            <w:shd w:fill="C0392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FALTA</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8. Compliance y marcos regulatorios</w:t>
            </w:r>
          </w:p>
        </w:tc>
        <w:tc>
          <w:tcPr>
            <w:tcW w:type="dxa" w:w="1200"/>
            <w:tcBorders>
              <w:top w:val="single" w:color="CCCCCC" w:sz="1"/>
              <w:left w:val="single" w:color="CCCCCC" w:sz="1"/>
              <w:bottom w:val="single" w:color="CCCCCC" w:sz="1"/>
              <w:right w:val="single" w:color="CCCCCC" w:sz="1"/>
            </w:tcBorders>
            <w:shd w:fill="B8860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60/100</w:t>
            </w:r>
          </w:p>
        </w:tc>
        <w:tc>
          <w:tcPr>
            <w:tcW w:type="dxa" w:w="1600"/>
            <w:tcBorders>
              <w:top w:val="single" w:color="CCCCCC" w:sz="1"/>
              <w:left w:val="single" w:color="CCCCCC" w:sz="1"/>
              <w:bottom w:val="single" w:color="CCCCCC" w:sz="1"/>
              <w:right w:val="single" w:color="CCCCCC" w:sz="1"/>
            </w:tcBorders>
            <w:shd w:fill="B8860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BASICO</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9. Integracion IA y Explainability</w:t>
            </w:r>
          </w:p>
        </w:tc>
        <w:tc>
          <w:tcPr>
            <w:tcW w:type="dxa" w:w="12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85/100</w:t>
            </w:r>
          </w:p>
        </w:tc>
        <w:tc>
          <w:tcPr>
            <w:tcW w:type="dxa" w:w="16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DESTACADO</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10. Portal del auditado y colaboracion</w:t>
            </w:r>
          </w:p>
        </w:tc>
        <w:tc>
          <w:tcPr>
            <w:tcW w:type="dxa" w:w="12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82/100</w:t>
            </w:r>
          </w:p>
        </w:tc>
        <w:tc>
          <w:tcPr>
            <w:tcW w:type="dxa" w:w="1600"/>
            <w:tcBorders>
              <w:top w:val="single" w:color="CCCCCC" w:sz="1"/>
              <w:left w:val="single" w:color="CCCCCC" w:sz="1"/>
              <w:bottom w:val="single" w:color="CCCCCC" w:sz="1"/>
              <w:right w:val="single" w:color="CCCCCC" w:sz="1"/>
            </w:tcBorders>
            <w:shd w:fill="1A7A4A"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DESTACADO</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11. Analisis de datos y deteccion de fraude</w:t>
            </w:r>
          </w:p>
        </w:tc>
        <w:tc>
          <w:tcPr>
            <w:tcW w:type="dxa" w:w="1200"/>
            <w:tcBorders>
              <w:top w:val="single" w:color="CCCCCC" w:sz="1"/>
              <w:left w:val="single" w:color="CCCCCC" w:sz="1"/>
              <w:bottom w:val="single" w:color="CCCCCC" w:sz="1"/>
              <w:right w:val="single" w:color="CCCCCC" w:sz="1"/>
            </w:tcBorders>
            <w:shd w:fill="B8860B"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65/100</w:t>
            </w:r>
          </w:p>
        </w:tc>
        <w:tc>
          <w:tcPr>
            <w:tcW w:type="dxa" w:w="1600"/>
            <w:tcBorders>
              <w:top w:val="single" w:color="CCCCCC" w:sz="1"/>
              <w:left w:val="single" w:color="CCCCCC" w:sz="1"/>
              <w:bottom w:val="single" w:color="CCCCCC" w:sz="1"/>
              <w:right w:val="single" w:color="CCCCCC" w:sz="1"/>
            </w:tcBorders>
            <w:shd w:fill="B8860B"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INCOMPLETO</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r>
        <w:tc>
          <w:tcPr>
            <w:tcW w:type="dxa" w:w="4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bCs/>
                <w:color w:val="1A1A1A"/>
                <w:sz w:val="19"/>
                <w:szCs w:val="19"/>
              </w:rPr>
              <w:t xml:space="preserve">12. Reporteria y comunicacion con Comite</w:t>
            </w:r>
          </w:p>
        </w:tc>
        <w:tc>
          <w:tcPr>
            <w:tcW w:type="dxa" w:w="1200"/>
            <w:tcBorders>
              <w:top w:val="single" w:color="CCCCCC" w:sz="1"/>
              <w:left w:val="single" w:color="CCCCCC" w:sz="1"/>
              <w:bottom w:val="single" w:color="CCCCCC" w:sz="1"/>
              <w:right w:val="single" w:color="CCCCCC" w:sz="1"/>
            </w:tcBorders>
            <w:shd w:fill="C25B10" w:val="clear"/>
            <w:tcMar>
              <w:top w:type="dxa" w:w="80"/>
              <w:left w:type="dxa" w:w="140"/>
              <w:bottom w:type="dxa" w:w="80"/>
              <w:right w:type="dxa" w:w="140"/>
            </w:tcMar>
          </w:tcPr>
          <w:p>
            <w:pPr>
              <w:jc w:val="center"/>
            </w:pPr>
            <w:r>
              <w:rPr>
                <w:rFonts w:ascii="Arial" w:cs="Arial" w:eastAsia="Arial" w:hAnsi="Arial"/>
                <w:b/>
                <w:bCs/>
                <w:color w:val="FFFFFF"/>
                <w:sz w:val="19"/>
                <w:szCs w:val="19"/>
              </w:rPr>
              <w:t xml:space="preserve">58/100</w:t>
            </w:r>
          </w:p>
        </w:tc>
        <w:tc>
          <w:tcPr>
            <w:tcW w:type="dxa" w:w="1600"/>
            <w:tcBorders>
              <w:top w:val="single" w:color="CCCCCC" w:sz="1"/>
              <w:left w:val="single" w:color="CCCCCC" w:sz="1"/>
              <w:bottom w:val="single" w:color="CCCCCC" w:sz="1"/>
              <w:right w:val="single" w:color="CCCCCC" w:sz="1"/>
            </w:tcBorders>
            <w:shd w:fill="C25B10" w:val="clear"/>
            <w:tcMar>
              <w:top w:type="dxa" w:w="80"/>
              <w:left w:type="dxa" w:w="140"/>
              <w:bottom w:type="dxa" w:w="80"/>
              <w:right w:type="dxa" w:w="140"/>
            </w:tcMar>
          </w:tcPr>
          <w:p>
            <w:pPr>
              <w:jc w:val="center"/>
            </w:pPr>
            <w:r>
              <w:rPr>
                <w:rFonts w:ascii="Arial" w:cs="Arial" w:eastAsia="Arial" w:hAnsi="Arial"/>
                <w:b/>
                <w:bCs/>
                <w:color w:val="FFFFFF"/>
                <w:sz w:val="18"/>
                <w:szCs w:val="18"/>
              </w:rPr>
              <w:t xml:space="preserve">⚠️ PARCIAL</w:t>
            </w:r>
          </w:p>
        </w:tc>
        <w:tc>
          <w:tcPr>
            <w:tcW w:type="dxa" w:w="2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i/>
                <w:iCs/>
                <w:color w:val="4A4A4A"/>
                <w:sz w:val="17"/>
                <w:szCs w:val="17"/>
              </w:rPr>
              <w:t xml:space="preserve">Ver seccion detallada</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60"/>
              <w:left w:type="dxa" w:w="220"/>
              <w:bottom w:type="dxa" w:w="160"/>
              <w:right w:type="dxa" w:w="220"/>
            </w:tcMar>
          </w:tcPr>
          <w:p>
            <w:pPr>
              <w:jc w:val="center"/>
            </w:pPr>
            <w:r>
              <w:rPr>
                <w:rFonts w:ascii="Arial" w:cs="Arial" w:eastAsia="Arial" w:hAnsi="Arial"/>
                <w:b/>
                <w:bCs/>
                <w:color w:val="C25B10"/>
                <w:sz w:val="24"/>
                <w:szCs w:val="24"/>
              </w:rPr>
              <w:t xml:space="preserve">CALIFICACION GLOBAL:  67/100  —  BUENO CON BRECHAS CRITICAS</w:t>
            </w:r>
          </w:p>
          <w:p>
            <w:pPr>
              <w:spacing w:after="40" w:before="0"/>
            </w:pPr>
            <w:r>
              <w:t xml:space="preserve"/>
            </w:r>
          </w:p>
          <w:p>
            <w:pPr>
              <w:jc w:val="center"/>
            </w:pPr>
            <w:r>
              <w:rPr>
                <w:rFonts w:ascii="Arial" w:cs="Arial" w:eastAsia="Arial" w:hAnsi="Arial"/>
                <w:i/>
                <w:iCs/>
                <w:color w:val="4A4A4A"/>
                <w:sz w:val="19"/>
                <w:szCs w:val="19"/>
              </w:rPr>
              <w:t xml:space="preserve">Apto para mercado general  |  No apto para sectores regulados sin mejoras  |  Competitivo vs. mercado mid-market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5C35"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I  </w:t>
            </w:r>
            <w:r>
              <w:rPr>
                <w:rFonts w:ascii="Arial" w:cs="Arial" w:eastAsia="Arial" w:hAnsi="Arial"/>
                <w:b/>
                <w:bCs/>
                <w:color w:val="FFFFFF"/>
                <w:sz w:val="32"/>
                <w:szCs w:val="32"/>
              </w:rPr>
              <w:t xml:space="preserve">LO QUE DESTACA — FORTALEZAS GENUINAS</w:t>
            </w:r>
          </w:p>
          <w:p>
            <w:r>
              <w:rPr>
                <w:rFonts w:ascii="Arial" w:cs="Arial" w:eastAsia="Arial" w:hAnsi="Arial"/>
                <w:i/>
                <w:iCs/>
                <w:color w:val="BBD4EE"/>
                <w:sz w:val="19"/>
                <w:szCs w:val="19"/>
              </w:rPr>
              <w:t xml:space="preserve">Capacidades que superan al mercado actual</w:t>
            </w:r>
          </w:p>
        </w:tc>
      </w:tr>
    </w:tbl>
    <w:p>
      <w:pPr>
        <w:spacing w:after="120" w:before="0"/>
      </w:pPr>
      <w:r>
        <w:t xml:space="preserve"/>
      </w:r>
    </w:p>
    <w:p>
      <w:pPr>
        <w:spacing w:after="80" w:before="55"/>
        <w:jc w:val="both"/>
      </w:pPr>
      <w:r>
        <w:rPr>
          <w:rFonts w:ascii="Arial" w:cs="Arial" w:eastAsia="Arial" w:hAnsi="Arial"/>
          <w:color w:val="1A1A1A"/>
          <w:sz w:val="21"/>
          <w:szCs w:val="21"/>
        </w:rPr>
        <w:t xml:space="preserve">Como evaluador objetivo, reconozco que AuditMind tiene capacidades que ninguna plataforma del mercado mid-market ofrece hoy, y que rivalizan con inversiones de decenas de millones de dolares de las Big Four. Estas son reales, no marketing.</w:t>
      </w:r>
    </w:p>
    <w:p>
      <w:pPr>
        <w:spacing w:after="100" w:before="0"/>
      </w:pPr>
      <w:r>
        <w:t xml:space="preserve"/>
      </w:r>
    </w:p>
    <w:p>
      <w:pPr>
        <w:pStyle w:val="Heading2"/>
        <w:spacing w:after="120" w:before="260"/>
      </w:pPr>
      <w:r>
        <w:rPr>
          <w:rFonts w:ascii="Arial" w:cs="Arial" w:eastAsia="Arial" w:hAnsi="Arial"/>
          <w:b/>
          <w:bCs/>
          <w:color w:val="1B5FA8"/>
          <w:sz w:val="28"/>
          <w:szCs w:val="28"/>
        </w:rPr>
        <w:t xml:space="preserve">F-01. LLM Router con Fallback Automatico — INNOVACION REAL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spacing w:after="60" w:before="0"/>
            </w:pPr>
            <w:r>
              <w:rPr>
                <w:rFonts w:ascii="Arial" w:cs="Arial" w:eastAsia="Arial" w:hAnsi="Arial"/>
                <w:b/>
                <w:bCs/>
                <w:color w:val="0F5C35"/>
                <w:sz w:val="20"/>
                <w:szCs w:val="20"/>
              </w:rPr>
              <w:t xml:space="preserve">Por que es un diferenciador genuino:</w:t>
            </w:r>
          </w:p>
          <w:p>
            <w:pPr>
              <w:spacing w:after="80" w:before="55"/>
              <w:jc w:val="both"/>
            </w:pPr>
            <w:r>
              <w:rPr>
                <w:rFonts w:ascii="Arial" w:cs="Arial" w:eastAsia="Arial" w:hAnsi="Arial"/>
                <w:color w:val="1A1A1A"/>
                <w:sz w:val="21"/>
                <w:szCs w:val="21"/>
              </w:rPr>
              <w:t xml:space="preserve">Ninguna plataforma del mercado mid-market (TeamMate+, AuditBoard, HighBond) tiene una capa de abstraccion de IA intercambiable. Todas estan acopladas a un proveedor. La arquitectura de LLM Router con fallback automatico es una decision de ingenieria madura que las Big Four no han publicado pero que internamente usan.</w:t>
            </w:r>
          </w:p>
          <w:p>
            <w:pPr>
              <w:spacing w:after="60" w:before="0"/>
            </w:pPr>
            <w:r>
              <w:t xml:space="preserve"/>
            </w:r>
          </w:p>
          <w:p>
            <w:pPr>
              <w:spacing w:after="80" w:before="55"/>
              <w:jc w:val="both"/>
            </w:pPr>
            <w:r>
              <w:rPr>
                <w:rFonts w:ascii="Arial" w:cs="Arial" w:eastAsia="Arial" w:hAnsi="Arial"/>
                <w:color w:val="1A1A1A"/>
                <w:sz w:val="21"/>
                <w:szCs w:val="21"/>
              </w:rPr>
              <w:t xml:space="preserve">Desde la perspectiva del Marco para la Practica Profesional del IIA, el principio de independencia del juicio profesional requiere que las herramientas de IA sean transparentes, auditables y no generen dependencia critica en un solo proveedor. El LLM Router cumple este principio mejor que cualquier alternativa del mercado.</w:t>
            </w:r>
          </w:p>
          <w:p>
            <w:pPr>
              <w:pStyle w:val="ListParagraph"/>
              <w:numPr>
                <w:ilvl w:val="0"/>
                <w:numId w:val="2"/>
              </w:numPr>
              <w:spacing w:after="45" w:before="45"/>
            </w:pPr>
            <w:r>
              <w:rPr>
                <w:rFonts w:ascii="Arial" w:cs="Arial" w:eastAsia="Arial" w:hAnsi="Arial"/>
                <w:color w:val="1A1A1A"/>
                <w:sz w:val="20"/>
                <w:szCs w:val="20"/>
              </w:rPr>
              <w:t xml:space="preserve">Explainability por diseno: cada decision de IA queda loggeada con el modelo que la ejecuto</w:t>
            </w:r>
          </w:p>
          <w:p>
            <w:pPr>
              <w:pStyle w:val="ListParagraph"/>
              <w:numPr>
                <w:ilvl w:val="0"/>
                <w:numId w:val="2"/>
              </w:numPr>
              <w:spacing w:after="45" w:before="45"/>
            </w:pPr>
            <w:r>
              <w:rPr>
                <w:rFonts w:ascii="Arial" w:cs="Arial" w:eastAsia="Arial" w:hAnsi="Arial"/>
                <w:color w:val="1A1A1A"/>
                <w:sz w:val="20"/>
                <w:szCs w:val="20"/>
              </w:rPr>
              <w:t xml:space="preserve">Continuidad del servicio de IA: si Claude cae, el sistema sigue operando con Gemini</w:t>
            </w:r>
          </w:p>
          <w:p>
            <w:pPr>
              <w:pStyle w:val="ListParagraph"/>
              <w:numPr>
                <w:ilvl w:val="0"/>
                <w:numId w:val="2"/>
              </w:numPr>
              <w:spacing w:after="45" w:before="45"/>
            </w:pPr>
            <w:r>
              <w:rPr>
                <w:rFonts w:ascii="Arial" w:cs="Arial" w:eastAsia="Arial" w:hAnsi="Arial"/>
                <w:color w:val="1A1A1A"/>
                <w:sz w:val="20"/>
                <w:szCs w:val="20"/>
              </w:rPr>
              <w:t xml:space="preserve">Auditabilidad del gasto: tokens por tenant permiten modelos de pricing basados en uso real</w:t>
            </w:r>
          </w:p>
          <w:p>
            <w:pPr>
              <w:pStyle w:val="ListParagraph"/>
              <w:numPr>
                <w:ilvl w:val="0"/>
                <w:numId w:val="2"/>
              </w:numPr>
              <w:spacing w:after="45" w:before="45"/>
            </w:pPr>
            <w:r>
              <w:rPr>
                <w:rFonts w:ascii="Arial" w:cs="Arial" w:eastAsia="Arial" w:hAnsi="Arial"/>
                <w:color w:val="1A1A1A"/>
                <w:sz w:val="20"/>
                <w:szCs w:val="20"/>
              </w:rPr>
              <w:t xml:space="preserve">Independencia de proveedor: no hay lock-in, el auditor profesional puede confiar en el sistema</w:t>
            </w:r>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F-02. RAG con Base Normativa Dual — DIFERENCIADOR METODOLOGICO</w:t>
      </w:r>
    </w:p>
    <w:p>
      <w:pPr>
        <w:spacing w:after="80" w:before="55"/>
        <w:jc w:val="both"/>
      </w:pPr>
      <w:r>
        <w:rPr>
          <w:rFonts w:ascii="Arial" w:cs="Arial" w:eastAsia="Arial" w:hAnsi="Arial"/>
          <w:color w:val="1A1A1A"/>
          <w:sz w:val="21"/>
          <w:szCs w:val="21"/>
        </w:rPr>
        <w:t xml:space="preserve">La arquitectura de base de conocimiento normativo con dos capas — global precargada y privada por cliente — resuelve el problema mas grave de los LLMs en auditoria: las alucinaciones de criterios normativos.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spacing w:after="60" w:before="0"/>
            </w:pPr>
            <w:r>
              <w:rPr>
                <w:rFonts w:ascii="Arial" w:cs="Arial" w:eastAsia="Arial" w:hAnsi="Arial"/>
                <w:b/>
                <w:bCs/>
                <w:color w:val="0F5C35"/>
                <w:sz w:val="20"/>
                <w:szCs w:val="20"/>
              </w:rPr>
              <w:t xml:space="preserve">Alineacion con Estandares IIA 2025 — Principio de Informacion:</w:t>
            </w:r>
          </w:p>
          <w:p>
            <w:pPr>
              <w:spacing w:after="80" w:before="55"/>
              <w:jc w:val="both"/>
            </w:pPr>
            <w:r>
              <w:rPr>
                <w:rFonts w:ascii="Arial" w:cs="Arial" w:eastAsia="Arial" w:hAnsi="Arial"/>
                <w:color w:val="1A1A1A"/>
                <w:sz w:val="21"/>
                <w:szCs w:val="21"/>
              </w:rPr>
              <w:t xml:space="preserve">El Estandar 9.1 del Marco IIA 2025 exige que las conclusiones de auditoria esten soportadas por evidencia suficiente y competente. El RAG garantiza que cuando el sistema sugiere un criterio normativo, este criterio existe realmente en la norma cargada y la referencia es precisa. Esto es metodologicamente superior a cualquier chatbot de auditoria del mercado.</w:t>
            </w:r>
          </w:p>
          <w:p>
            <w:pPr>
              <w:spacing w:after="60" w:before="0"/>
            </w:pPr>
            <w:r>
              <w:t xml:space="preserve"/>
            </w:r>
          </w:p>
          <w:p>
            <w:pPr>
              <w:pStyle w:val="ListParagraph"/>
              <w:numPr>
                <w:ilvl w:val="0"/>
                <w:numId w:val="2"/>
              </w:numPr>
              <w:spacing w:after="45" w:before="45"/>
            </w:pPr>
            <w:r>
              <w:rPr>
                <w:rFonts w:ascii="Arial" w:cs="Arial" w:eastAsia="Arial" w:hAnsi="Arial"/>
                <w:color w:val="1A1A1A"/>
                <w:sz w:val="20"/>
                <w:szCs w:val="20"/>
              </w:rPr>
              <w:t xml:space="preserve">Cita de criterios con referencia exacta al articulo — no texto generado</w:t>
            </w:r>
          </w:p>
          <w:p>
            <w:pPr>
              <w:pStyle w:val="ListParagraph"/>
              <w:numPr>
                <w:ilvl w:val="0"/>
                <w:numId w:val="2"/>
              </w:numPr>
              <w:spacing w:after="45" w:before="45"/>
            </w:pPr>
            <w:r>
              <w:rPr>
                <w:rFonts w:ascii="Arial" w:cs="Arial" w:eastAsia="Arial" w:hAnsi="Arial"/>
                <w:color w:val="1A1A1A"/>
                <w:sz w:val="20"/>
                <w:szCs w:val="20"/>
              </w:rPr>
              <w:t xml:space="preserve">Diferenciacion entre normativa global (ISA, IFRS) y normativa especifica del cliente</w:t>
            </w:r>
          </w:p>
          <w:p>
            <w:pPr>
              <w:pStyle w:val="ListParagraph"/>
              <w:numPr>
                <w:ilvl w:val="0"/>
                <w:numId w:val="2"/>
              </w:numPr>
              <w:spacing w:after="45" w:before="45"/>
            </w:pPr>
            <w:r>
              <w:rPr>
                <w:rFonts w:ascii="Arial" w:cs="Arial" w:eastAsia="Arial" w:hAnsi="Arial"/>
                <w:color w:val="1A1A1A"/>
                <w:sz w:val="20"/>
                <w:szCs w:val="20"/>
              </w:rPr>
              <w:t xml:space="preserve">Generacion automatica de Papel de Analisis Normativo — unico en el mercado</w:t>
            </w:r>
          </w:p>
          <w:p>
            <w:pPr>
              <w:pStyle w:val="ListParagraph"/>
              <w:numPr>
                <w:ilvl w:val="0"/>
                <w:numId w:val="2"/>
              </w:numPr>
              <w:spacing w:after="45" w:before="45"/>
            </w:pPr>
            <w:r>
              <w:rPr>
                <w:rFonts w:ascii="Arial" w:cs="Arial" w:eastAsia="Arial" w:hAnsi="Arial"/>
                <w:color w:val="1A1A1A"/>
                <w:sz w:val="20"/>
                <w:szCs w:val="20"/>
              </w:rPr>
              <w:t xml:space="preserve">Actualizacion trimestral de la base global — mantiene vigencia regulatoria</w:t>
            </w:r>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F-03. Score de Calidad de Hallazgos — CONTROL DE CALIDAD REAL</w:t>
      </w:r>
    </w:p>
    <w:p>
      <w:pPr>
        <w:spacing w:after="80" w:before="55"/>
        <w:jc w:val="both"/>
      </w:pPr>
      <w:r>
        <w:rPr>
          <w:rFonts w:ascii="Arial" w:cs="Arial" w:eastAsia="Arial" w:hAnsi="Arial"/>
          <w:color w:val="1A1A1A"/>
          <w:sz w:val="21"/>
          <w:szCs w:val="21"/>
        </w:rPr>
        <w:t xml:space="preserve">Este es el elemento metodologicamente mas riguroso del sistema. La mayoria de sistemas de auditoria permiten crear hallazgos con campos vacios, sin criterio normativo, sin causa documentada. AuditMind bloquea la aprobacion si el score es menor a 60.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spacing w:after="80" w:before="0"/>
                  </w:pPr>
                  <w:r>
                    <w:rPr>
                      <w:rFonts w:ascii="Arial" w:cs="Arial" w:eastAsia="Arial" w:hAnsi="Arial"/>
                      <w:b/>
                      <w:bCs/>
                      <w:color w:val="0F5C35"/>
                      <w:sz w:val="19"/>
                      <w:szCs w:val="19"/>
                    </w:rPr>
                    <w:t xml:space="preserve">Por que es correcto metodologicamente:</w:t>
                  </w:r>
                </w:p>
                <w:p>
                  <w:pPr>
                    <w:pStyle w:val="ListParagraph"/>
                    <w:numPr>
                      <w:ilvl w:val="0"/>
                      <w:numId w:val="2"/>
                    </w:numPr>
                    <w:spacing w:after="45" w:before="45"/>
                  </w:pPr>
                  <w:r>
                    <w:rPr>
                      <w:rFonts w:ascii="Arial" w:cs="Arial" w:eastAsia="Arial" w:hAnsi="Arial"/>
                      <w:color w:val="1A1A1A"/>
                      <w:sz w:val="20"/>
                      <w:szCs w:val="20"/>
                    </w:rPr>
                    <w:t xml:space="preserve">La NIA 265 exige que las deficiencias significativas sean comunicadas con su causa y efecto documentados — el score lo verifica</w:t>
                  </w:r>
                </w:p>
                <w:p>
                  <w:pPr>
                    <w:pStyle w:val="ListParagraph"/>
                    <w:numPr>
                      <w:ilvl w:val="0"/>
                      <w:numId w:val="2"/>
                    </w:numPr>
                    <w:spacing w:after="45" w:before="45"/>
                  </w:pPr>
                  <w:r>
                    <w:rPr>
                      <w:rFonts w:ascii="Arial" w:cs="Arial" w:eastAsia="Arial" w:hAnsi="Arial"/>
                      <w:color w:val="1A1A1A"/>
                      <w:sz w:val="20"/>
                      <w:szCs w:val="20"/>
                    </w:rPr>
                    <w:t xml:space="preserve">El IIA Estandar 13.1 requiere que los hallazgos incluyan criterios relevantes — el score lo exige</w:t>
                  </w:r>
                </w:p>
                <w:p>
                  <w:pPr>
                    <w:pStyle w:val="ListParagraph"/>
                    <w:numPr>
                      <w:ilvl w:val="0"/>
                      <w:numId w:val="2"/>
                    </w:numPr>
                    <w:spacing w:after="45" w:before="45"/>
                  </w:pPr>
                  <w:r>
                    <w:rPr>
                      <w:rFonts w:ascii="Arial" w:cs="Arial" w:eastAsia="Arial" w:hAnsi="Arial"/>
                      <w:color w:val="1A1A1A"/>
                      <w:sz w:val="20"/>
                      <w:szCs w:val="20"/>
                    </w:rPr>
                    <w:t xml:space="preserve">La metodologia ACFE para fraude requiere causa-efecto-evidencia — el score lo valida</w:t>
                  </w:r>
                </w:p>
                <w:p>
                  <w:pPr>
                    <w:pStyle w:val="ListParagraph"/>
                    <w:numPr>
                      <w:ilvl w:val="0"/>
                      <w:numId w:val="2"/>
                    </w:numPr>
                    <w:spacing w:after="45" w:before="45"/>
                  </w:pPr>
                  <w:r>
                    <w:rPr>
                      <w:rFonts w:ascii="Arial" w:cs="Arial" w:eastAsia="Arial" w:hAnsi="Arial"/>
                      <w:color w:val="1A1A1A"/>
                      <w:sz w:val="20"/>
                      <w:szCs w:val="20"/>
                    </w:rPr>
                    <w:t xml:space="preserve">Primero en el mercado en hacer esto obligatorio, no sugerido</w:t>
                  </w:r>
                </w:p>
              </w:tc>
            </w:tr>
          </w:tbl>
          <w:p/>
        </w:tc>
        <w:tc>
          <w:tcPr>
            <w:tcW w:type="dxa" w:w="240"/>
            <w:tcBorders>
              <w:top w:val="none" w:color="FFFFFF" w:sz="0"/>
              <w:left w:val="none" w:color="FFFFFF" w:sz="0"/>
              <w:bottom w:val="none" w:color="FFFFFF" w:sz="0"/>
              <w:right w:val="none" w:color="FFFFFF" w:sz="0"/>
            </w:tcBorders>
          </w:tcPr>
          <w:p>
            <w:pPr>
              <w:spacing w:after="120" w:before="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7B8C" w:sz="1"/>
                    <w:left w:val="single" w:color="0A7B8C" w:sz="1"/>
                    <w:bottom w:val="single" w:color="0A7B8C" w:sz="1"/>
                    <w:right w:val="single" w:color="0A7B8C" w:sz="1"/>
                  </w:tcBorders>
                  <w:shd w:fill="D4F1F5" w:val="clear"/>
                  <w:tcMar>
                    <w:top w:type="dxa" w:w="160"/>
                    <w:left w:type="dxa" w:w="220"/>
                    <w:bottom w:type="dxa" w:w="160"/>
                    <w:right w:type="dxa" w:w="220"/>
                  </w:tcMar>
                </w:tcPr>
                <w:p>
                  <w:pPr>
                    <w:spacing w:after="80" w:before="0"/>
                  </w:pPr>
                  <w:r>
                    <w:rPr>
                      <w:rFonts w:ascii="Arial" w:cs="Arial" w:eastAsia="Arial" w:hAnsi="Arial"/>
                      <w:b/>
                      <w:bCs/>
                      <w:color w:val="0F5C35"/>
                      <w:sz w:val="19"/>
                      <w:szCs w:val="19"/>
                    </w:rPr>
                    <w:t xml:space="preserve">Impacto en calidad de auditoria:</w:t>
                  </w:r>
                </w:p>
                <w:p>
                  <w:pPr>
                    <w:pStyle w:val="ListParagraph"/>
                    <w:numPr>
                      <w:ilvl w:val="0"/>
                      <w:numId w:val="2"/>
                    </w:numPr>
                    <w:spacing w:after="45" w:before="45"/>
                  </w:pPr>
                  <w:r>
                    <w:rPr>
                      <w:rFonts w:ascii="Arial" w:cs="Arial" w:eastAsia="Arial" w:hAnsi="Arial"/>
                      <w:color w:val="1A1A1A"/>
                      <w:sz w:val="20"/>
                      <w:szCs w:val="20"/>
                    </w:rPr>
                    <w:t xml:space="preserve">Elimina hallazgos subjetivos y mal documentados antes de llegar al revisor</w:t>
                  </w:r>
                </w:p>
                <w:p>
                  <w:pPr>
                    <w:pStyle w:val="ListParagraph"/>
                    <w:numPr>
                      <w:ilvl w:val="0"/>
                      <w:numId w:val="2"/>
                    </w:numPr>
                    <w:spacing w:after="45" w:before="45"/>
                  </w:pPr>
                  <w:r>
                    <w:rPr>
                      <w:rFonts w:ascii="Arial" w:cs="Arial" w:eastAsia="Arial" w:hAnsi="Arial"/>
                      <w:color w:val="1A1A1A"/>
                      <w:sz w:val="20"/>
                      <w:szCs w:val="20"/>
                    </w:rPr>
                    <w:t xml:space="preserve">Reduce el tiempo de revision del CAE porque los borradores ya tienen calidad minima</w:t>
                  </w:r>
                </w:p>
                <w:p>
                  <w:pPr>
                    <w:pStyle w:val="ListParagraph"/>
                    <w:numPr>
                      <w:ilvl w:val="0"/>
                      <w:numId w:val="2"/>
                    </w:numPr>
                    <w:spacing w:after="45" w:before="45"/>
                  </w:pPr>
                  <w:r>
                    <w:rPr>
                      <w:rFonts w:ascii="Arial" w:cs="Arial" w:eastAsia="Arial" w:hAnsi="Arial"/>
                      <w:color w:val="1A1A1A"/>
                      <w:sz w:val="20"/>
                      <w:szCs w:val="20"/>
                    </w:rPr>
                    <w:t xml:space="preserve">Genera consistencia en la calidad entre auditores de diferente experiencia</w:t>
                  </w:r>
                </w:p>
                <w:p>
                  <w:pPr>
                    <w:pStyle w:val="ListParagraph"/>
                    <w:numPr>
                      <w:ilvl w:val="0"/>
                      <w:numId w:val="2"/>
                    </w:numPr>
                    <w:spacing w:after="45" w:before="45"/>
                  </w:pPr>
                  <w:r>
                    <w:rPr>
                      <w:rFonts w:ascii="Arial" w:cs="Arial" w:eastAsia="Arial" w:hAnsi="Arial"/>
                      <w:color w:val="1A1A1A"/>
                      <w:sz w:val="20"/>
                      <w:szCs w:val="20"/>
                    </w:rPr>
                    <w:t xml:space="preserve">Permite benchmarking de calidad por auditor, equipo y periodo</w:t>
                  </w:r>
                </w:p>
              </w:tc>
            </w:tr>
          </w:tbl>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F-04. Portal del Auditado con Token Unico — INNOVACION OPERACIONAL</w:t>
      </w:r>
    </w:p>
    <w:p>
      <w:pPr>
        <w:spacing w:after="80" w:before="55"/>
        <w:jc w:val="both"/>
      </w:pPr>
      <w:r>
        <w:rPr>
          <w:rFonts w:ascii="Arial" w:cs="Arial" w:eastAsia="Arial" w:hAnsi="Arial"/>
          <w:color w:val="1A1A1A"/>
          <w:sz w:val="21"/>
          <w:szCs w:val="21"/>
        </w:rPr>
        <w:t xml:space="preserve">La mayor friccion en cualquier auditoria es la coordinacion con el auditado. Correos, Excel de seguimiento, versiones de archivos sin control — AuditMind elimina todo esto con un portal dedicado accesible sin cuenta completa. Esto es operacionalmente correcto y alineado con el principio de eficiencia del IIA.</w:t>
      </w:r>
    </w:p>
    <w:p>
      <w:pPr>
        <w:spacing w:after="60" w:before="0"/>
      </w:pPr>
      <w:r>
        <w:t xml:space="preserve"/>
      </w:r>
    </w:p>
    <w:p>
      <w:pPr>
        <w:pStyle w:val="ListParagraph"/>
        <w:numPr>
          <w:ilvl w:val="0"/>
          <w:numId w:val="2"/>
        </w:numPr>
        <w:spacing w:after="45" w:before="45"/>
      </w:pPr>
      <w:r>
        <w:rPr>
          <w:rFonts w:ascii="Arial" w:cs="Arial" w:eastAsia="Arial" w:hAnsi="Arial"/>
          <w:color w:val="1A1A1A"/>
          <w:sz w:val="20"/>
          <w:szCs w:val="20"/>
        </w:rPr>
        <w:t xml:space="preserve">Trazabilidad completa: cada entrega registrada con quien, cuando y que — evidencia auditable</w:t>
      </w:r>
    </w:p>
    <w:p>
      <w:pPr>
        <w:pStyle w:val="ListParagraph"/>
        <w:numPr>
          <w:ilvl w:val="0"/>
          <w:numId w:val="2"/>
        </w:numPr>
        <w:spacing w:after="45" w:before="45"/>
      </w:pPr>
      <w:r>
        <w:rPr>
          <w:rFonts w:ascii="Arial" w:cs="Arial" w:eastAsia="Arial" w:hAnsi="Arial"/>
          <w:color w:val="1A1A1A"/>
          <w:sz w:val="20"/>
          <w:szCs w:val="20"/>
        </w:rPr>
        <w:t xml:space="preserve">Eliminacion del riesgo de version: un solo canal oficial de entrega de evidencias</w:t>
      </w:r>
    </w:p>
    <w:p>
      <w:pPr>
        <w:pStyle w:val="ListParagraph"/>
        <w:numPr>
          <w:ilvl w:val="0"/>
          <w:numId w:val="2"/>
        </w:numPr>
        <w:spacing w:after="45" w:before="45"/>
      </w:pPr>
      <w:r>
        <w:rPr>
          <w:rFonts w:ascii="Arial" w:cs="Arial" w:eastAsia="Arial" w:hAnsi="Arial"/>
          <w:color w:val="1A1A1A"/>
          <w:sz w:val="20"/>
          <w:szCs w:val="20"/>
        </w:rPr>
        <w:t xml:space="preserve">Seguimiento de planes de accion directamente por el responsable — sin intermediarios</w:t>
      </w:r>
    </w:p>
    <w:p>
      <w:pPr>
        <w:pStyle w:val="ListParagraph"/>
        <w:numPr>
          <w:ilvl w:val="0"/>
          <w:numId w:val="2"/>
        </w:numPr>
        <w:spacing w:after="45" w:before="45"/>
      </w:pPr>
      <w:r>
        <w:rPr>
          <w:rFonts w:ascii="Arial" w:cs="Arial" w:eastAsia="Arial" w:hAnsi="Arial"/>
          <w:color w:val="1A1A1A"/>
          <w:sz w:val="20"/>
          <w:szCs w:val="20"/>
        </w:rPr>
        <w:t xml:space="preserve">Chat por solicitud: comunicacion contextual que queda como evidencia del proceso</w:t>
      </w:r>
    </w:p>
    <w:p>
      <w:pPr>
        <w:spacing w:after="100" w:before="0"/>
      </w:pPr>
      <w:r>
        <w:t xml:space="preserve"/>
      </w:r>
    </w:p>
    <w:p>
      <w:pPr>
        <w:pStyle w:val="Heading2"/>
        <w:spacing w:after="120" w:before="260"/>
      </w:pPr>
      <w:r>
        <w:rPr>
          <w:rFonts w:ascii="Arial" w:cs="Arial" w:eastAsia="Arial" w:hAnsi="Arial"/>
          <w:b/>
          <w:bCs/>
          <w:color w:val="1B5FA8"/>
          <w:sz w:val="28"/>
          <w:szCs w:val="28"/>
        </w:rPr>
        <w:t xml:space="preserve">F-05. Asistente Cognitivo por Rol (Athena / Hermes / Minerva) — VISION CORRECTA</w:t>
      </w:r>
    </w:p>
    <w:p>
      <w:pPr>
        <w:spacing w:after="80" w:before="55"/>
        <w:jc w:val="both"/>
      </w:pPr>
      <w:r>
        <w:rPr>
          <w:rFonts w:ascii="Arial" w:cs="Arial" w:eastAsia="Arial" w:hAnsi="Arial"/>
          <w:color w:val="1A1A1A"/>
          <w:sz w:val="21"/>
          <w:szCs w:val="21"/>
        </w:rPr>
        <w:t xml:space="preserve">La diferenciacion por personalidad segun el rol del usuario no es estetica — es metodologicamente justificada. Un auditor junior necesita orientacion tecnica. Un CAE necesita inteligencia estrategica. Un gerente necesita visibilidad operacional. Ningun sistema actual hace esta distincion.</w:t>
      </w:r>
    </w:p>
    <w:p>
      <w:pPr>
        <w:spacing w:after="60" w:before="0"/>
      </w:pPr>
      <w:r>
        <w:t xml:space="preserve"/>
      </w:r>
    </w:p>
    <w:p>
      <w:pPr>
        <w:pStyle w:val="ListParagraph"/>
        <w:numPr>
          <w:ilvl w:val="0"/>
          <w:numId w:val="2"/>
        </w:numPr>
        <w:spacing w:after="45" w:before="45"/>
      </w:pPr>
      <w:r>
        <w:rPr>
          <w:rFonts w:ascii="Arial" w:cs="Arial" w:eastAsia="Arial" w:hAnsi="Arial"/>
          <w:color w:val="1A1A1A"/>
          <w:sz w:val="20"/>
          <w:szCs w:val="20"/>
        </w:rPr>
        <w:t xml:space="preserve">Athena: alineada con el rol del auditor ejecutor definido en el Marco IIA</w:t>
      </w:r>
    </w:p>
    <w:p>
      <w:pPr>
        <w:pStyle w:val="ListParagraph"/>
        <w:numPr>
          <w:ilvl w:val="0"/>
          <w:numId w:val="2"/>
        </w:numPr>
        <w:spacing w:after="45" w:before="45"/>
      </w:pPr>
      <w:r>
        <w:rPr>
          <w:rFonts w:ascii="Arial" w:cs="Arial" w:eastAsia="Arial" w:hAnsi="Arial"/>
          <w:color w:val="1A1A1A"/>
          <w:sz w:val="20"/>
          <w:szCs w:val="20"/>
        </w:rPr>
        <w:t xml:space="preserve">Hermes: alineada con el rol del gerente de auditoria y sus responsabilidades de supervision</w:t>
      </w:r>
    </w:p>
    <w:p>
      <w:pPr>
        <w:pStyle w:val="ListParagraph"/>
        <w:numPr>
          <w:ilvl w:val="0"/>
          <w:numId w:val="2"/>
        </w:numPr>
        <w:spacing w:after="45" w:before="45"/>
      </w:pPr>
      <w:r>
        <w:rPr>
          <w:rFonts w:ascii="Arial" w:cs="Arial" w:eastAsia="Arial" w:hAnsi="Arial"/>
          <w:color w:val="1A1A1A"/>
          <w:sz w:val="20"/>
          <w:szCs w:val="20"/>
        </w:rPr>
        <w:t xml:space="preserve">Minerva: alineada con el rol del CAE y su responsabilidad ante el Comite de Auditoria</w:t>
      </w:r>
    </w:p>
    <w:p>
      <w:pPr>
        <w:pStyle w:val="ListParagraph"/>
        <w:numPr>
          <w:ilvl w:val="0"/>
          <w:numId w:val="2"/>
        </w:numPr>
        <w:spacing w:after="45" w:before="45"/>
      </w:pPr>
      <w:r>
        <w:rPr>
          <w:rFonts w:ascii="Arial" w:cs="Arial" w:eastAsia="Arial" w:hAnsi="Arial"/>
          <w:color w:val="1A1A1A"/>
          <w:sz w:val="20"/>
          <w:szCs w:val="20"/>
        </w:rPr>
        <w:t xml:space="preserve">Soporte de voz para trabajo en campo: primer sistema de auditoria con este diferenciador</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25B10"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II  </w:t>
            </w:r>
            <w:r>
              <w:rPr>
                <w:rFonts w:ascii="Arial" w:cs="Arial" w:eastAsia="Arial" w:hAnsi="Arial"/>
                <w:b/>
                <w:bCs/>
                <w:color w:val="FFFFFF"/>
                <w:sz w:val="32"/>
                <w:szCs w:val="32"/>
              </w:rPr>
              <w:t xml:space="preserve">LO QUE ESTA A MEDIAS — BRECHAS PARCIALES</w:t>
            </w:r>
          </w:p>
          <w:p>
            <w:r>
              <w:rPr>
                <w:rFonts w:ascii="Arial" w:cs="Arial" w:eastAsia="Arial" w:hAnsi="Arial"/>
                <w:i/>
                <w:iCs/>
                <w:color w:val="BBD4EE"/>
                <w:sz w:val="19"/>
                <w:szCs w:val="19"/>
              </w:rPr>
              <w:t xml:space="preserve">Implementado en concepto pero incompleto en profundidad metodologica</w:t>
            </w:r>
          </w:p>
        </w:tc>
      </w:tr>
    </w:tbl>
    <w:p>
      <w:pPr>
        <w:spacing w:after="120" w:before="0"/>
      </w:pPr>
      <w:r>
        <w:t xml:space="preserve"/>
      </w:r>
    </w:p>
    <w:p>
      <w:pPr>
        <w:spacing w:after="80" w:before="55"/>
        <w:jc w:val="both"/>
      </w:pPr>
      <w:r>
        <w:rPr>
          <w:rFonts w:ascii="Arial" w:cs="Arial" w:eastAsia="Arial" w:hAnsi="Arial"/>
          <w:color w:val="1A1A1A"/>
          <w:sz w:val="21"/>
          <w:szCs w:val="21"/>
        </w:rPr>
        <w:t xml:space="preserve">Estas areas existen en el diseno pero con profundidad insuficiente para satisfacer a un auditor profesional certificado. No son fallas criticas — son oportunidades de madurar el sistema antes de atacar mercados regulados.</w:t>
      </w:r>
    </w:p>
    <w:p>
      <w:pPr>
        <w:spacing w:after="100" w:before="0"/>
      </w:pPr>
      <w:r>
        <w:t xml:space="preserve"/>
      </w:r>
    </w:p>
    <w:p>
      <w:pPr>
        <w:pStyle w:val="Heading2"/>
        <w:spacing w:after="120" w:before="260"/>
      </w:pPr>
      <w:r>
        <w:rPr>
          <w:rFonts w:ascii="Arial" w:cs="Arial" w:eastAsia="Arial" w:hAnsi="Arial"/>
          <w:b/>
          <w:bCs/>
          <w:color w:val="1B5FA8"/>
          <w:sz w:val="28"/>
          <w:szCs w:val="28"/>
        </w:rPr>
        <w:t xml:space="preserve">P-01. Alineacion con los Nuevos Estandares IIA 2025 — SCORE 55/100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60"/>
              <w:left w:type="dxa" w:w="220"/>
              <w:bottom w:type="dxa" w:w="160"/>
              <w:right w:type="dxa" w:w="220"/>
            </w:tcMar>
          </w:tcPr>
          <w:p>
            <w:pPr>
              <w:spacing w:after="60" w:before="0"/>
            </w:pPr>
            <w:r>
              <w:rPr>
                <w:rFonts w:ascii="Arial" w:cs="Arial" w:eastAsia="Arial" w:hAnsi="Arial"/>
                <w:b/>
                <w:bCs/>
                <w:color w:val="C25B10"/>
                <w:sz w:val="20"/>
                <w:szCs w:val="20"/>
              </w:rPr>
              <w:t xml:space="preserve">Que dice el Estandar IIA 2025 que AuditMind no cubre completamente:</w:t>
            </w:r>
          </w:p>
          <w:p>
            <w:pPr>
              <w:pStyle w:val="ListParagraph"/>
              <w:numPr>
                <w:ilvl w:val="0"/>
                <w:numId w:val="2"/>
              </w:numPr>
              <w:spacing w:after="45" w:before="45"/>
            </w:pPr>
            <w:r>
              <w:rPr>
                <w:rFonts w:ascii="Arial" w:cs="Arial" w:eastAsia="Arial" w:hAnsi="Arial"/>
                <w:color w:val="1A1A1A"/>
                <w:sz w:val="20"/>
                <w:szCs w:val="20"/>
              </w:rPr>
              <w:t xml:space="preserve">Estandar 9.3 — Aseguramiento sobre la Cultura Organizacional: el sistema no tiene modulo de evaluacion de cultura de control interno — area critica en el marco actualizado</w:t>
            </w:r>
          </w:p>
          <w:p>
            <w:pPr>
              <w:pStyle w:val="ListParagraph"/>
              <w:numPr>
                <w:ilvl w:val="0"/>
                <w:numId w:val="2"/>
              </w:numPr>
              <w:spacing w:after="45" w:before="45"/>
            </w:pPr>
            <w:r>
              <w:rPr>
                <w:rFonts w:ascii="Arial" w:cs="Arial" w:eastAsia="Arial" w:hAnsi="Arial"/>
                <w:color w:val="1A1A1A"/>
                <w:sz w:val="20"/>
                <w:szCs w:val="20"/>
              </w:rPr>
              <w:t xml:space="preserve">Estandar 11.1 — Calificaciones y Competencias: no hay gestion de competencias del equipo auditor ni mapeo de certificaciones (CIA, CISA, CFE) contra los proyectos asignados</w:t>
            </w:r>
          </w:p>
          <w:p>
            <w:pPr>
              <w:pStyle w:val="ListParagraph"/>
              <w:numPr>
                <w:ilvl w:val="0"/>
                <w:numId w:val="2"/>
              </w:numPr>
              <w:spacing w:after="45" w:before="45"/>
            </w:pPr>
            <w:r>
              <w:rPr>
                <w:rFonts w:ascii="Arial" w:cs="Arial" w:eastAsia="Arial" w:hAnsi="Arial"/>
                <w:color w:val="1A1A1A"/>
                <w:sz w:val="20"/>
                <w:szCs w:val="20"/>
              </w:rPr>
              <w:t xml:space="preserve">Estandar 13.4 — Comunicacion de Resultados Interinos: el sistema tiene informes finales pero no tiene mecanismo formal de comunicacion de hallazgos significativos antes del cierre</w:t>
            </w:r>
          </w:p>
          <w:p>
            <w:pPr>
              <w:pStyle w:val="ListParagraph"/>
              <w:numPr>
                <w:ilvl w:val="0"/>
                <w:numId w:val="2"/>
              </w:numPr>
              <w:spacing w:after="45" w:before="45"/>
            </w:pPr>
            <w:r>
              <w:rPr>
                <w:rFonts w:ascii="Arial" w:cs="Arial" w:eastAsia="Arial" w:hAnsi="Arial"/>
                <w:color w:val="1A1A1A"/>
                <w:sz w:val="20"/>
                <w:szCs w:val="20"/>
              </w:rPr>
              <w:t xml:space="preserve">Estandar 14.1 — Programa de Aseguramiento y Mejora de la Calidad (QAIP): no existe un modulo de autoevaluacion de la funcion de auditoria interna — requerido por el Marco IIA</w:t>
            </w:r>
          </w:p>
          <w:p>
            <w:pPr>
              <w:pStyle w:val="ListParagraph"/>
              <w:numPr>
                <w:ilvl w:val="0"/>
                <w:numId w:val="2"/>
              </w:numPr>
              <w:spacing w:after="45" w:before="45"/>
            </w:pPr>
            <w:r>
              <w:rPr>
                <w:rFonts w:ascii="Arial" w:cs="Arial" w:eastAsia="Arial" w:hAnsi="Arial"/>
                <w:color w:val="1A1A1A"/>
                <w:sz w:val="20"/>
                <w:szCs w:val="20"/>
              </w:rPr>
              <w:t xml:space="preserve">Principio de Independencia — Declaracion Anual: no hay modulo para que el CAE documente la declaracion anual de independencia de la funcion ante el Comite</w:t>
            </w:r>
          </w:p>
          <w:p>
            <w:pPr>
              <w:spacing w:after="60" w:before="0"/>
            </w:pPr>
            <w:r>
              <w:t xml:space="preserve"/>
            </w:r>
          </w:p>
          <w:p>
            <w:r>
              <w:rPr>
                <w:rFonts w:ascii="Arial" w:cs="Arial" w:eastAsia="Arial" w:hAnsi="Arial"/>
                <w:b/>
                <w:bCs/>
                <w:color w:val="1A7A4A"/>
                <w:sz w:val="19"/>
                <w:szCs w:val="19"/>
              </w:rPr>
              <w:t xml:space="preserve">Recomendacion: </w:t>
            </w:r>
            <w:r>
              <w:rPr>
                <w:rFonts w:ascii="Arial" w:cs="Arial" w:eastAsia="Arial" w:hAnsi="Arial"/>
                <w:color w:val="1A1A1A"/>
                <w:sz w:val="19"/>
                <w:szCs w:val="19"/>
              </w:rPr>
              <w:t xml:space="preserve">Agregar Modulo 13 — Calidad y Mejora de la Funcion de Auditoria como parte de la Fase 3.</w:t>
            </w:r>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P-02. Metodologia de Papeles de Trabajo — SCORE 72/100</w:t>
      </w:r>
    </w:p>
    <w:p>
      <w:pPr>
        <w:spacing w:after="80" w:before="55"/>
        <w:jc w:val="both"/>
      </w:pPr>
      <w:r>
        <w:rPr>
          <w:rFonts w:ascii="Arial" w:cs="Arial" w:eastAsia="Arial" w:hAnsi="Arial"/>
          <w:color w:val="1A1A1A"/>
          <w:sz w:val="21"/>
          <w:szCs w:val="21"/>
        </w:rPr>
        <w:t xml:space="preserve">La estructura de papeles de trabajo es buena pero le faltan elementos metodologicos que los auditores certificados esperan encontrar: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60"/>
                    <w:left w:type="dxa" w:w="220"/>
                    <w:bottom w:type="dxa" w:w="160"/>
                    <w:right w:type="dxa" w:w="220"/>
                  </w:tcMar>
                </w:tcPr>
                <w:p>
                  <w:pPr>
                    <w:spacing w:after="70" w:before="0"/>
                  </w:pPr>
                  <w:r>
                    <w:rPr>
                      <w:rFonts w:ascii="Arial" w:cs="Arial" w:eastAsia="Arial" w:hAnsi="Arial"/>
                      <w:b/>
                      <w:bCs/>
                      <w:color w:val="C25B10"/>
                      <w:sz w:val="19"/>
                      <w:szCs w:val="19"/>
                    </w:rPr>
                    <w:t xml:space="preserve">Lo que falta en Papeles de Trabajo:</w:t>
                  </w:r>
                </w:p>
                <w:p>
                  <w:pPr>
                    <w:pStyle w:val="ListParagraph"/>
                    <w:numPr>
                      <w:ilvl w:val="0"/>
                      <w:numId w:val="2"/>
                    </w:numPr>
                    <w:spacing w:after="45" w:before="45"/>
                  </w:pPr>
                  <w:r>
                    <w:rPr>
                      <w:rFonts w:ascii="Arial" w:cs="Arial" w:eastAsia="Arial" w:hAnsi="Arial"/>
                      <w:color w:val="1A1A1A"/>
                      <w:sz w:val="20"/>
                      <w:szCs w:val="20"/>
                    </w:rPr>
                    <w:t xml:space="preserve">Indices y referencias cruzadas estandarizados: sistema de codificacion tipo A-1, B-2, C-1 que permite navegar el expediente como un todo coherente</w:t>
                  </w:r>
                </w:p>
                <w:p>
                  <w:pPr>
                    <w:pStyle w:val="ListParagraph"/>
                    <w:numPr>
                      <w:ilvl w:val="0"/>
                      <w:numId w:val="2"/>
                    </w:numPr>
                    <w:spacing w:after="45" w:before="45"/>
                  </w:pPr>
                  <w:r>
                    <w:rPr>
                      <w:rFonts w:ascii="Arial" w:cs="Arial" w:eastAsia="Arial" w:hAnsi="Arial"/>
                      <w:color w:val="1A1A1A"/>
                      <w:sz w:val="20"/>
                      <w:szCs w:val="20"/>
                    </w:rPr>
                    <w:t xml:space="preserve">Marca de tick marks: sistema de simbolos de auditoria estandar (√ verificado, x excepcion, * estimacion) que los auditores usan universalmente</w:t>
                  </w:r>
                </w:p>
                <w:p>
                  <w:pPr>
                    <w:pStyle w:val="ListParagraph"/>
                    <w:numPr>
                      <w:ilvl w:val="0"/>
                      <w:numId w:val="2"/>
                    </w:numPr>
                    <w:spacing w:after="45" w:before="45"/>
                  </w:pPr>
                  <w:r>
                    <w:rPr>
                      <w:rFonts w:ascii="Arial" w:cs="Arial" w:eastAsia="Arial" w:hAnsi="Arial"/>
                      <w:color w:val="1A1A1A"/>
                      <w:sz w:val="20"/>
                      <w:szCs w:val="20"/>
                    </w:rPr>
                    <w:t xml:space="preserve">Conclusion obligatoria en cada papel: campo de conclusion del auditor que responde especificamente al objetivo del papel — no solo documentacion</w:t>
                  </w:r>
                </w:p>
                <w:p>
                  <w:pPr>
                    <w:pStyle w:val="ListParagraph"/>
                    <w:numPr>
                      <w:ilvl w:val="0"/>
                      <w:numId w:val="2"/>
                    </w:numPr>
                    <w:spacing w:after="45" w:before="45"/>
                  </w:pPr>
                  <w:r>
                    <w:rPr>
                      <w:rFonts w:ascii="Arial" w:cs="Arial" w:eastAsia="Arial" w:hAnsi="Arial"/>
                      <w:color w:val="1A1A1A"/>
                      <w:sz w:val="20"/>
                      <w:szCs w:val="20"/>
                    </w:rPr>
                    <w:t xml:space="preserve">Supervision documentada con comentarios especificos: no solo firma de aprobacion sino comentarios sustantivos del revisor</w:t>
                  </w:r>
                </w:p>
              </w:tc>
            </w:tr>
          </w:tbl>
          <w:p/>
        </w:tc>
        <w:tc>
          <w:tcPr>
            <w:tcW w:type="dxa" w:w="240"/>
            <w:tcBorders>
              <w:top w:val="none" w:color="FFFFFF" w:sz="0"/>
              <w:left w:val="none" w:color="FFFFFF" w:sz="0"/>
              <w:bottom w:val="none" w:color="FFFFFF" w:sz="0"/>
              <w:right w:val="none" w:color="FFFFFF" w:sz="0"/>
            </w:tcBorders>
          </w:tcPr>
          <w:p>
            <w:pPr>
              <w:spacing w:after="120" w:before="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60"/>
                    <w:left w:type="dxa" w:w="220"/>
                    <w:bottom w:type="dxa" w:w="160"/>
                    <w:right w:type="dxa" w:w="220"/>
                  </w:tcMar>
                </w:tcPr>
                <w:p>
                  <w:pPr>
                    <w:spacing w:after="70" w:before="0"/>
                  </w:pPr>
                  <w:r>
                    <w:rPr>
                      <w:rFonts w:ascii="Arial" w:cs="Arial" w:eastAsia="Arial" w:hAnsi="Arial"/>
                      <w:b/>
                      <w:bCs/>
                      <w:color w:val="C25B10"/>
                      <w:sz w:val="19"/>
                      <w:szCs w:val="19"/>
                    </w:rPr>
                    <w:t xml:space="preserve">Lo que falta en el expediente:</w:t>
                  </w:r>
                </w:p>
                <w:p>
                  <w:pPr>
                    <w:pStyle w:val="ListParagraph"/>
                    <w:numPr>
                      <w:ilvl w:val="0"/>
                      <w:numId w:val="2"/>
                    </w:numPr>
                    <w:spacing w:after="45" w:before="45"/>
                  </w:pPr>
                  <w:r>
                    <w:rPr>
                      <w:rFonts w:ascii="Arial" w:cs="Arial" w:eastAsia="Arial" w:hAnsi="Arial"/>
                      <w:color w:val="1A1A1A"/>
                      <w:sz w:val="20"/>
                      <w:szCs w:val="20"/>
                    </w:rPr>
                    <w:t xml:space="preserve">Carta de representacion de la gerencia: documento formal donde la gerencia auditada reconoce la informacion proporcionada — requerido en auditoria externa</w:t>
                  </w:r>
                </w:p>
                <w:p>
                  <w:pPr>
                    <w:pStyle w:val="ListParagraph"/>
                    <w:numPr>
                      <w:ilvl w:val="0"/>
                      <w:numId w:val="2"/>
                    </w:numPr>
                    <w:spacing w:after="45" w:before="45"/>
                  </w:pPr>
                  <w:r>
                    <w:rPr>
                      <w:rFonts w:ascii="Arial" w:cs="Arial" w:eastAsia="Arial" w:hAnsi="Arial"/>
                      <w:color w:val="1A1A1A"/>
                      <w:sz w:val="20"/>
                      <w:szCs w:val="20"/>
                    </w:rPr>
                    <w:t xml:space="preserve">Memorando de puntos de atencion (Matters for Attention): documento que captura temas que requieren seguimiento sin ser hallazgos formales</w:t>
                  </w:r>
                </w:p>
                <w:p>
                  <w:pPr>
                    <w:pStyle w:val="ListParagraph"/>
                    <w:numPr>
                      <w:ilvl w:val="0"/>
                      <w:numId w:val="2"/>
                    </w:numPr>
                    <w:spacing w:after="45" w:before="45"/>
                  </w:pPr>
                  <w:r>
                    <w:rPr>
                      <w:rFonts w:ascii="Arial" w:cs="Arial" w:eastAsia="Arial" w:hAnsi="Arial"/>
                      <w:color w:val="1A1A1A"/>
                      <w:sz w:val="20"/>
                      <w:szCs w:val="20"/>
                    </w:rPr>
                    <w:t xml:space="preserve">Clearance de comentarios de revision: evidencia de que cada comentario del revisor fue atendido y cerrado formalmente</w:t>
                  </w:r>
                </w:p>
                <w:p>
                  <w:pPr>
                    <w:pStyle w:val="ListParagraph"/>
                    <w:numPr>
                      <w:ilvl w:val="0"/>
                      <w:numId w:val="2"/>
                    </w:numPr>
                    <w:spacing w:after="45" w:before="45"/>
                  </w:pPr>
                  <w:r>
                    <w:rPr>
                      <w:rFonts w:ascii="Arial" w:cs="Arial" w:eastAsia="Arial" w:hAnsi="Arial"/>
                      <w:color w:val="1A1A1A"/>
                      <w:sz w:val="20"/>
                      <w:szCs w:val="20"/>
                    </w:rPr>
                    <w:t xml:space="preserve">Indice maestro del expediente: tabla navegable de todos los papeles con estado y numero de paginas</w:t>
                  </w:r>
                </w:p>
              </w:tc>
            </w:tr>
          </w:tbl>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P-03. Gestion de Riesgo de Auditoria — SCORE 60/100</w:t>
      </w:r>
    </w:p>
    <w:p>
      <w:pPr>
        <w:spacing w:after="80" w:before="55"/>
        <w:jc w:val="both"/>
      </w:pPr>
      <w:r>
        <w:rPr>
          <w:rFonts w:ascii="Arial" w:cs="Arial" w:eastAsia="Arial" w:hAnsi="Arial"/>
          <w:color w:val="1A1A1A"/>
          <w:sz w:val="21"/>
          <w:szCs w:val="21"/>
        </w:rPr>
        <w:t xml:space="preserve">El diseno incluye evaluacion de riesgos del negocio (lo que se audita) pero no incluye evaluacion del riesgo de la auditoria misma — concepto critico en los estandares internacionales.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60"/>
              <w:left w:type="dxa" w:w="220"/>
              <w:bottom w:type="dxa" w:w="160"/>
              <w:right w:type="dxa" w:w="220"/>
            </w:tcMar>
          </w:tcPr>
          <w:p>
            <w:pPr>
              <w:spacing w:after="60" w:before="0"/>
            </w:pPr>
            <w:r>
              <w:rPr>
                <w:rFonts w:ascii="Arial" w:cs="Arial" w:eastAsia="Arial" w:hAnsi="Arial"/>
                <w:b/>
                <w:bCs/>
                <w:color w:val="C25B10"/>
                <w:sz w:val="20"/>
                <w:szCs w:val="20"/>
              </w:rPr>
              <w:t xml:space="preserve">Triangulo de Riesgo de Auditoria (NIA 200 / ISA 200) — No implementado:</w:t>
            </w:r>
          </w:p>
          <w:p>
            <w:pPr>
              <w:pStyle w:val="ListParagraph"/>
              <w:numPr>
                <w:ilvl w:val="0"/>
                <w:numId w:val="2"/>
              </w:numPr>
              <w:spacing w:after="45" w:before="45"/>
            </w:pPr>
            <w:r>
              <w:rPr>
                <w:rFonts w:ascii="Arial" w:cs="Arial" w:eastAsia="Arial" w:hAnsi="Arial"/>
                <w:color w:val="1A1A1A"/>
                <w:sz w:val="20"/>
                <w:szCs w:val="20"/>
              </w:rPr>
              <w:t xml:space="preserve">Riesgo Inherente: probabilidad de que exista un error o irregularidad — el sistema calcula esto parcialmente</w:t>
            </w:r>
          </w:p>
          <w:p>
            <w:pPr>
              <w:pStyle w:val="ListParagraph"/>
              <w:numPr>
                <w:ilvl w:val="0"/>
                <w:numId w:val="2"/>
              </w:numPr>
              <w:spacing w:after="45" w:before="45"/>
            </w:pPr>
            <w:r>
              <w:rPr>
                <w:rFonts w:ascii="Arial" w:cs="Arial" w:eastAsia="Arial" w:hAnsi="Arial"/>
                <w:color w:val="1A1A1A"/>
                <w:sz w:val="20"/>
                <w:szCs w:val="20"/>
              </w:rPr>
              <w:t xml:space="preserve">Riesgo de Control: probabilidad de que los controles no detecten el error — el sistema lo menciona pero no lo cuantifica formalmente</w:t>
            </w:r>
          </w:p>
          <w:p>
            <w:pPr>
              <w:pStyle w:val="ListParagraph"/>
              <w:numPr>
                <w:ilvl w:val="0"/>
                <w:numId w:val="2"/>
              </w:numPr>
              <w:spacing w:after="45" w:before="45"/>
            </w:pPr>
            <w:r>
              <w:rPr>
                <w:rFonts w:ascii="Arial" w:cs="Arial" w:eastAsia="Arial" w:hAnsi="Arial"/>
                <w:color w:val="1A1A1A"/>
                <w:sz w:val="20"/>
                <w:szCs w:val="20"/>
              </w:rPr>
              <w:t xml:space="preserve">Riesgo de Deteccion: probabilidad de que los procedimientos del auditor no detecten el error — AUSENTE. Esto determina el nivel de pruebas sustantivas requeridas</w:t>
            </w:r>
          </w:p>
          <w:p>
            <w:pPr>
              <w:pStyle w:val="ListParagraph"/>
              <w:numPr>
                <w:ilvl w:val="0"/>
                <w:numId w:val="2"/>
              </w:numPr>
              <w:spacing w:after="45" w:before="45"/>
            </w:pPr>
            <w:r>
              <w:rPr>
                <w:rFonts w:ascii="Arial" w:cs="Arial" w:eastAsia="Arial" w:hAnsi="Arial"/>
                <w:color w:val="1A1A1A"/>
                <w:sz w:val="20"/>
                <w:szCs w:val="20"/>
              </w:rPr>
              <w:t xml:space="preserve">Riesgo de Auditoria = RI x RC x RD: la formula que determina el tamano de muestra — el sistema no la calcula</w:t>
            </w:r>
          </w:p>
          <w:p>
            <w:pPr>
              <w:spacing w:after="60" w:before="0"/>
            </w:pPr>
            <w:r>
              <w:t xml:space="preserve"/>
            </w:r>
          </w:p>
          <w:p>
            <w:r>
              <w:rPr>
                <w:rFonts w:ascii="Arial" w:cs="Arial" w:eastAsia="Arial" w:hAnsi="Arial"/>
                <w:b/>
                <w:bCs/>
                <w:color w:val="C0392B"/>
                <w:sz w:val="19"/>
                <w:szCs w:val="19"/>
              </w:rPr>
              <w:t xml:space="preserve">Impacto: </w:t>
            </w:r>
            <w:r>
              <w:rPr>
                <w:rFonts w:ascii="Arial" w:cs="Arial" w:eastAsia="Arial" w:hAnsi="Arial"/>
                <w:color w:val="1A1A1A"/>
                <w:sz w:val="19"/>
                <w:szCs w:val="19"/>
              </w:rPr>
              <w:t xml:space="preserve">Sin este modelo, el sistema no puede justificar metodologicamente el tamano de muestra sugerido por la IA. Un auditor externo certificado rechazaria papeles de trabajo sin esta sustentacion.</w:t>
            </w:r>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P-04. Analisis de Datos y Deteccion de Fraude — SCORE 65/100</w:t>
      </w:r>
    </w:p>
    <w:p>
      <w:pPr>
        <w:spacing w:after="80" w:before="55"/>
        <w:jc w:val="both"/>
      </w:pPr>
      <w:r>
        <w:rPr>
          <w:rFonts w:ascii="Arial" w:cs="Arial" w:eastAsia="Arial" w:hAnsi="Arial"/>
          <w:color w:val="1A1A1A"/>
          <w:sz w:val="21"/>
          <w:szCs w:val="21"/>
        </w:rPr>
        <w:t xml:space="preserve">El modulo de analytics esta bien diseñado conceptualmente pero le falta la profundidad que un especialista en fraude (CFE) esperaria:</w:t>
      </w:r>
    </w:p>
    <w:p>
      <w:pPr>
        <w:spacing w:after="60" w:before="0"/>
      </w:pPr>
      <w:r>
        <w:t xml:space="preserve"/>
      </w:r>
    </w:p>
    <w:p>
      <w:pPr>
        <w:pStyle w:val="ListParagraph"/>
        <w:numPr>
          <w:ilvl w:val="0"/>
          <w:numId w:val="2"/>
        </w:numPr>
        <w:spacing w:after="45" w:before="45"/>
      </w:pPr>
      <w:r>
        <w:rPr>
          <w:rFonts w:ascii="Arial" w:cs="Arial" w:eastAsia="Arial" w:hAnsi="Arial"/>
          <w:color w:val="1A1A1A"/>
          <w:sz w:val="20"/>
          <w:szCs w:val="20"/>
        </w:rPr>
        <w:t xml:space="preserve">Arbol de Fraude ACFE completo: el diseno menciona el framework ACFE pero no implementa el arbol completo de tipologias (malversacion de activos, fraude de estados financieros, corrupcion) con sus indicadores especificos por rama</w:t>
      </w:r>
    </w:p>
    <w:p>
      <w:pPr>
        <w:pStyle w:val="ListParagraph"/>
        <w:numPr>
          <w:ilvl w:val="0"/>
          <w:numId w:val="2"/>
        </w:numPr>
        <w:spacing w:after="45" w:before="45"/>
      </w:pPr>
      <w:r>
        <w:rPr>
          <w:rFonts w:ascii="Arial" w:cs="Arial" w:eastAsia="Arial" w:hAnsi="Arial"/>
          <w:color w:val="1A1A1A"/>
          <w:sz w:val="20"/>
          <w:szCs w:val="20"/>
        </w:rPr>
        <w:t xml:space="preserve">Analisis de redes relacionales: detectar proveedores vinculados a empleados requiere analisis de grafos entre entidades — mencionado (Graph Neural Networks) pero sin especificacion de como se alimenta con datos reales del cliente</w:t>
      </w:r>
    </w:p>
    <w:p>
      <w:pPr>
        <w:pStyle w:val="ListParagraph"/>
        <w:numPr>
          <w:ilvl w:val="0"/>
          <w:numId w:val="2"/>
        </w:numPr>
        <w:spacing w:after="45" w:before="45"/>
      </w:pPr>
      <w:r>
        <w:rPr>
          <w:rFonts w:ascii="Arial" w:cs="Arial" w:eastAsia="Arial" w:hAnsi="Arial"/>
          <w:color w:val="1A1A1A"/>
          <w:sz w:val="20"/>
          <w:szCs w:val="20"/>
        </w:rPr>
        <w:t xml:space="preserve">Cadena de Custodia Digital: para investigaciones forenses, el sistema no tiene un protocolo formal de preservacion de evidencia digital con hash verification</w:t>
      </w:r>
    </w:p>
    <w:p>
      <w:pPr>
        <w:pStyle w:val="ListParagraph"/>
        <w:numPr>
          <w:ilvl w:val="0"/>
          <w:numId w:val="2"/>
        </w:numPr>
        <w:spacing w:after="45" w:before="45"/>
      </w:pPr>
      <w:r>
        <w:rPr>
          <w:rFonts w:ascii="Arial" w:cs="Arial" w:eastAsia="Arial" w:hAnsi="Arial"/>
          <w:color w:val="1A1A1A"/>
          <w:sz w:val="20"/>
          <w:szCs w:val="20"/>
        </w:rPr>
        <w:t xml:space="preserve">Analisis de comportamiento de usuarios internos (UEBA): el modulo de TI no incluye deteccion de comportamiento anomalo de usuarios con acceso privilegiado</w:t>
      </w:r>
    </w:p>
    <w:p>
      <w:pPr>
        <w:pStyle w:val="ListParagraph"/>
        <w:numPr>
          <w:ilvl w:val="0"/>
          <w:numId w:val="2"/>
        </w:numPr>
        <w:spacing w:after="45" w:before="45"/>
      </w:pPr>
      <w:r>
        <w:rPr>
          <w:rFonts w:ascii="Arial" w:cs="Arial" w:eastAsia="Arial" w:hAnsi="Arial"/>
          <w:color w:val="1A1A1A"/>
          <w:sz w:val="20"/>
          <w:szCs w:val="20"/>
        </w:rPr>
        <w:t xml:space="preserve">Modelos de regresion para estimaciones: para auditar provisiones, deterioros y estimaciones contables, el sistema necesita herramientas de modelado estadistico independiente</w:t>
      </w:r>
    </w:p>
    <w:p>
      <w:pPr>
        <w:spacing w:after="100" w:before="0"/>
      </w:pPr>
      <w:r>
        <w:t xml:space="preserve"/>
      </w:r>
    </w:p>
    <w:p>
      <w:pPr>
        <w:pStyle w:val="Heading2"/>
        <w:spacing w:after="120" w:before="260"/>
      </w:pPr>
      <w:r>
        <w:rPr>
          <w:rFonts w:ascii="Arial" w:cs="Arial" w:eastAsia="Arial" w:hAnsi="Arial"/>
          <w:b/>
          <w:bCs/>
          <w:color w:val="1B5FA8"/>
          <w:sz w:val="28"/>
          <w:szCs w:val="28"/>
        </w:rPr>
        <w:t xml:space="preserve">P-05. Comunicacion con el Comite de Auditoria — SCORE 58/100</w:t>
      </w:r>
    </w:p>
    <w:p>
      <w:pPr>
        <w:spacing w:after="80" w:before="55"/>
        <w:jc w:val="both"/>
      </w:pPr>
      <w:r>
        <w:rPr>
          <w:rFonts w:ascii="Arial" w:cs="Arial" w:eastAsia="Arial" w:hAnsi="Arial"/>
          <w:color w:val="1A1A1A"/>
          <w:sz w:val="21"/>
          <w:szCs w:val="21"/>
        </w:rPr>
        <w:t xml:space="preserve">El IIA Estandar 12.1 establece que el CAE debe comunicarse directamente con el Comite de Auditoria. El sistema tiene dashboards para el CAE pero no tiene un modulo dedicado para la relacion CAE-Comite:</w:t>
      </w:r>
    </w:p>
    <w:p>
      <w:pPr>
        <w:spacing w:after="60" w:before="0"/>
      </w:pPr>
      <w:r>
        <w:t xml:space="preserve"/>
      </w:r>
    </w:p>
    <w:p>
      <w:pPr>
        <w:pStyle w:val="ListParagraph"/>
        <w:numPr>
          <w:ilvl w:val="0"/>
          <w:numId w:val="2"/>
        </w:numPr>
        <w:spacing w:after="45" w:before="45"/>
      </w:pPr>
      <w:r>
        <w:rPr>
          <w:rFonts w:ascii="Arial" w:cs="Arial" w:eastAsia="Arial" w:hAnsi="Arial"/>
          <w:color w:val="1A1A1A"/>
          <w:sz w:val="20"/>
          <w:szCs w:val="20"/>
        </w:rPr>
        <w:t xml:space="preserve">Agenda y actas del Comite de Auditoria: no existe modulo para gestionar las sesiones del Comite con su documentacion formal</w:t>
      </w:r>
    </w:p>
    <w:p>
      <w:pPr>
        <w:pStyle w:val="ListParagraph"/>
        <w:numPr>
          <w:ilvl w:val="0"/>
          <w:numId w:val="2"/>
        </w:numPr>
        <w:spacing w:after="45" w:before="45"/>
      </w:pPr>
      <w:r>
        <w:rPr>
          <w:rFonts w:ascii="Arial" w:cs="Arial" w:eastAsia="Arial" w:hAnsi="Arial"/>
          <w:color w:val="1A1A1A"/>
          <w:sz w:val="20"/>
          <w:szCs w:val="20"/>
        </w:rPr>
        <w:t xml:space="preserve">Informe trimestral al Comite: formato especifico diferente al informe de proyecto — resumen ejecutivo de la funcion de auditoria en el periodo</w:t>
      </w:r>
    </w:p>
    <w:p>
      <w:pPr>
        <w:pStyle w:val="ListParagraph"/>
        <w:numPr>
          <w:ilvl w:val="0"/>
          <w:numId w:val="2"/>
        </w:numPr>
        <w:spacing w:after="45" w:before="45"/>
      </w:pPr>
      <w:r>
        <w:rPr>
          <w:rFonts w:ascii="Arial" w:cs="Arial" w:eastAsia="Arial" w:hAnsi="Arial"/>
          <w:color w:val="1A1A1A"/>
          <w:sz w:val="20"/>
          <w:szCs w:val="20"/>
        </w:rPr>
        <w:t xml:space="preserve">Declaracion de independencia al Comite: documento anual requerido por el Marco IIA — no existe</w:t>
      </w:r>
    </w:p>
    <w:p>
      <w:pPr>
        <w:pStyle w:val="ListParagraph"/>
        <w:numPr>
          <w:ilvl w:val="0"/>
          <w:numId w:val="2"/>
        </w:numPr>
        <w:spacing w:after="45" w:before="45"/>
      </w:pPr>
      <w:r>
        <w:rPr>
          <w:rFonts w:ascii="Arial" w:cs="Arial" w:eastAsia="Arial" w:hAnsi="Arial"/>
          <w:color w:val="1A1A1A"/>
          <w:sz w:val="20"/>
          <w:szCs w:val="20"/>
        </w:rPr>
        <w:t xml:space="preserve">Charter de Auditoria Interna: el documento fundacional de la funcion — no hay modulo para gestionarlo ni vincularlo con los objetivos del plan</w:t>
      </w:r>
    </w:p>
    <w:p>
      <w:pPr>
        <w:pStyle w:val="ListParagraph"/>
        <w:numPr>
          <w:ilvl w:val="0"/>
          <w:numId w:val="2"/>
        </w:numPr>
        <w:spacing w:after="45" w:before="45"/>
      </w:pPr>
      <w:r>
        <w:rPr>
          <w:rFonts w:ascii="Arial" w:cs="Arial" w:eastAsia="Arial" w:hAnsi="Arial"/>
          <w:color w:val="1A1A1A"/>
          <w:sz w:val="20"/>
          <w:szCs w:val="20"/>
        </w:rPr>
        <w:t xml:space="preserve">Escalamiento al Comite bypass de la gerencia: cuando la gerencia no implementa recomendaciones criticas, el IIA requiere un canal directo al Comite — el sistema escala al CAE pero no tiene el siguiente nivel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8B1A10"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III  </w:t>
            </w:r>
            <w:r>
              <w:rPr>
                <w:rFonts w:ascii="Arial" w:cs="Arial" w:eastAsia="Arial" w:hAnsi="Arial"/>
                <w:b/>
                <w:bCs/>
                <w:color w:val="FFFFFF"/>
                <w:sz w:val="32"/>
                <w:szCs w:val="32"/>
              </w:rPr>
              <w:t xml:space="preserve">LO QUE FALTA — BRECHAS CRITICAS</w:t>
            </w:r>
          </w:p>
          <w:p>
            <w:r>
              <w:rPr>
                <w:rFonts w:ascii="Arial" w:cs="Arial" w:eastAsia="Arial" w:hAnsi="Arial"/>
                <w:i/>
                <w:iCs/>
                <w:color w:val="BBD4EE"/>
                <w:sz w:val="19"/>
                <w:szCs w:val="19"/>
              </w:rPr>
              <w:t xml:space="preserve">Ausencias que limitan la competitividad en mercados regulados</w:t>
            </w:r>
          </w:p>
        </w:tc>
      </w:tr>
    </w:tbl>
    <w:p>
      <w:pPr>
        <w:spacing w:after="120" w:before="0"/>
      </w:pPr>
      <w:r>
        <w:t xml:space="preserve"/>
      </w:r>
    </w:p>
    <w:p>
      <w:pPr>
        <w:spacing w:after="80" w:before="55"/>
        <w:jc w:val="both"/>
      </w:pPr>
      <w:r>
        <w:rPr>
          <w:rFonts w:ascii="Arial" w:cs="Arial" w:eastAsia="Arial" w:hAnsi="Arial"/>
          <w:color w:val="1A1A1A"/>
          <w:sz w:val="21"/>
          <w:szCs w:val="21"/>
        </w:rPr>
        <w:t xml:space="preserve">Estas son las brechas mas importantes identificadas. No son detalles — son capacidades que los auditores profesionales consideran basicas y que los competidores directos (TeamMate+, AuditBoard) si tienen.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50"/>
              <w:left w:type="dxa" w:w="220"/>
              <w:bottom w:type="dxa" w:w="15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320"/>
            </w:tblGrid>
            <w:tr>
              <w:tc>
                <w:tcPr>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CRITICO</w:t>
                  </w:r>
                </w:p>
                <w:p>
                  <w:pPr>
                    <w:spacing w:after="0" w:before="30"/>
                    <w:jc w:val="center"/>
                  </w:pPr>
                  <w:r>
                    <w:rPr>
                      <w:rFonts w:ascii="Arial" w:cs="Arial" w:eastAsia="Arial" w:hAnsi="Arial"/>
                      <w:color w:val="DDEEEE"/>
                      <w:sz w:val="16"/>
                      <w:szCs w:val="16"/>
                    </w:rPr>
                    <w:t xml:space="preserve">C-01</w:t>
                  </w:r>
                </w:p>
              </w:tc>
              <w:tc>
                <w:tcPr>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0F2D4A"/>
                      <w:sz w:val="21"/>
                      <w:szCs w:val="21"/>
                    </w:rPr>
                    <w:t xml:space="preserve">Ausencia de Modulo de Continuidad del Negocio / ISO 22301</w:t>
                  </w:r>
                </w:p>
              </w:tc>
              <w:tc>
                <w:tcPr>
                  <w:tcBorders>
                    <w:top w:val="none" w:color="FFFFFF" w:sz="0"/>
                    <w:left w:val="none" w:color="FFFFFF" w:sz="0"/>
                    <w:bottom w:val="none" w:color="FFFFFF" w:sz="0"/>
                    <w:right w:val="none" w:color="FFFFFF" w:sz="0"/>
                  </w:tcBorders>
                  <w:shd w:fill="F4F6F9" w:val="clear"/>
                  <w:tcMar>
                    <w:top w:type="dxa" w:w="80"/>
                    <w:left w:type="dxa" w:w="140"/>
                    <w:bottom w:type="dxa" w:w="80"/>
                    <w:right w:type="dxa" w:w="140"/>
                  </w:tcMar>
                </w:tcPr>
                <w:p>
                  <w:pPr>
                    <w:jc w:val="center"/>
                  </w:pPr>
                  <w:r>
                    <w:rPr>
                      <w:rFonts w:ascii="Arial" w:cs="Arial" w:eastAsia="Arial" w:hAnsi="Arial"/>
                      <w:b/>
                      <w:bCs/>
                      <w:color w:val="4A4A4A"/>
                      <w:sz w:val="17"/>
                      <w:szCs w:val="17"/>
                    </w:rPr>
                    <w:t xml:space="preserve">Criterio:</w:t>
                  </w:r>
                </w:p>
                <w:p>
                  <w:pPr>
                    <w:jc w:val="center"/>
                  </w:pPr>
                  <w:r>
                    <w:rPr>
                      <w:rFonts w:ascii="Arial" w:cs="Arial" w:eastAsia="Arial" w:hAnsi="Arial"/>
                      <w:color w:val="1A1A1A"/>
                      <w:sz w:val="17"/>
                      <w:szCs w:val="17"/>
                    </w:rPr>
                    <w:t xml:space="preserve">ISO 22301:2019 — Estandar Internacional de Continuidad del Negocio. IIA Estandar 9.3 — Cobertura del Universo de Auditoria. Basilea III — Requisito de planes de recuperacion para instituciones financieras.</w:t>
                  </w:r>
                </w:p>
              </w:tc>
            </w:tr>
          </w:tbl>
          <w:p>
            <w:pPr>
              <w:spacing w:after="60" w:before="0"/>
            </w:pPr>
            <w:r>
              <w:t xml:space="preserve"/>
            </w:r>
          </w:p>
          <w:p>
            <w:pPr>
              <w:spacing w:after="40" w:before="0"/>
            </w:pPr>
            <w:r>
              <w:rPr>
                <w:rFonts w:ascii="Arial" w:cs="Arial" w:eastAsia="Arial" w:hAnsi="Arial"/>
                <w:b/>
                <w:bCs/>
                <w:color w:val="C0392B"/>
                <w:sz w:val="19"/>
                <w:szCs w:val="19"/>
              </w:rPr>
              <w:t xml:space="preserve">Condicion: </w:t>
            </w:r>
            <w:r>
              <w:rPr>
                <w:rFonts w:ascii="Arial" w:cs="Arial" w:eastAsia="Arial" w:hAnsi="Arial"/>
                <w:color w:val="1A1A1A"/>
                <w:sz w:val="19"/>
                <w:szCs w:val="19"/>
              </w:rPr>
              <w:t xml:space="preserve">El sistema no tiene ningun modulo, mencion o consideracion para la auditoria de planes de continuidad del negocio (BCP/DRP), a pesar de ser un area de auditoria critica para clientes en sectores financiero, salud y sector publico.</w:t>
            </w:r>
          </w:p>
          <w:p>
            <w:pPr>
              <w:spacing w:after="40" w:before="0"/>
            </w:pPr>
            <w:r>
              <w:rPr>
                <w:rFonts w:ascii="Arial" w:cs="Arial" w:eastAsia="Arial" w:hAnsi="Arial"/>
                <w:b/>
                <w:bCs/>
                <w:color w:val="C0392B"/>
                <w:sz w:val="19"/>
                <w:szCs w:val="19"/>
              </w:rPr>
              <w:t xml:space="preserve">Brecha identificada: </w:t>
            </w:r>
            <w:r>
              <w:rPr>
                <w:rFonts w:ascii="Arial" w:cs="Arial" w:eastAsia="Arial" w:hAnsi="Arial"/>
                <w:color w:val="1A1A1A"/>
                <w:sz w:val="19"/>
                <w:szCs w:val="19"/>
              </w:rPr>
              <w:t xml:space="preserve">El sistema no puede ser vendido a clientes del sector financiero o salud como solucion completa de auditoria porque excluye un area de riesgo regulatorio obligatoria. Ademas, el propio AuditMind no tiene documentado su propio BCP/DRP — lo que representa una debilidad operacional del producto.</w:t>
            </w:r>
          </w:p>
          <w:p>
            <w:pPr>
              <w:spacing w:after="0" w:before="40"/>
            </w:pPr>
            <w:r>
              <w:rPr>
                <w:rFonts w:ascii="Arial" w:cs="Arial" w:eastAsia="Arial" w:hAnsi="Arial"/>
                <w:b/>
                <w:bCs/>
                <w:color w:val="0F5C35"/>
                <w:sz w:val="19"/>
                <w:szCs w:val="19"/>
              </w:rPr>
              <w:t xml:space="preserve">Recomendacion: </w:t>
            </w:r>
            <w:r>
              <w:rPr>
                <w:rFonts w:ascii="Arial" w:cs="Arial" w:eastAsia="Arial" w:hAnsi="Arial"/>
                <w:color w:val="1A1A1A"/>
                <w:sz w:val="19"/>
                <w:szCs w:val="19"/>
              </w:rPr>
              <w:t xml:space="preserve">Desarrollar Modulo 13 — Auditoria de Continuidad: evaluacion de BCP/DRP con cuestionarios ISO 22301, prueba de planes de recuperacion, RTO/RPO por proceso critico. Documentar el propio BCP de AuditMind como parte de la documentacion de seguridad del producto.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50"/>
              <w:left w:type="dxa" w:w="220"/>
              <w:bottom w:type="dxa" w:w="15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320"/>
            </w:tblGrid>
            <w:tr>
              <w:tc>
                <w:tcPr>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CRITICO</w:t>
                  </w:r>
                </w:p>
                <w:p>
                  <w:pPr>
                    <w:spacing w:after="0" w:before="30"/>
                    <w:jc w:val="center"/>
                  </w:pPr>
                  <w:r>
                    <w:rPr>
                      <w:rFonts w:ascii="Arial" w:cs="Arial" w:eastAsia="Arial" w:hAnsi="Arial"/>
                      <w:color w:val="DDEEEE"/>
                      <w:sz w:val="16"/>
                      <w:szCs w:val="16"/>
                    </w:rPr>
                    <w:t xml:space="preserve">C-02</w:t>
                  </w:r>
                </w:p>
              </w:tc>
              <w:tc>
                <w:tcPr>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0F2D4A"/>
                      <w:sz w:val="21"/>
                      <w:szCs w:val="21"/>
                    </w:rPr>
                    <w:t xml:space="preserve">Auditoria de TI insuficiente segun COBIT 2019 y NIST CSF 2.0</w:t>
                  </w:r>
                </w:p>
              </w:tc>
              <w:tc>
                <w:tcPr>
                  <w:tcBorders>
                    <w:top w:val="none" w:color="FFFFFF" w:sz="0"/>
                    <w:left w:val="none" w:color="FFFFFF" w:sz="0"/>
                    <w:bottom w:val="none" w:color="FFFFFF" w:sz="0"/>
                    <w:right w:val="none" w:color="FFFFFF" w:sz="0"/>
                  </w:tcBorders>
                  <w:shd w:fill="F4F6F9" w:val="clear"/>
                  <w:tcMar>
                    <w:top w:type="dxa" w:w="80"/>
                    <w:left w:type="dxa" w:w="140"/>
                    <w:bottom w:type="dxa" w:w="80"/>
                    <w:right w:type="dxa" w:w="140"/>
                  </w:tcMar>
                </w:tcPr>
                <w:p>
                  <w:pPr>
                    <w:jc w:val="center"/>
                  </w:pPr>
                  <w:r>
                    <w:rPr>
                      <w:rFonts w:ascii="Arial" w:cs="Arial" w:eastAsia="Arial" w:hAnsi="Arial"/>
                      <w:b/>
                      <w:bCs/>
                      <w:color w:val="4A4A4A"/>
                      <w:sz w:val="17"/>
                      <w:szCs w:val="17"/>
                    </w:rPr>
                    <w:t xml:space="preserve">Criterio:</w:t>
                  </w:r>
                </w:p>
                <w:p>
                  <w:pPr>
                    <w:jc w:val="center"/>
                  </w:pPr>
                  <w:r>
                    <w:rPr>
                      <w:rFonts w:ascii="Arial" w:cs="Arial" w:eastAsia="Arial" w:hAnsi="Arial"/>
                      <w:color w:val="1A1A1A"/>
                      <w:sz w:val="17"/>
                      <w:szCs w:val="17"/>
                    </w:rPr>
                    <w:t xml:space="preserve">COBIT 2019 — 40 objetivos de gobierno y gestion. NIST CSF 2.0 — 6 funciones, 22 categorias, 106 subcategorias. ISO 27001:2022 — 93 controles en 4 temas. IIA GTAG (Global Technology Audit Guides).</w:t>
                  </w:r>
                </w:p>
              </w:tc>
            </w:tr>
          </w:tbl>
          <w:p>
            <w:pPr>
              <w:spacing w:after="60" w:before="0"/>
            </w:pPr>
            <w:r>
              <w:t xml:space="preserve"/>
            </w:r>
          </w:p>
          <w:p>
            <w:pPr>
              <w:spacing w:after="40" w:before="0"/>
            </w:pPr>
            <w:r>
              <w:rPr>
                <w:rFonts w:ascii="Arial" w:cs="Arial" w:eastAsia="Arial" w:hAnsi="Arial"/>
                <w:b/>
                <w:bCs/>
                <w:color w:val="C0392B"/>
                <w:sz w:val="19"/>
                <w:szCs w:val="19"/>
              </w:rPr>
              <w:t xml:space="preserve">Condicion: </w:t>
            </w:r>
            <w:r>
              <w:rPr>
                <w:rFonts w:ascii="Arial" w:cs="Arial" w:eastAsia="Arial" w:hAnsi="Arial"/>
                <w:color w:val="1A1A1A"/>
                <w:sz w:val="19"/>
                <w:szCs w:val="19"/>
              </w:rPr>
              <w:t xml:space="preserve">El Skill de Auditoria de TI mencionado en el diseno referencia COBIT 2019 e ISO 27001 pero no especifica como implementa los 40 dominios de gobierno y gestion de COBIT ni los 6 funciones del NIST CSF 2.0 (Identificar, Proteger, Detectar, Responder, Recuperar, Gobernar).</w:t>
            </w:r>
          </w:p>
          <w:p>
            <w:pPr>
              <w:spacing w:after="40" w:before="0"/>
            </w:pPr>
            <w:r>
              <w:rPr>
                <w:rFonts w:ascii="Arial" w:cs="Arial" w:eastAsia="Arial" w:hAnsi="Arial"/>
                <w:b/>
                <w:bCs/>
                <w:color w:val="C0392B"/>
                <w:sz w:val="19"/>
                <w:szCs w:val="19"/>
              </w:rPr>
              <w:t xml:space="preserve">Brecha identificada: </w:t>
            </w:r>
            <w:r>
              <w:rPr>
                <w:rFonts w:ascii="Arial" w:cs="Arial" w:eastAsia="Arial" w:hAnsi="Arial"/>
                <w:color w:val="1A1A1A"/>
                <w:sz w:val="19"/>
                <w:szCs w:val="19"/>
              </w:rPr>
              <w:t xml:space="preserve">Un auditor de TI certificado (CISA) que use el sistema encontraria que los procedimientos del Skill de TI son genericos y no mapean a los frameworks que usa en su practica diaria. Esto limita la adoption del sistema entre auditores de TI especializados, que son el segmento de mayor crecimiento del mercado.</w:t>
            </w:r>
          </w:p>
          <w:p>
            <w:pPr>
              <w:spacing w:after="0" w:before="40"/>
            </w:pPr>
            <w:r>
              <w:rPr>
                <w:rFonts w:ascii="Arial" w:cs="Arial" w:eastAsia="Arial" w:hAnsi="Arial"/>
                <w:b/>
                <w:bCs/>
                <w:color w:val="0F5C35"/>
                <w:sz w:val="19"/>
                <w:szCs w:val="19"/>
              </w:rPr>
              <w:t xml:space="preserve">Recomendacion: </w:t>
            </w:r>
            <w:r>
              <w:rPr>
                <w:rFonts w:ascii="Arial" w:cs="Arial" w:eastAsia="Arial" w:hAnsi="Arial"/>
                <w:color w:val="1A1A1A"/>
                <w:sz w:val="19"/>
                <w:szCs w:val="19"/>
              </w:rPr>
              <w:t xml:space="preserve">Expandir el Skill de TI con: (1) Mapeo completo COBIT 2019 → procedimientos de auditoria por objetivo. (2) Cuestionarios NIST CSF 2.0 por funcion. (3) Lista de verificacion ISO 27001:2022 de los 93 controles. (4) Integracion con los 16 GTAGs del IIA para auditoria de TI.</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392B" w:sz="1"/>
              <w:left w:val="single" w:color="C0392B" w:sz="1"/>
              <w:bottom w:val="single" w:color="C0392B" w:sz="1"/>
              <w:right w:val="single" w:color="C0392B" w:sz="1"/>
            </w:tcBorders>
            <w:shd w:fill="FDEDEC" w:val="clear"/>
            <w:tcMar>
              <w:top w:type="dxa" w:w="150"/>
              <w:left w:type="dxa" w:w="220"/>
              <w:bottom w:type="dxa" w:w="15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320"/>
            </w:tblGrid>
            <w:tr>
              <w:tc>
                <w:tcPr>
                  <w:tcBorders>
                    <w:top w:val="none" w:color="FFFFFF" w:sz="0"/>
                    <w:left w:val="none" w:color="FFFFFF" w:sz="0"/>
                    <w:bottom w:val="none" w:color="FFFFFF" w:sz="0"/>
                    <w:right w:val="none" w:color="FFFFFF" w:sz="0"/>
                  </w:tcBorders>
                  <w:shd w:fill="C0392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CRITICO</w:t>
                  </w:r>
                </w:p>
                <w:p>
                  <w:pPr>
                    <w:spacing w:after="0" w:before="30"/>
                    <w:jc w:val="center"/>
                  </w:pPr>
                  <w:r>
                    <w:rPr>
                      <w:rFonts w:ascii="Arial" w:cs="Arial" w:eastAsia="Arial" w:hAnsi="Arial"/>
                      <w:color w:val="DDEEEE"/>
                      <w:sz w:val="16"/>
                      <w:szCs w:val="16"/>
                    </w:rPr>
                    <w:t xml:space="preserve">C-03</w:t>
                  </w:r>
                </w:p>
              </w:tc>
              <w:tc>
                <w:tcPr>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0F2D4A"/>
                      <w:sz w:val="21"/>
                      <w:szCs w:val="21"/>
                    </w:rPr>
                    <w:t xml:space="preserve">Sin modelo de Materialidad ni Importancia Relativa</w:t>
                  </w:r>
                </w:p>
              </w:tc>
              <w:tc>
                <w:tcPr>
                  <w:tcBorders>
                    <w:top w:val="none" w:color="FFFFFF" w:sz="0"/>
                    <w:left w:val="none" w:color="FFFFFF" w:sz="0"/>
                    <w:bottom w:val="none" w:color="FFFFFF" w:sz="0"/>
                    <w:right w:val="none" w:color="FFFFFF" w:sz="0"/>
                  </w:tcBorders>
                  <w:shd w:fill="F4F6F9" w:val="clear"/>
                  <w:tcMar>
                    <w:top w:type="dxa" w:w="80"/>
                    <w:left w:type="dxa" w:w="140"/>
                    <w:bottom w:type="dxa" w:w="80"/>
                    <w:right w:type="dxa" w:w="140"/>
                  </w:tcMar>
                </w:tcPr>
                <w:p>
                  <w:pPr>
                    <w:jc w:val="center"/>
                  </w:pPr>
                  <w:r>
                    <w:rPr>
                      <w:rFonts w:ascii="Arial" w:cs="Arial" w:eastAsia="Arial" w:hAnsi="Arial"/>
                      <w:b/>
                      <w:bCs/>
                      <w:color w:val="4A4A4A"/>
                      <w:sz w:val="17"/>
                      <w:szCs w:val="17"/>
                    </w:rPr>
                    <w:t xml:space="preserve">Criterio:</w:t>
                  </w:r>
                </w:p>
                <w:p>
                  <w:pPr>
                    <w:jc w:val="center"/>
                  </w:pPr>
                  <w:r>
                    <w:rPr>
                      <w:rFonts w:ascii="Arial" w:cs="Arial" w:eastAsia="Arial" w:hAnsi="Arial"/>
                      <w:color w:val="1A1A1A"/>
                      <w:sz w:val="17"/>
                      <w:szCs w:val="17"/>
                    </w:rPr>
                    <w:t xml:space="preserve">NIA 320 — Materialidad en la Planificacion y Ejecucion de la Auditoria. NIA 450 — Evaluacion de Incorrecciones Identificadas. PCAOB AS 2105 para auditoria externa de entidades publicas.</w:t>
                  </w:r>
                </w:p>
              </w:tc>
            </w:tr>
          </w:tbl>
          <w:p>
            <w:pPr>
              <w:spacing w:after="60" w:before="0"/>
            </w:pPr>
            <w:r>
              <w:t xml:space="preserve"/>
            </w:r>
          </w:p>
          <w:p>
            <w:pPr>
              <w:spacing w:after="40" w:before="0"/>
            </w:pPr>
            <w:r>
              <w:rPr>
                <w:rFonts w:ascii="Arial" w:cs="Arial" w:eastAsia="Arial" w:hAnsi="Arial"/>
                <w:b/>
                <w:bCs/>
                <w:color w:val="C0392B"/>
                <w:sz w:val="19"/>
                <w:szCs w:val="19"/>
              </w:rPr>
              <w:t xml:space="preserve">Condicion: </w:t>
            </w:r>
            <w:r>
              <w:rPr>
                <w:rFonts w:ascii="Arial" w:cs="Arial" w:eastAsia="Arial" w:hAnsi="Arial"/>
                <w:color w:val="1A1A1A"/>
                <w:sz w:val="19"/>
                <w:szCs w:val="19"/>
              </w:rPr>
              <w:t xml:space="preserve">El sistema no tiene implementado el concepto de materialidad — fundamental en auditoria financiera y requerido por las NIA/ISA. No existe ningun campo, calculo ni procedimiento para determinar el umbral de materialidad del proyecto.</w:t>
            </w:r>
          </w:p>
          <w:p>
            <w:pPr>
              <w:spacing w:after="40" w:before="0"/>
            </w:pPr>
            <w:r>
              <w:rPr>
                <w:rFonts w:ascii="Arial" w:cs="Arial" w:eastAsia="Arial" w:hAnsi="Arial"/>
                <w:b/>
                <w:bCs/>
                <w:color w:val="C0392B"/>
                <w:sz w:val="19"/>
                <w:szCs w:val="19"/>
              </w:rPr>
              <w:t xml:space="preserve">Brecha identificada: </w:t>
            </w:r>
            <w:r>
              <w:rPr>
                <w:rFonts w:ascii="Arial" w:cs="Arial" w:eastAsia="Arial" w:hAnsi="Arial"/>
                <w:color w:val="1A1A1A"/>
                <w:sz w:val="19"/>
                <w:szCs w:val="19"/>
              </w:rPr>
              <w:t xml:space="preserve">Sin materialidad, el sistema no puede ser usado para auditoria externa de estados financieros. Los hallazgos no pueden clasificarse correctamente como materiales o no materiales, y el tamano de muestra no tiene sustentacion metodologica formal.</w:t>
            </w:r>
          </w:p>
          <w:p>
            <w:pPr>
              <w:spacing w:after="0" w:before="40"/>
            </w:pPr>
            <w:r>
              <w:rPr>
                <w:rFonts w:ascii="Arial" w:cs="Arial" w:eastAsia="Arial" w:hAnsi="Arial"/>
                <w:b/>
                <w:bCs/>
                <w:color w:val="0F5C35"/>
                <w:sz w:val="19"/>
                <w:szCs w:val="19"/>
              </w:rPr>
              <w:t xml:space="preserve">Recomendacion: </w:t>
            </w:r>
            <w:r>
              <w:rPr>
                <w:rFonts w:ascii="Arial" w:cs="Arial" w:eastAsia="Arial" w:hAnsi="Arial"/>
                <w:color w:val="1A1A1A"/>
                <w:sz w:val="19"/>
                <w:szCs w:val="19"/>
              </w:rPr>
              <w:t xml:space="preserve">Agregar en el modulo de Planificacion: calculadora de materialidad (% de ingresos, activos o utilidades segun tipo de entidad), materialidad de ejecucion (75% de la materialidad global), umbral de acumulacion de errores. Vincular la materialidad al score de severidad de hallazgos.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50"/>
              <w:left w:type="dxa" w:w="220"/>
              <w:bottom w:type="dxa" w:w="15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320"/>
            </w:tblGrid>
            <w:tr>
              <w:tc>
                <w:tcPr>
                  <w:tcBorders>
                    <w:top w:val="none" w:color="FFFFFF" w:sz="0"/>
                    <w:left w:val="none" w:color="FFFFFF" w:sz="0"/>
                    <w:bottom w:val="none" w:color="FFFFFF" w:sz="0"/>
                    <w:right w:val="none" w:color="FFFFFF" w:sz="0"/>
                  </w:tcBorders>
                  <w:shd w:fill="C25B1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ALTO</w:t>
                  </w:r>
                </w:p>
                <w:p>
                  <w:pPr>
                    <w:spacing w:after="0" w:before="30"/>
                    <w:jc w:val="center"/>
                  </w:pPr>
                  <w:r>
                    <w:rPr>
                      <w:rFonts w:ascii="Arial" w:cs="Arial" w:eastAsia="Arial" w:hAnsi="Arial"/>
                      <w:color w:val="DDEEEE"/>
                      <w:sz w:val="16"/>
                      <w:szCs w:val="16"/>
                    </w:rPr>
                    <w:t xml:space="preserve">A-01</w:t>
                  </w:r>
                </w:p>
              </w:tc>
              <w:tc>
                <w:tcPr>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0F2D4A"/>
                      <w:sz w:val="21"/>
                      <w:szCs w:val="21"/>
                    </w:rPr>
                    <w:t xml:space="preserve">Gestion de Competencias del Equipo Auditor — Ausente</w:t>
                  </w:r>
                </w:p>
              </w:tc>
              <w:tc>
                <w:tcPr>
                  <w:tcBorders>
                    <w:top w:val="none" w:color="FFFFFF" w:sz="0"/>
                    <w:left w:val="none" w:color="FFFFFF" w:sz="0"/>
                    <w:bottom w:val="none" w:color="FFFFFF" w:sz="0"/>
                    <w:right w:val="none" w:color="FFFFFF" w:sz="0"/>
                  </w:tcBorders>
                  <w:shd w:fill="F4F6F9" w:val="clear"/>
                  <w:tcMar>
                    <w:top w:type="dxa" w:w="80"/>
                    <w:left w:type="dxa" w:w="140"/>
                    <w:bottom w:type="dxa" w:w="80"/>
                    <w:right w:type="dxa" w:w="140"/>
                  </w:tcMar>
                </w:tcPr>
                <w:p>
                  <w:pPr>
                    <w:jc w:val="center"/>
                  </w:pPr>
                  <w:r>
                    <w:rPr>
                      <w:rFonts w:ascii="Arial" w:cs="Arial" w:eastAsia="Arial" w:hAnsi="Arial"/>
                      <w:b/>
                      <w:bCs/>
                      <w:color w:val="4A4A4A"/>
                      <w:sz w:val="17"/>
                      <w:szCs w:val="17"/>
                    </w:rPr>
                    <w:t xml:space="preserve">Criterio:</w:t>
                  </w:r>
                </w:p>
                <w:p>
                  <w:pPr>
                    <w:jc w:val="center"/>
                  </w:pPr>
                  <w:r>
                    <w:rPr>
                      <w:rFonts w:ascii="Arial" w:cs="Arial" w:eastAsia="Arial" w:hAnsi="Arial"/>
                      <w:color w:val="1A1A1A"/>
                      <w:sz w:val="17"/>
                      <w:szCs w:val="17"/>
                    </w:rPr>
                    <w:t xml:space="preserve">IIA Estandar 11.1 — Los auditores internos deben poseer los conocimientos, habilidades y competencias necesarios. IIA Estandar 11.2 — Competencias colectivas del equipo de auditoria interna.</w:t>
                  </w:r>
                </w:p>
              </w:tc>
            </w:tr>
          </w:tbl>
          <w:p>
            <w:pPr>
              <w:spacing w:after="60" w:before="0"/>
            </w:pPr>
            <w:r>
              <w:t xml:space="preserve"/>
            </w:r>
          </w:p>
          <w:p>
            <w:pPr>
              <w:spacing w:after="40" w:before="0"/>
            </w:pPr>
            <w:r>
              <w:rPr>
                <w:rFonts w:ascii="Arial" w:cs="Arial" w:eastAsia="Arial" w:hAnsi="Arial"/>
                <w:b/>
                <w:bCs/>
                <w:color w:val="C25B10"/>
                <w:sz w:val="19"/>
                <w:szCs w:val="19"/>
              </w:rPr>
              <w:t xml:space="preserve">Condicion: </w:t>
            </w:r>
            <w:r>
              <w:rPr>
                <w:rFonts w:ascii="Arial" w:cs="Arial" w:eastAsia="Arial" w:hAnsi="Arial"/>
                <w:color w:val="1A1A1A"/>
                <w:sz w:val="19"/>
                <w:szCs w:val="19"/>
              </w:rPr>
              <w:t xml:space="preserve">El sistema asigna auditores a proyectos pero no verifica ni gestiona si tienen las competencias requeridas para el tipo de auditoria. Un auditor sin certificacion CISA no deberia liderar una auditoria de TI sin supervision adicional.</w:t>
            </w:r>
          </w:p>
          <w:p>
            <w:pPr>
              <w:spacing w:after="40" w:before="0"/>
            </w:pPr>
            <w:r>
              <w:rPr>
                <w:rFonts w:ascii="Arial" w:cs="Arial" w:eastAsia="Arial" w:hAnsi="Arial"/>
                <w:b/>
                <w:bCs/>
                <w:color w:val="C0392B"/>
                <w:sz w:val="19"/>
                <w:szCs w:val="19"/>
              </w:rPr>
              <w:t xml:space="preserve">Brecha identificada: </w:t>
            </w:r>
            <w:r>
              <w:rPr>
                <w:rFonts w:ascii="Arial" w:cs="Arial" w:eastAsia="Arial" w:hAnsi="Arial"/>
                <w:color w:val="1A1A1A"/>
                <w:sz w:val="19"/>
                <w:szCs w:val="19"/>
              </w:rPr>
              <w:t xml:space="preserve">El sistema puede asignar a cualquier usuario con rol AUDITOR a cualquier proyecto, independientemente de su expertise. Esto puede generar problemas de compliance con el Marco IIA y reducir la calidad del trabajo en auditorias especializadas.</w:t>
            </w:r>
          </w:p>
          <w:p>
            <w:pPr>
              <w:spacing w:after="0" w:before="40"/>
            </w:pPr>
            <w:r>
              <w:rPr>
                <w:rFonts w:ascii="Arial" w:cs="Arial" w:eastAsia="Arial" w:hAnsi="Arial"/>
                <w:b/>
                <w:bCs/>
                <w:color w:val="0F5C35"/>
                <w:sz w:val="19"/>
                <w:szCs w:val="19"/>
              </w:rPr>
              <w:t xml:space="preserve">Recomendacion: </w:t>
            </w:r>
            <w:r>
              <w:rPr>
                <w:rFonts w:ascii="Arial" w:cs="Arial" w:eastAsia="Arial" w:hAnsi="Arial"/>
                <w:color w:val="1A1A1A"/>
                <w:sz w:val="19"/>
                <w:szCs w:val="19"/>
              </w:rPr>
              <w:t xml:space="preserve">Agregar perfil de competencias por usuario: certificaciones (CIA, CISA, CFE, CPA), areas de expertise, horas de formacion continua. El sistema debe alertar cuando un proyecto especializado (TI, forense) no tiene un auditor con certificacion relevante en el equipo.</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50"/>
              <w:left w:type="dxa" w:w="220"/>
              <w:bottom w:type="dxa" w:w="15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320"/>
            </w:tblGrid>
            <w:tr>
              <w:tc>
                <w:tcPr>
                  <w:tcBorders>
                    <w:top w:val="none" w:color="FFFFFF" w:sz="0"/>
                    <w:left w:val="none" w:color="FFFFFF" w:sz="0"/>
                    <w:bottom w:val="none" w:color="FFFFFF" w:sz="0"/>
                    <w:right w:val="none" w:color="FFFFFF" w:sz="0"/>
                  </w:tcBorders>
                  <w:shd w:fill="C25B1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ALTO</w:t>
                  </w:r>
                </w:p>
                <w:p>
                  <w:pPr>
                    <w:spacing w:after="0" w:before="30"/>
                    <w:jc w:val="center"/>
                  </w:pPr>
                  <w:r>
                    <w:rPr>
                      <w:rFonts w:ascii="Arial" w:cs="Arial" w:eastAsia="Arial" w:hAnsi="Arial"/>
                      <w:color w:val="DDEEEE"/>
                      <w:sz w:val="16"/>
                      <w:szCs w:val="16"/>
                    </w:rPr>
                    <w:t xml:space="preserve">A-02</w:t>
                  </w:r>
                </w:p>
              </w:tc>
              <w:tc>
                <w:tcPr>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0F2D4A"/>
                      <w:sz w:val="21"/>
                      <w:szCs w:val="21"/>
                    </w:rPr>
                    <w:t xml:space="preserve">Programa de Aseguramiento y Mejora de la Calidad (QAIP) — Ausente</w:t>
                  </w:r>
                </w:p>
              </w:tc>
              <w:tc>
                <w:tcPr>
                  <w:tcBorders>
                    <w:top w:val="none" w:color="FFFFFF" w:sz="0"/>
                    <w:left w:val="none" w:color="FFFFFF" w:sz="0"/>
                    <w:bottom w:val="none" w:color="FFFFFF" w:sz="0"/>
                    <w:right w:val="none" w:color="FFFFFF" w:sz="0"/>
                  </w:tcBorders>
                  <w:shd w:fill="F4F6F9" w:val="clear"/>
                  <w:tcMar>
                    <w:top w:type="dxa" w:w="80"/>
                    <w:left w:type="dxa" w:w="140"/>
                    <w:bottom w:type="dxa" w:w="80"/>
                    <w:right w:type="dxa" w:w="140"/>
                  </w:tcMar>
                </w:tcPr>
                <w:p>
                  <w:pPr>
                    <w:jc w:val="center"/>
                  </w:pPr>
                  <w:r>
                    <w:rPr>
                      <w:rFonts w:ascii="Arial" w:cs="Arial" w:eastAsia="Arial" w:hAnsi="Arial"/>
                      <w:b/>
                      <w:bCs/>
                      <w:color w:val="4A4A4A"/>
                      <w:sz w:val="17"/>
                      <w:szCs w:val="17"/>
                    </w:rPr>
                    <w:t xml:space="preserve">Criterio:</w:t>
                  </w:r>
                </w:p>
                <w:p>
                  <w:pPr>
                    <w:jc w:val="center"/>
                  </w:pPr>
                  <w:r>
                    <w:rPr>
                      <w:rFonts w:ascii="Arial" w:cs="Arial" w:eastAsia="Arial" w:hAnsi="Arial"/>
                      <w:color w:val="1A1A1A"/>
                      <w:sz w:val="17"/>
                      <w:szCs w:val="17"/>
                    </w:rPr>
                    <w:t xml:space="preserve">IIA Estandar 15.1 — Programa de Aseguramiento y Mejora de la Calidad. IIA Estandar 15.2 — Evaluaciones Internas. IIA Estandar 15.3 — Evaluaciones Externas.</w:t>
                  </w:r>
                </w:p>
              </w:tc>
            </w:tr>
          </w:tbl>
          <w:p>
            <w:pPr>
              <w:spacing w:after="60" w:before="0"/>
            </w:pPr>
            <w:r>
              <w:t xml:space="preserve"/>
            </w:r>
          </w:p>
          <w:p>
            <w:pPr>
              <w:spacing w:after="40" w:before="0"/>
            </w:pPr>
            <w:r>
              <w:rPr>
                <w:rFonts w:ascii="Arial" w:cs="Arial" w:eastAsia="Arial" w:hAnsi="Arial"/>
                <w:b/>
                <w:bCs/>
                <w:color w:val="C25B10"/>
                <w:sz w:val="19"/>
                <w:szCs w:val="19"/>
              </w:rPr>
              <w:t xml:space="preserve">Condicion: </w:t>
            </w:r>
            <w:r>
              <w:rPr>
                <w:rFonts w:ascii="Arial" w:cs="Arial" w:eastAsia="Arial" w:hAnsi="Arial"/>
                <w:color w:val="1A1A1A"/>
                <w:sz w:val="19"/>
                <w:szCs w:val="19"/>
              </w:rPr>
              <w:t xml:space="preserve">El Marco IIA requiere que cada funcion de auditoria interna tenga un Programa de Aseguramiento y Mejora de la Calidad con evaluaciones internas continuas, evaluaciones internas periodicas y evaluaciones externas quinquenales. AuditMind no tiene ningun modulo para esto.</w:t>
            </w:r>
          </w:p>
          <w:p>
            <w:pPr>
              <w:spacing w:after="40" w:before="0"/>
            </w:pPr>
            <w:r>
              <w:rPr>
                <w:rFonts w:ascii="Arial" w:cs="Arial" w:eastAsia="Arial" w:hAnsi="Arial"/>
                <w:b/>
                <w:bCs/>
                <w:color w:val="C0392B"/>
                <w:sz w:val="19"/>
                <w:szCs w:val="19"/>
              </w:rPr>
              <w:t xml:space="preserve">Brecha identificada: </w:t>
            </w:r>
            <w:r>
              <w:rPr>
                <w:rFonts w:ascii="Arial" w:cs="Arial" w:eastAsia="Arial" w:hAnsi="Arial"/>
                <w:color w:val="1A1A1A"/>
                <w:sz w:val="19"/>
                <w:szCs w:val="19"/>
              </w:rPr>
              <w:t xml:space="preserve">Los departamentos de auditoria interna que implementen AuditMind no podran usar el sistema para gestionar su propio QAIP, lo que significa que necesitaran una herramienta adicional. Esto es una oportunidad perdida y una brecha competitiva vs. TeamMate+ que si incluye QAIP.</w:t>
            </w:r>
          </w:p>
          <w:p>
            <w:pPr>
              <w:spacing w:after="0" w:before="40"/>
            </w:pPr>
            <w:r>
              <w:rPr>
                <w:rFonts w:ascii="Arial" w:cs="Arial" w:eastAsia="Arial" w:hAnsi="Arial"/>
                <w:b/>
                <w:bCs/>
                <w:color w:val="0F5C35"/>
                <w:sz w:val="19"/>
                <w:szCs w:val="19"/>
              </w:rPr>
              <w:t xml:space="preserve">Recomendacion: </w:t>
            </w:r>
            <w:r>
              <w:rPr>
                <w:rFonts w:ascii="Arial" w:cs="Arial" w:eastAsia="Arial" w:hAnsi="Arial"/>
                <w:color w:val="1A1A1A"/>
                <w:sz w:val="19"/>
                <w:szCs w:val="19"/>
              </w:rPr>
              <w:t xml:space="preserve">Desarrollar Modulo QAIP: autoevaluacion de conformidad con los Estandares IIA, checklist de evaluacion interna continua, indicadores de efectividad de la funcion, repositorio de hallazgos de evaluaciones externas y planes de mejora.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50"/>
              <w:left w:type="dxa" w:w="220"/>
              <w:bottom w:type="dxa" w:w="15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320"/>
            </w:tblGrid>
            <w:tr>
              <w:tc>
                <w:tcPr>
                  <w:tcBorders>
                    <w:top w:val="none" w:color="FFFFFF" w:sz="0"/>
                    <w:left w:val="none" w:color="FFFFFF" w:sz="0"/>
                    <w:bottom w:val="none" w:color="FFFFFF" w:sz="0"/>
                    <w:right w:val="none" w:color="FFFFFF" w:sz="0"/>
                  </w:tcBorders>
                  <w:shd w:fill="C25B1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ALTO</w:t>
                  </w:r>
                </w:p>
                <w:p>
                  <w:pPr>
                    <w:spacing w:after="0" w:before="30"/>
                    <w:jc w:val="center"/>
                  </w:pPr>
                  <w:r>
                    <w:rPr>
                      <w:rFonts w:ascii="Arial" w:cs="Arial" w:eastAsia="Arial" w:hAnsi="Arial"/>
                      <w:color w:val="DDEEEE"/>
                      <w:sz w:val="16"/>
                      <w:szCs w:val="16"/>
                    </w:rPr>
                    <w:t xml:space="preserve">A-03</w:t>
                  </w:r>
                </w:p>
              </w:tc>
              <w:tc>
                <w:tcPr>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0F2D4A"/>
                      <w:sz w:val="21"/>
                      <w:szCs w:val="21"/>
                    </w:rPr>
                    <w:t xml:space="preserve">Auditoria de Desarrollo de Software y DevSecOps — No especificado</w:t>
                  </w:r>
                </w:p>
              </w:tc>
              <w:tc>
                <w:tcPr>
                  <w:tcBorders>
                    <w:top w:val="none" w:color="FFFFFF" w:sz="0"/>
                    <w:left w:val="none" w:color="FFFFFF" w:sz="0"/>
                    <w:bottom w:val="none" w:color="FFFFFF" w:sz="0"/>
                    <w:right w:val="none" w:color="FFFFFF" w:sz="0"/>
                  </w:tcBorders>
                  <w:shd w:fill="F4F6F9" w:val="clear"/>
                  <w:tcMar>
                    <w:top w:type="dxa" w:w="80"/>
                    <w:left w:type="dxa" w:w="140"/>
                    <w:bottom w:type="dxa" w:w="80"/>
                    <w:right w:type="dxa" w:w="140"/>
                  </w:tcMar>
                </w:tcPr>
                <w:p>
                  <w:pPr>
                    <w:jc w:val="center"/>
                  </w:pPr>
                  <w:r>
                    <w:rPr>
                      <w:rFonts w:ascii="Arial" w:cs="Arial" w:eastAsia="Arial" w:hAnsi="Arial"/>
                      <w:b/>
                      <w:bCs/>
                      <w:color w:val="4A4A4A"/>
                      <w:sz w:val="17"/>
                      <w:szCs w:val="17"/>
                    </w:rPr>
                    <w:t xml:space="preserve">Criterio:</w:t>
                  </w:r>
                </w:p>
                <w:p>
                  <w:pPr>
                    <w:jc w:val="center"/>
                  </w:pPr>
                  <w:r>
                    <w:rPr>
                      <w:rFonts w:ascii="Arial" w:cs="Arial" w:eastAsia="Arial" w:hAnsi="Arial"/>
                      <w:color w:val="1A1A1A"/>
                      <w:sz w:val="17"/>
                      <w:szCs w:val="17"/>
                    </w:rPr>
                    <w:t xml:space="preserve">NIST SP 800-218 — Secure Software Development Framework. OWASP Top 10. ISO 27034 — Seguridad en Aplicaciones. IIA GTAG 07 — Auditoria de Gestion de Riesgos de TI.</w:t>
                  </w:r>
                </w:p>
              </w:tc>
            </w:tr>
          </w:tbl>
          <w:p>
            <w:pPr>
              <w:spacing w:after="60" w:before="0"/>
            </w:pPr>
            <w:r>
              <w:t xml:space="preserve"/>
            </w:r>
          </w:p>
          <w:p>
            <w:pPr>
              <w:spacing w:after="40" w:before="0"/>
            </w:pPr>
            <w:r>
              <w:rPr>
                <w:rFonts w:ascii="Arial" w:cs="Arial" w:eastAsia="Arial" w:hAnsi="Arial"/>
                <w:b/>
                <w:bCs/>
                <w:color w:val="C25B10"/>
                <w:sz w:val="19"/>
                <w:szCs w:val="19"/>
              </w:rPr>
              <w:t xml:space="preserve">Condicion: </w:t>
            </w:r>
            <w:r>
              <w:rPr>
                <w:rFonts w:ascii="Arial" w:cs="Arial" w:eastAsia="Arial" w:hAnsi="Arial"/>
                <w:color w:val="1A1A1A"/>
                <w:sz w:val="19"/>
                <w:szCs w:val="19"/>
              </w:rPr>
              <w:t xml:space="preserve">El sistema menciona auditoria de TI pero no especifica procedimientos para auditar el ciclo de vida de desarrollo de software (SDLC), pipelines CI/CD, gestion de vulnerabilidades ni pruebas de seguridad de aplicaciones (DAST/SAST) — areas criticas segun NIST SP 800-218.</w:t>
            </w:r>
          </w:p>
          <w:p>
            <w:pPr>
              <w:spacing w:after="40" w:before="0"/>
            </w:pPr>
            <w:r>
              <w:rPr>
                <w:rFonts w:ascii="Arial" w:cs="Arial" w:eastAsia="Arial" w:hAnsi="Arial"/>
                <w:b/>
                <w:bCs/>
                <w:color w:val="C0392B"/>
                <w:sz w:val="19"/>
                <w:szCs w:val="19"/>
              </w:rPr>
              <w:t xml:space="preserve">Brecha identificada: </w:t>
            </w:r>
            <w:r>
              <w:rPr>
                <w:rFonts w:ascii="Arial" w:cs="Arial" w:eastAsia="Arial" w:hAnsi="Arial"/>
                <w:color w:val="1A1A1A"/>
                <w:sz w:val="19"/>
                <w:szCs w:val="19"/>
              </w:rPr>
              <w:t xml:space="preserve">Las organizaciones con equipos de desarrollo que adquieran AuditMind encontraran que el sistema no puede soportar auditorias de sus propios procesos de desarrollo, pipeline de deployment y gestion de configuracion — un area de riesgo de alto crecimiento.</w:t>
            </w:r>
          </w:p>
          <w:p>
            <w:pPr>
              <w:spacing w:after="0" w:before="40"/>
            </w:pPr>
            <w:r>
              <w:rPr>
                <w:rFonts w:ascii="Arial" w:cs="Arial" w:eastAsia="Arial" w:hAnsi="Arial"/>
                <w:b/>
                <w:bCs/>
                <w:color w:val="0F5C35"/>
                <w:sz w:val="19"/>
                <w:szCs w:val="19"/>
              </w:rPr>
              <w:t xml:space="preserve">Recomendacion: </w:t>
            </w:r>
            <w:r>
              <w:rPr>
                <w:rFonts w:ascii="Arial" w:cs="Arial" w:eastAsia="Arial" w:hAnsi="Arial"/>
                <w:color w:val="1A1A1A"/>
                <w:sz w:val="19"/>
                <w:szCs w:val="19"/>
              </w:rPr>
              <w:t xml:space="preserve">Agregar al Skill de TI: procedimientos SDLC (revision de requerimientos de seguridad, code review, pruebas). Checklist OWASP Top 10 para auditoria de aplicaciones web. Procedimientos de revision de pipelines CI/CD y gestion de secretos.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50"/>
              <w:left w:type="dxa" w:w="220"/>
              <w:bottom w:type="dxa" w:w="15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320"/>
            </w:tblGrid>
            <w:tr>
              <w:tc>
                <w:tcPr>
                  <w:tcBorders>
                    <w:top w:val="none" w:color="FFFFFF" w:sz="0"/>
                    <w:left w:val="none" w:color="FFFFFF" w:sz="0"/>
                    <w:bottom w:val="none" w:color="FFFFFF" w:sz="0"/>
                    <w:right w:val="none" w:color="FFFFFF" w:sz="0"/>
                  </w:tcBorders>
                  <w:shd w:fill="C25B1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ALTO</w:t>
                  </w:r>
                </w:p>
                <w:p>
                  <w:pPr>
                    <w:spacing w:after="0" w:before="30"/>
                    <w:jc w:val="center"/>
                  </w:pPr>
                  <w:r>
                    <w:rPr>
                      <w:rFonts w:ascii="Arial" w:cs="Arial" w:eastAsia="Arial" w:hAnsi="Arial"/>
                      <w:color w:val="DDEEEE"/>
                      <w:sz w:val="16"/>
                      <w:szCs w:val="16"/>
                    </w:rPr>
                    <w:t xml:space="preserve">A-04</w:t>
                  </w:r>
                </w:p>
              </w:tc>
              <w:tc>
                <w:tcPr>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0F2D4A"/>
                      <w:sz w:val="21"/>
                      <w:szCs w:val="21"/>
                    </w:rPr>
                    <w:t xml:space="preserve">Confirmaciones Externas y Circularizacion — Solo mencionada</w:t>
                  </w:r>
                </w:p>
              </w:tc>
              <w:tc>
                <w:tcPr>
                  <w:tcBorders>
                    <w:top w:val="none" w:color="FFFFFF" w:sz="0"/>
                    <w:left w:val="none" w:color="FFFFFF" w:sz="0"/>
                    <w:bottom w:val="none" w:color="FFFFFF" w:sz="0"/>
                    <w:right w:val="none" w:color="FFFFFF" w:sz="0"/>
                  </w:tcBorders>
                  <w:shd w:fill="F4F6F9" w:val="clear"/>
                  <w:tcMar>
                    <w:top w:type="dxa" w:w="80"/>
                    <w:left w:type="dxa" w:w="140"/>
                    <w:bottom w:type="dxa" w:w="80"/>
                    <w:right w:type="dxa" w:w="140"/>
                  </w:tcMar>
                </w:tcPr>
                <w:p>
                  <w:pPr>
                    <w:jc w:val="center"/>
                  </w:pPr>
                  <w:r>
                    <w:rPr>
                      <w:rFonts w:ascii="Arial" w:cs="Arial" w:eastAsia="Arial" w:hAnsi="Arial"/>
                      <w:b/>
                      <w:bCs/>
                      <w:color w:val="4A4A4A"/>
                      <w:sz w:val="17"/>
                      <w:szCs w:val="17"/>
                    </w:rPr>
                    <w:t xml:space="preserve">Criterio:</w:t>
                  </w:r>
                </w:p>
                <w:p>
                  <w:pPr>
                    <w:jc w:val="center"/>
                  </w:pPr>
                  <w:r>
                    <w:rPr>
                      <w:rFonts w:ascii="Arial" w:cs="Arial" w:eastAsia="Arial" w:hAnsi="Arial"/>
                      <w:color w:val="1A1A1A"/>
                      <w:sz w:val="17"/>
                      <w:szCs w:val="17"/>
                    </w:rPr>
                    <w:t xml:space="preserve">NIA 505 / ISA 505 — Confirmaciones Externas. NIA 330 — Respuestas del Auditor a los Riesgos Evaluados. Seccion AU-C 505 del AICPA.</w:t>
                  </w:r>
                </w:p>
              </w:tc>
            </w:tr>
          </w:tbl>
          <w:p>
            <w:pPr>
              <w:spacing w:after="60" w:before="0"/>
            </w:pPr>
            <w:r>
              <w:t xml:space="preserve"/>
            </w:r>
          </w:p>
          <w:p>
            <w:pPr>
              <w:spacing w:after="40" w:before="0"/>
            </w:pPr>
            <w:r>
              <w:rPr>
                <w:rFonts w:ascii="Arial" w:cs="Arial" w:eastAsia="Arial" w:hAnsi="Arial"/>
                <w:b/>
                <w:bCs/>
                <w:color w:val="C25B10"/>
                <w:sz w:val="19"/>
                <w:szCs w:val="19"/>
              </w:rPr>
              <w:t xml:space="preserve">Condicion: </w:t>
            </w:r>
            <w:r>
              <w:rPr>
                <w:rFonts w:ascii="Arial" w:cs="Arial" w:eastAsia="Arial" w:hAnsi="Arial"/>
                <w:color w:val="1A1A1A"/>
                <w:sz w:val="19"/>
                <w:szCs w:val="19"/>
              </w:rPr>
              <w:t xml:space="preserve">El sistema menciona 'confirmacion de terceros' en la biblioteca de plantillas pero no tiene un modulo estructurado para gestionar el proceso completo de circularizacion de saldos — procedimiento obligatorio en auditoria financiera para cuentas por cobrar, bancos y abogados.</w:t>
            </w:r>
          </w:p>
          <w:p>
            <w:pPr>
              <w:spacing w:after="40" w:before="0"/>
            </w:pPr>
            <w:r>
              <w:rPr>
                <w:rFonts w:ascii="Arial" w:cs="Arial" w:eastAsia="Arial" w:hAnsi="Arial"/>
                <w:b/>
                <w:bCs/>
                <w:color w:val="C0392B"/>
                <w:sz w:val="19"/>
                <w:szCs w:val="19"/>
              </w:rPr>
              <w:t xml:space="preserve">Brecha identificada: </w:t>
            </w:r>
            <w:r>
              <w:rPr>
                <w:rFonts w:ascii="Arial" w:cs="Arial" w:eastAsia="Arial" w:hAnsi="Arial"/>
                <w:color w:val="1A1A1A"/>
                <w:sz w:val="19"/>
                <w:szCs w:val="19"/>
              </w:rPr>
              <w:t xml:space="preserve">Sin un modulo de confirmaciones externas, los auditores financieros deben gestionar el proceso de circularizacion fuera del sistema (correo, Excel), lo que rompe la trazabilidad del expediente y es una debilidad metodologica significativa.</w:t>
            </w:r>
          </w:p>
          <w:p>
            <w:pPr>
              <w:spacing w:after="0" w:before="40"/>
            </w:pPr>
            <w:r>
              <w:rPr>
                <w:rFonts w:ascii="Arial" w:cs="Arial" w:eastAsia="Arial" w:hAnsi="Arial"/>
                <w:b/>
                <w:bCs/>
                <w:color w:val="0F5C35"/>
                <w:sz w:val="19"/>
                <w:szCs w:val="19"/>
              </w:rPr>
              <w:t xml:space="preserve">Recomendacion: </w:t>
            </w:r>
            <w:r>
              <w:rPr>
                <w:rFonts w:ascii="Arial" w:cs="Arial" w:eastAsia="Arial" w:hAnsi="Arial"/>
                <w:color w:val="1A1A1A"/>
                <w:sz w:val="19"/>
                <w:szCs w:val="19"/>
              </w:rPr>
              <w:t xml:space="preserve">Desarrollar sub-modulo de Confirmaciones Externas: generacion de cartas de confirmacion parametrizables (bancos, clientes, abogados, proveedores), registro de envio y recepcion, seguimiento de no respuestas, procedimientos alternativos cuando no hay respuesta, conciliacion de diferencias.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50"/>
              <w:left w:type="dxa" w:w="220"/>
              <w:bottom w:type="dxa" w:w="15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320"/>
            </w:tblGrid>
            <w:tr>
              <w:tc>
                <w:tcPr>
                  <w:tcBorders>
                    <w:top w:val="none" w:color="FFFFFF" w:sz="0"/>
                    <w:left w:val="none" w:color="FFFFFF" w:sz="0"/>
                    <w:bottom w:val="none" w:color="FFFFFF" w:sz="0"/>
                    <w:right w:val="none" w:color="FFFFFF" w:sz="0"/>
                  </w:tcBorders>
                  <w:shd w:fill="B8860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MEDIO</w:t>
                  </w:r>
                </w:p>
                <w:p>
                  <w:pPr>
                    <w:spacing w:after="0" w:before="30"/>
                    <w:jc w:val="center"/>
                  </w:pPr>
                  <w:r>
                    <w:rPr>
                      <w:rFonts w:ascii="Arial" w:cs="Arial" w:eastAsia="Arial" w:hAnsi="Arial"/>
                      <w:color w:val="DDEEEE"/>
                      <w:sz w:val="16"/>
                      <w:szCs w:val="16"/>
                    </w:rPr>
                    <w:t xml:space="preserve">M-01</w:t>
                  </w:r>
                </w:p>
              </w:tc>
              <w:tc>
                <w:tcPr>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0F2D4A"/>
                      <w:sz w:val="21"/>
                      <w:szCs w:val="21"/>
                    </w:rPr>
                    <w:t xml:space="preserve">Gestion de Excepciones a la Normativa — No implementada</w:t>
                  </w:r>
                </w:p>
              </w:tc>
              <w:tc>
                <w:tcPr>
                  <w:tcBorders>
                    <w:top w:val="none" w:color="FFFFFF" w:sz="0"/>
                    <w:left w:val="none" w:color="FFFFFF" w:sz="0"/>
                    <w:bottom w:val="none" w:color="FFFFFF" w:sz="0"/>
                    <w:right w:val="none" w:color="FFFFFF" w:sz="0"/>
                  </w:tcBorders>
                  <w:shd w:fill="F4F6F9" w:val="clear"/>
                  <w:tcMar>
                    <w:top w:type="dxa" w:w="80"/>
                    <w:left w:type="dxa" w:w="140"/>
                    <w:bottom w:type="dxa" w:w="80"/>
                    <w:right w:type="dxa" w:w="140"/>
                  </w:tcMar>
                </w:tcPr>
                <w:p>
                  <w:pPr>
                    <w:jc w:val="center"/>
                  </w:pPr>
                  <w:r>
                    <w:rPr>
                      <w:rFonts w:ascii="Arial" w:cs="Arial" w:eastAsia="Arial" w:hAnsi="Arial"/>
                      <w:b/>
                      <w:bCs/>
                      <w:color w:val="4A4A4A"/>
                      <w:sz w:val="17"/>
                      <w:szCs w:val="17"/>
                    </w:rPr>
                    <w:t xml:space="preserve">Criterio:</w:t>
                  </w:r>
                </w:p>
                <w:p>
                  <w:pPr>
                    <w:jc w:val="center"/>
                  </w:pPr>
                  <w:r>
                    <w:rPr>
                      <w:rFonts w:ascii="Arial" w:cs="Arial" w:eastAsia="Arial" w:hAnsi="Arial"/>
                      <w:color w:val="1A1A1A"/>
                      <w:sz w:val="17"/>
                      <w:szCs w:val="17"/>
                    </w:rPr>
                    <w:t xml:space="preserve">Marco IIA — Principio de Conformidad. COSO 2013 — Componente de Actividades de Control, Principio 11: Seleccion y Desarrollo de Controles Generales de Tecnologia.</w:t>
                  </w:r>
                </w:p>
              </w:tc>
            </w:tr>
          </w:tbl>
          <w:p>
            <w:pPr>
              <w:spacing w:after="60" w:before="0"/>
            </w:pPr>
            <w:r>
              <w:t xml:space="preserve"/>
            </w:r>
          </w:p>
          <w:p>
            <w:pPr>
              <w:spacing w:after="40" w:before="0"/>
            </w:pPr>
            <w:r>
              <w:rPr>
                <w:rFonts w:ascii="Arial" w:cs="Arial" w:eastAsia="Arial" w:hAnsi="Arial"/>
                <w:b/>
                <w:bCs/>
                <w:color w:val="B8860B"/>
                <w:sz w:val="19"/>
                <w:szCs w:val="19"/>
              </w:rPr>
              <w:t xml:space="preserve">Condicion: </w:t>
            </w:r>
            <w:r>
              <w:rPr>
                <w:rFonts w:ascii="Arial" w:cs="Arial" w:eastAsia="Arial" w:hAnsi="Arial"/>
                <w:color w:val="1A1A1A"/>
                <w:sz w:val="19"/>
                <w:szCs w:val="19"/>
              </w:rPr>
              <w:t xml:space="preserve">Cuando una organizacion tiene una excepcion aprobada a una norma interna o regulacion, el sistema no tiene mecanismo para registrarla, documentar la aprobacion de la excepcion y excluirla del analisis de compliance sin que genere un hallazgo falso.</w:t>
            </w:r>
          </w:p>
          <w:p>
            <w:pPr>
              <w:spacing w:after="40" w:before="0"/>
            </w:pPr>
            <w:r>
              <w:rPr>
                <w:rFonts w:ascii="Arial" w:cs="Arial" w:eastAsia="Arial" w:hAnsi="Arial"/>
                <w:b/>
                <w:bCs/>
                <w:color w:val="C0392B"/>
                <w:sz w:val="19"/>
                <w:szCs w:val="19"/>
              </w:rPr>
              <w:t xml:space="preserve">Brecha identificada: </w:t>
            </w:r>
            <w:r>
              <w:rPr>
                <w:rFonts w:ascii="Arial" w:cs="Arial" w:eastAsia="Arial" w:hAnsi="Arial"/>
                <w:color w:val="1A1A1A"/>
                <w:sz w:val="19"/>
                <w:szCs w:val="19"/>
              </w:rPr>
              <w:t xml:space="preserve">El sistema generara hallazgos incorrectos cuando audite areas con excepciones aprobadas validas, reduciendo la confianza del auditado en el sistema y requiriendo trabajo manual de depuracion por parte del auditor.</w:t>
            </w:r>
          </w:p>
          <w:p>
            <w:pPr>
              <w:spacing w:after="0" w:before="40"/>
            </w:pPr>
            <w:r>
              <w:rPr>
                <w:rFonts w:ascii="Arial" w:cs="Arial" w:eastAsia="Arial" w:hAnsi="Arial"/>
                <w:b/>
                <w:bCs/>
                <w:color w:val="0F5C35"/>
                <w:sz w:val="19"/>
                <w:szCs w:val="19"/>
              </w:rPr>
              <w:t xml:space="preserve">Recomendacion: </w:t>
            </w:r>
            <w:r>
              <w:rPr>
                <w:rFonts w:ascii="Arial" w:cs="Arial" w:eastAsia="Arial" w:hAnsi="Arial"/>
                <w:color w:val="1A1A1A"/>
                <w:sz w:val="19"/>
                <w:szCs w:val="19"/>
              </w:rPr>
              <w:t xml:space="preserve">Agregar Registro de Excepciones vinculado a la Base Normativa: excepcion aprobada, autoridad que la aprobo, fecha de vencimiento, condiciones. El motor de analytics y el asistente IA deben consultar este registro antes de generar hallazgos.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8860B" w:sz="1"/>
              <w:left w:val="single" w:color="B8860B" w:sz="1"/>
              <w:bottom w:val="single" w:color="B8860B" w:sz="1"/>
              <w:right w:val="single" w:color="B8860B" w:sz="1"/>
            </w:tcBorders>
            <w:shd w:fill="FDF6DC" w:val="clear"/>
            <w:tcMar>
              <w:top w:type="dxa" w:w="150"/>
              <w:left w:type="dxa" w:w="220"/>
              <w:bottom w:type="dxa" w:w="150"/>
              <w:right w:type="dxa" w:w="220"/>
            </w:tcMar>
          </w:tcPr>
          <w:tbl>
            <w:tblPr>
              <w:tblW w:type="dxa" w:w="892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320"/>
            </w:tblGrid>
            <w:tr>
              <w:tc>
                <w:tcPr>
                  <w:tcBorders>
                    <w:top w:val="none" w:color="FFFFFF" w:sz="0"/>
                    <w:left w:val="none" w:color="FFFFFF" w:sz="0"/>
                    <w:bottom w:val="none" w:color="FFFFFF" w:sz="0"/>
                    <w:right w:val="none" w:color="FFFFFF" w:sz="0"/>
                  </w:tcBorders>
                  <w:shd w:fill="B8860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MEDIO</w:t>
                  </w:r>
                </w:p>
                <w:p>
                  <w:pPr>
                    <w:spacing w:after="0" w:before="30"/>
                    <w:jc w:val="center"/>
                  </w:pPr>
                  <w:r>
                    <w:rPr>
                      <w:rFonts w:ascii="Arial" w:cs="Arial" w:eastAsia="Arial" w:hAnsi="Arial"/>
                      <w:color w:val="DDEEEE"/>
                      <w:sz w:val="16"/>
                      <w:szCs w:val="16"/>
                    </w:rPr>
                    <w:t xml:space="preserve">M-02</w:t>
                  </w:r>
                </w:p>
              </w:tc>
              <w:tc>
                <w:tcPr>
                  <w:tcBorders>
                    <w:top w:val="none" w:color="FFFFFF" w:sz="0"/>
                    <w:left w:val="none" w:color="FFFFFF" w:sz="0"/>
                    <w:bottom w:val="none" w:color="FFFFFF" w:sz="0"/>
                    <w:right w:val="none" w:color="FFFFFF" w:sz="0"/>
                  </w:tcBorders>
                  <w:tcMar>
                    <w:top w:type="dxa" w:w="80"/>
                    <w:left w:type="dxa" w:w="140"/>
                    <w:bottom w:type="dxa" w:w="80"/>
                    <w:right w:type="dxa" w:w="140"/>
                  </w:tcMar>
                </w:tcPr>
                <w:p>
                  <w:r>
                    <w:rPr>
                      <w:rFonts w:ascii="Arial" w:cs="Arial" w:eastAsia="Arial" w:hAnsi="Arial"/>
                      <w:b/>
                      <w:bCs/>
                      <w:color w:val="0F2D4A"/>
                      <w:sz w:val="21"/>
                      <w:szCs w:val="21"/>
                    </w:rPr>
                    <w:t xml:space="preserve">Auditoria Forense — Protocolo de Investigacion Incompleto</w:t>
                  </w:r>
                </w:p>
              </w:tc>
              <w:tc>
                <w:tcPr>
                  <w:tcBorders>
                    <w:top w:val="none" w:color="FFFFFF" w:sz="0"/>
                    <w:left w:val="none" w:color="FFFFFF" w:sz="0"/>
                    <w:bottom w:val="none" w:color="FFFFFF" w:sz="0"/>
                    <w:right w:val="none" w:color="FFFFFF" w:sz="0"/>
                  </w:tcBorders>
                  <w:shd w:fill="F4F6F9" w:val="clear"/>
                  <w:tcMar>
                    <w:top w:type="dxa" w:w="80"/>
                    <w:left w:type="dxa" w:w="140"/>
                    <w:bottom w:type="dxa" w:w="80"/>
                    <w:right w:type="dxa" w:w="140"/>
                  </w:tcMar>
                </w:tcPr>
                <w:p>
                  <w:pPr>
                    <w:jc w:val="center"/>
                  </w:pPr>
                  <w:r>
                    <w:rPr>
                      <w:rFonts w:ascii="Arial" w:cs="Arial" w:eastAsia="Arial" w:hAnsi="Arial"/>
                      <w:b/>
                      <w:bCs/>
                      <w:color w:val="4A4A4A"/>
                      <w:sz w:val="17"/>
                      <w:szCs w:val="17"/>
                    </w:rPr>
                    <w:t xml:space="preserve">Criterio:</w:t>
                  </w:r>
                </w:p>
                <w:p>
                  <w:pPr>
                    <w:jc w:val="center"/>
                  </w:pPr>
                  <w:r>
                    <w:rPr>
                      <w:rFonts w:ascii="Arial" w:cs="Arial" w:eastAsia="Arial" w:hAnsi="Arial"/>
                      <w:color w:val="1A1A1A"/>
                      <w:sz w:val="17"/>
                      <w:szCs w:val="17"/>
                    </w:rPr>
                    <w:t xml:space="preserve">Estandares ACFE de Investigacion de Fraude. NIST SP 800-86 — Guia para Integracion de Tecnicas Forenses. IIA Estandar 9.3 — Cobertura de Riesgos Significativos.</w:t>
                  </w:r>
                </w:p>
              </w:tc>
            </w:tr>
          </w:tbl>
          <w:p>
            <w:pPr>
              <w:spacing w:after="60" w:before="0"/>
            </w:pPr>
            <w:r>
              <w:t xml:space="preserve"/>
            </w:r>
          </w:p>
          <w:p>
            <w:pPr>
              <w:spacing w:after="40" w:before="0"/>
            </w:pPr>
            <w:r>
              <w:rPr>
                <w:rFonts w:ascii="Arial" w:cs="Arial" w:eastAsia="Arial" w:hAnsi="Arial"/>
                <w:b/>
                <w:bCs/>
                <w:color w:val="B8860B"/>
                <w:sz w:val="19"/>
                <w:szCs w:val="19"/>
              </w:rPr>
              <w:t xml:space="preserve">Condicion: </w:t>
            </w:r>
            <w:r>
              <w:rPr>
                <w:rFonts w:ascii="Arial" w:cs="Arial" w:eastAsia="Arial" w:hAnsi="Arial"/>
                <w:color w:val="1A1A1A"/>
                <w:sz w:val="19"/>
                <w:szCs w:val="19"/>
              </w:rPr>
              <w:t xml:space="preserve">El Skill de Prevencion de Fraude menciona 'cadena de custodia digital' y 'tecnicas de investigacion forense' pero no especifica el protocolo completo de una investigacion especial, que es metodologicamente distinto a una auditoria regular.</w:t>
            </w:r>
          </w:p>
          <w:p>
            <w:pPr>
              <w:spacing w:after="40" w:before="0"/>
            </w:pPr>
            <w:r>
              <w:rPr>
                <w:rFonts w:ascii="Arial" w:cs="Arial" w:eastAsia="Arial" w:hAnsi="Arial"/>
                <w:b/>
                <w:bCs/>
                <w:color w:val="C0392B"/>
                <w:sz w:val="19"/>
                <w:szCs w:val="19"/>
              </w:rPr>
              <w:t xml:space="preserve">Brecha identificada: </w:t>
            </w:r>
            <w:r>
              <w:rPr>
                <w:rFonts w:ascii="Arial" w:cs="Arial" w:eastAsia="Arial" w:hAnsi="Arial"/>
                <w:color w:val="1A1A1A"/>
                <w:sz w:val="19"/>
                <w:szCs w:val="19"/>
              </w:rPr>
              <w:t xml:space="preserve">Una investigacion especial (presunto fraude, malversacion) tiene requisitos de documentacion, confidencialidad, preservacion de evidencia y comunicacion radicalmente distintos a una auditoria regular. El sistema actual trataria ambas situaciones con el mismo flujo de trabajo.</w:t>
            </w:r>
          </w:p>
          <w:p>
            <w:pPr>
              <w:spacing w:after="0" w:before="40"/>
            </w:pPr>
            <w:r>
              <w:rPr>
                <w:rFonts w:ascii="Arial" w:cs="Arial" w:eastAsia="Arial" w:hAnsi="Arial"/>
                <w:b/>
                <w:bCs/>
                <w:color w:val="0F5C35"/>
                <w:sz w:val="19"/>
                <w:szCs w:val="19"/>
              </w:rPr>
              <w:t xml:space="preserve">Recomendacion: </w:t>
            </w:r>
            <w:r>
              <w:rPr>
                <w:rFonts w:ascii="Arial" w:cs="Arial" w:eastAsia="Arial" w:hAnsi="Arial"/>
                <w:color w:val="1A1A1A"/>
                <w:sz w:val="19"/>
                <w:szCs w:val="19"/>
              </w:rPr>
              <w:t xml:space="preserve">Desarrollar modo Investigacion Especial: acceso restringido solo al CAE y al equipo de investigacion, protocolo de cadena de custodia con hash de archivos, comunicacion cifrada del equipo, prohibicion de notificaciones automaticas al auditado, informe de investigacion con estructura forense.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5B2D91"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IV  </w:t>
            </w:r>
            <w:r>
              <w:rPr>
                <w:rFonts w:ascii="Arial" w:cs="Arial" w:eastAsia="Arial" w:hAnsi="Arial"/>
                <w:b/>
                <w:bCs/>
                <w:color w:val="FFFFFF"/>
                <w:sz w:val="32"/>
                <w:szCs w:val="32"/>
              </w:rPr>
              <w:t xml:space="preserve">BRECHAS TECNICAS DE SEGURIDAD Y COMPLIANCE</w:t>
            </w:r>
          </w:p>
          <w:p>
            <w:r>
              <w:rPr>
                <w:rFonts w:ascii="Arial" w:cs="Arial" w:eastAsia="Arial" w:hAnsi="Arial"/>
                <w:i/>
                <w:iCs/>
                <w:color w:val="BBD4EE"/>
                <w:sz w:val="19"/>
                <w:szCs w:val="19"/>
              </w:rPr>
              <w:t xml:space="preserve">Evaluacion desde ISO 27001:2022 y marcos de ciberseguridad</w:t>
            </w:r>
          </w:p>
        </w:tc>
      </w:tr>
    </w:tbl>
    <w:p>
      <w:pPr>
        <w:spacing w:after="120" w:before="0"/>
      </w:pPr>
      <w:r>
        <w:t xml:space="preserve"/>
      </w:r>
    </w:p>
    <w:p>
      <w:pPr>
        <w:pStyle w:val="Heading2"/>
        <w:spacing w:after="120" w:before="260"/>
      </w:pPr>
      <w:r>
        <w:rPr>
          <w:rFonts w:ascii="Arial" w:cs="Arial" w:eastAsia="Arial" w:hAnsi="Arial"/>
          <w:b/>
          <w:bCs/>
          <w:color w:val="1B5FA8"/>
          <w:sz w:val="28"/>
          <w:szCs w:val="28"/>
        </w:rPr>
        <w:t xml:space="preserve">T-01. Gestion de Vulnerabilidades del Producto — No especificada</w:t>
      </w:r>
    </w:p>
    <w:p>
      <w:pPr>
        <w:spacing w:after="80" w:before="55"/>
        <w:jc w:val="both"/>
      </w:pPr>
      <w:r>
        <w:rPr>
          <w:rFonts w:ascii="Arial" w:cs="Arial" w:eastAsia="Arial" w:hAnsi="Arial"/>
          <w:color w:val="1A1A1A"/>
          <w:sz w:val="21"/>
          <w:szCs w:val="21"/>
        </w:rPr>
        <w:t xml:space="preserve">El documento de diseno define la seguridad de los datos de los clientes (RLS, cifrado, SOC2) pero no especifica como AuditMind gestiona las vulnerabilidades de seguridad de su propio software. Para una plataforma que maneja datos confidenciales de auditoria, esto es un gap critico.</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91" w:sz="1"/>
              <w:left w:val="single" w:color="5B2D91" w:sz="1"/>
              <w:bottom w:val="single" w:color="5B2D91" w:sz="1"/>
              <w:right w:val="single" w:color="5B2D91" w:sz="1"/>
            </w:tcBorders>
            <w:shd w:fill="EDE4F7" w:val="clear"/>
            <w:tcMar>
              <w:top w:type="dxa" w:w="160"/>
              <w:left w:type="dxa" w:w="220"/>
              <w:bottom w:type="dxa" w:w="160"/>
              <w:right w:type="dxa" w:w="220"/>
            </w:tcMar>
          </w:tcPr>
          <w:p>
            <w:pPr>
              <w:spacing w:after="70" w:before="0"/>
            </w:pPr>
            <w:r>
              <w:rPr>
                <w:rFonts w:ascii="Arial" w:cs="Arial" w:eastAsia="Arial" w:hAnsi="Arial"/>
                <w:b/>
                <w:bCs/>
                <w:color w:val="5B2D91"/>
                <w:sz w:val="19"/>
                <w:szCs w:val="19"/>
              </w:rPr>
              <w:t xml:space="preserve">Lo que falta segun ISO 27001:2022 Anexo A:</w:t>
            </w:r>
          </w:p>
          <w:p>
            <w:pPr>
              <w:pStyle w:val="ListParagraph"/>
              <w:numPr>
                <w:ilvl w:val="0"/>
                <w:numId w:val="2"/>
              </w:numPr>
              <w:spacing w:after="45" w:before="45"/>
            </w:pPr>
            <w:r>
              <w:rPr>
                <w:rFonts w:ascii="Arial" w:cs="Arial" w:eastAsia="Arial" w:hAnsi="Arial"/>
                <w:color w:val="1A1A1A"/>
                <w:sz w:val="20"/>
                <w:szCs w:val="20"/>
              </w:rPr>
              <w:t xml:space="preserve">A.8.8 Gestion de vulnerabilidades tecnicas: proceso formal de escaneo, priorización y remediacion de vulnerabilidades en el codigo y la infraestructura</w:t>
            </w:r>
          </w:p>
          <w:p>
            <w:pPr>
              <w:pStyle w:val="ListParagraph"/>
              <w:numPr>
                <w:ilvl w:val="0"/>
                <w:numId w:val="2"/>
              </w:numPr>
              <w:spacing w:after="45" w:before="45"/>
            </w:pPr>
            <w:r>
              <w:rPr>
                <w:rFonts w:ascii="Arial" w:cs="Arial" w:eastAsia="Arial" w:hAnsi="Arial"/>
                <w:color w:val="1A1A1A"/>
                <w:sz w:val="20"/>
                <w:szCs w:val="20"/>
              </w:rPr>
              <w:t xml:space="preserve">A.8.25 Ciclo de vida de desarrollo seguro: requisitos de seguridad en cada fase del SDLC de AuditMind mismo</w:t>
            </w:r>
          </w:p>
          <w:p>
            <w:pPr>
              <w:pStyle w:val="ListParagraph"/>
              <w:numPr>
                <w:ilvl w:val="0"/>
                <w:numId w:val="2"/>
              </w:numPr>
              <w:spacing w:after="45" w:before="45"/>
            </w:pPr>
            <w:r>
              <w:rPr>
                <w:rFonts w:ascii="Arial" w:cs="Arial" w:eastAsia="Arial" w:hAnsi="Arial"/>
                <w:color w:val="1A1A1A"/>
                <w:sz w:val="20"/>
                <w:szCs w:val="20"/>
              </w:rPr>
              <w:t xml:space="preserve">A.8.29 Pruebas de seguridad en desarrollo: SAST/DAST automatizado en el pipeline CI/CD del producto</w:t>
            </w:r>
          </w:p>
          <w:p>
            <w:pPr>
              <w:pStyle w:val="ListParagraph"/>
              <w:numPr>
                <w:ilvl w:val="0"/>
                <w:numId w:val="2"/>
              </w:numPr>
              <w:spacing w:after="45" w:before="45"/>
            </w:pPr>
            <w:r>
              <w:rPr>
                <w:rFonts w:ascii="Arial" w:cs="Arial" w:eastAsia="Arial" w:hAnsi="Arial"/>
                <w:color w:val="1A1A1A"/>
                <w:sz w:val="20"/>
                <w:szCs w:val="20"/>
              </w:rPr>
              <w:t xml:space="preserve">A.5.23 Seguridad de la informacion para uso de servicios en la nube: politica documentada para el uso de Supabase, AWS, APIs de IA con datos del cliente</w:t>
            </w:r>
          </w:p>
          <w:p>
            <w:pPr>
              <w:pStyle w:val="ListParagraph"/>
              <w:numPr>
                <w:ilvl w:val="0"/>
                <w:numId w:val="2"/>
              </w:numPr>
              <w:spacing w:after="45" w:before="45"/>
            </w:pPr>
            <w:r>
              <w:rPr>
                <w:rFonts w:ascii="Arial" w:cs="Arial" w:eastAsia="Arial" w:hAnsi="Arial"/>
                <w:color w:val="1A1A1A"/>
                <w:sz w:val="20"/>
                <w:szCs w:val="20"/>
              </w:rPr>
              <w:t xml:space="preserve">Programa de Bug Bounty o Pentest anual: no mencionado — requerido para clientes enterprise y regulados</w:t>
            </w:r>
          </w:p>
        </w:tc>
      </w:tr>
    </w:tbl>
    <w:p>
      <w:pPr>
        <w:spacing w:after="100" w:before="0"/>
      </w:pPr>
      <w:r>
        <w:t xml:space="preserve"/>
      </w:r>
    </w:p>
    <w:p>
      <w:pPr>
        <w:pStyle w:val="Heading2"/>
        <w:spacing w:after="120" w:before="260"/>
      </w:pPr>
      <w:r>
        <w:rPr>
          <w:rFonts w:ascii="Arial" w:cs="Arial" w:eastAsia="Arial" w:hAnsi="Arial"/>
          <w:b/>
          <w:bCs/>
          <w:color w:val="1B5FA8"/>
          <w:sz w:val="28"/>
          <w:szCs w:val="28"/>
        </w:rPr>
        <w:t xml:space="preserve">T-02. Gestion de Acceso Privilegiado (PAM) — Basica</w:t>
      </w:r>
    </w:p>
    <w:p>
      <w:pPr>
        <w:spacing w:after="80" w:before="55"/>
        <w:jc w:val="both"/>
      </w:pPr>
      <w:r>
        <w:rPr>
          <w:rFonts w:ascii="Arial" w:cs="Arial" w:eastAsia="Arial" w:hAnsi="Arial"/>
          <w:color w:val="1A1A1A"/>
          <w:sz w:val="21"/>
          <w:szCs w:val="21"/>
        </w:rPr>
        <w:t xml:space="preserve">El sistema implementa RBAC con 8 roles, que es correcto. Sin embargo, no especifica controles para el acceso mas critico: el Super Admin que puede ver datos de todos los tenants.</w:t>
      </w:r>
    </w:p>
    <w:p>
      <w:pPr>
        <w:spacing w:after="60" w:before="0"/>
      </w:pPr>
      <w:r>
        <w:t xml:space="preserve"/>
      </w:r>
    </w:p>
    <w:p>
      <w:pPr>
        <w:pStyle w:val="ListParagraph"/>
        <w:numPr>
          <w:ilvl w:val="0"/>
          <w:numId w:val="2"/>
        </w:numPr>
        <w:spacing w:after="45" w:before="45"/>
      </w:pPr>
      <w:r>
        <w:rPr>
          <w:rFonts w:ascii="Arial" w:cs="Arial" w:eastAsia="Arial" w:hAnsi="Arial"/>
          <w:color w:val="1A1A1A"/>
          <w:sz w:val="20"/>
          <w:szCs w:val="20"/>
        </w:rPr>
        <w:t xml:space="preserve">No se menciona Just-In-Time (JIT) access para el Super Admin — el acceso debe ser temporal y aprobado, no permanente</w:t>
      </w:r>
    </w:p>
    <w:p>
      <w:pPr>
        <w:pStyle w:val="ListParagraph"/>
        <w:numPr>
          <w:ilvl w:val="0"/>
          <w:numId w:val="2"/>
        </w:numPr>
        <w:spacing w:after="45" w:before="45"/>
      </w:pPr>
      <w:r>
        <w:rPr>
          <w:rFonts w:ascii="Arial" w:cs="Arial" w:eastAsia="Arial" w:hAnsi="Arial"/>
          <w:color w:val="1A1A1A"/>
          <w:sz w:val="20"/>
          <w:szCs w:val="20"/>
        </w:rPr>
        <w:t xml:space="preserve">No hay sesiones privilegiadas grabadas: cuando el Super Admin accede, la sesion debe quedar grabada para auditoria posterior</w:t>
      </w:r>
    </w:p>
    <w:p>
      <w:pPr>
        <w:pStyle w:val="ListParagraph"/>
        <w:numPr>
          <w:ilvl w:val="0"/>
          <w:numId w:val="2"/>
        </w:numPr>
        <w:spacing w:after="45" w:before="45"/>
      </w:pPr>
      <w:r>
        <w:rPr>
          <w:rFonts w:ascii="Arial" w:cs="Arial" w:eastAsia="Arial" w:hAnsi="Arial"/>
          <w:color w:val="1A1A1A"/>
          <w:sz w:val="20"/>
          <w:szCs w:val="20"/>
        </w:rPr>
        <w:t xml:space="preserve">No se menciona separacion de funciones entre el DBA de Supabase y el Super Admin de la aplicacion</w:t>
      </w:r>
    </w:p>
    <w:p>
      <w:pPr>
        <w:pStyle w:val="ListParagraph"/>
        <w:numPr>
          <w:ilvl w:val="0"/>
          <w:numId w:val="2"/>
        </w:numPr>
        <w:spacing w:after="45" w:before="45"/>
      </w:pPr>
      <w:r>
        <w:rPr>
          <w:rFonts w:ascii="Arial" w:cs="Arial" w:eastAsia="Arial" w:hAnsi="Arial"/>
          <w:color w:val="1A1A1A"/>
          <w:sz w:val="20"/>
          <w:szCs w:val="20"/>
        </w:rPr>
        <w:t xml:space="preserve">No existe proceso formal de revocacion inmediata de accesos cuando un miembro del equipo de AuditMind sale de la empresa</w:t>
      </w:r>
    </w:p>
    <w:p>
      <w:pPr>
        <w:spacing w:after="100" w:before="0"/>
      </w:pPr>
      <w:r>
        <w:t xml:space="preserve"/>
      </w:r>
    </w:p>
    <w:p>
      <w:pPr>
        <w:pStyle w:val="Heading2"/>
        <w:spacing w:after="120" w:before="260"/>
      </w:pPr>
      <w:r>
        <w:rPr>
          <w:rFonts w:ascii="Arial" w:cs="Arial" w:eastAsia="Arial" w:hAnsi="Arial"/>
          <w:b/>
          <w:bCs/>
          <w:color w:val="1B5FA8"/>
          <w:sz w:val="28"/>
          <w:szCs w:val="28"/>
        </w:rPr>
        <w:t xml:space="preserve">T-03. Retencion y Eliminacion de Datos — No especificada</w:t>
      </w:r>
    </w:p>
    <w:p>
      <w:pPr>
        <w:spacing w:after="80" w:before="55"/>
        <w:jc w:val="both"/>
      </w:pPr>
      <w:r>
        <w:rPr>
          <w:rFonts w:ascii="Arial" w:cs="Arial" w:eastAsia="Arial" w:hAnsi="Arial"/>
          <w:color w:val="1A1A1A"/>
          <w:sz w:val="21"/>
          <w:szCs w:val="21"/>
        </w:rPr>
        <w:t xml:space="preserve">El diseno menciona backups de 7 anos pero no especifica la politica completa de ciclo de vida de datos, que es requerida por GDPR, LGPD y regulaciones financieras:</w:t>
      </w:r>
    </w:p>
    <w:p>
      <w:pPr>
        <w:spacing w:after="60" w:before="0"/>
      </w:pPr>
      <w:r>
        <w:t xml:space="preserve"/>
      </w:r>
    </w:p>
    <w:p>
      <w:pPr>
        <w:pStyle w:val="ListParagraph"/>
        <w:numPr>
          <w:ilvl w:val="0"/>
          <w:numId w:val="2"/>
        </w:numPr>
        <w:spacing w:after="45" w:before="45"/>
      </w:pPr>
      <w:r>
        <w:rPr>
          <w:rFonts w:ascii="Arial" w:cs="Arial" w:eastAsia="Arial" w:hAnsi="Arial"/>
          <w:color w:val="1A1A1A"/>
          <w:sz w:val="20"/>
          <w:szCs w:val="20"/>
        </w:rPr>
        <w:t xml:space="preserve">Periodo de retencion por tipo de dato: los expedientes de auditoria tienen requisitos legales distintos en cada pais (5-10 anos tipicamente)</w:t>
      </w:r>
    </w:p>
    <w:p>
      <w:pPr>
        <w:pStyle w:val="ListParagraph"/>
        <w:numPr>
          <w:ilvl w:val="0"/>
          <w:numId w:val="2"/>
        </w:numPr>
        <w:spacing w:after="45" w:before="45"/>
      </w:pPr>
      <w:r>
        <w:rPr>
          <w:rFonts w:ascii="Arial" w:cs="Arial" w:eastAsia="Arial" w:hAnsi="Arial"/>
          <w:color w:val="1A1A1A"/>
          <w:sz w:val="20"/>
          <w:szCs w:val="20"/>
        </w:rPr>
        <w:t xml:space="preserve">Eliminacion segura al terminar la relacion con el cliente: proceso de borrado verificable de todos los datos del tenant</w:t>
      </w:r>
    </w:p>
    <w:p>
      <w:pPr>
        <w:pStyle w:val="ListParagraph"/>
        <w:numPr>
          <w:ilvl w:val="0"/>
          <w:numId w:val="2"/>
        </w:numPr>
        <w:spacing w:after="45" w:before="45"/>
      </w:pPr>
      <w:r>
        <w:rPr>
          <w:rFonts w:ascii="Arial" w:cs="Arial" w:eastAsia="Arial" w:hAnsi="Arial"/>
          <w:color w:val="1A1A1A"/>
          <w:sz w:val="20"/>
          <w:szCs w:val="20"/>
        </w:rPr>
        <w:t xml:space="preserve">Derecho al olvido GDPR: mecanismo para eliminar datos personales especificos sin destruir el expediente de auditoria</w:t>
      </w:r>
    </w:p>
    <w:p>
      <w:pPr>
        <w:pStyle w:val="ListParagraph"/>
        <w:numPr>
          <w:ilvl w:val="0"/>
          <w:numId w:val="2"/>
        </w:numPr>
        <w:spacing w:after="45" w:before="45"/>
      </w:pPr>
      <w:r>
        <w:rPr>
          <w:rFonts w:ascii="Arial" w:cs="Arial" w:eastAsia="Arial" w:hAnsi="Arial"/>
          <w:color w:val="1A1A1A"/>
          <w:sz w:val="20"/>
          <w:szCs w:val="20"/>
        </w:rPr>
        <w:t xml:space="preserve">Portabilidad de datos: exportacion completa del expediente en formato estandar cuando el cliente cambia de plataforma</w:t>
      </w:r>
    </w:p>
    <w:p>
      <w:pPr>
        <w:spacing w:after="100" w:before="0"/>
      </w:pPr>
      <w:r>
        <w:t xml:space="preserve"/>
      </w:r>
    </w:p>
    <w:p>
      <w:pPr>
        <w:pStyle w:val="Heading2"/>
        <w:spacing w:after="120" w:before="260"/>
      </w:pPr>
      <w:r>
        <w:rPr>
          <w:rFonts w:ascii="Arial" w:cs="Arial" w:eastAsia="Arial" w:hAnsi="Arial"/>
          <w:b/>
          <w:bCs/>
          <w:color w:val="1B5FA8"/>
          <w:sz w:val="28"/>
          <w:szCs w:val="28"/>
        </w:rPr>
        <w:t xml:space="preserve">T-04. Auditoria de la IA — El Sistema que Audita Debe ser Auditable</w:t>
      </w:r>
    </w:p>
    <w:p>
      <w:pPr>
        <w:spacing w:after="80" w:before="55"/>
        <w:jc w:val="both"/>
      </w:pPr>
      <w:r>
        <w:rPr>
          <w:rFonts w:ascii="Arial" w:cs="Arial" w:eastAsia="Arial" w:hAnsi="Arial"/>
          <w:color w:val="1A1A1A"/>
          <w:sz w:val="21"/>
          <w:szCs w:val="21"/>
        </w:rPr>
        <w:t xml:space="preserve">AuditMind usa IA para generar hallazgos, sugerir criterios y redactar informes. Desde la perspectiva del Marco IIA 2025 (Estandar 11.3 — Competencia en el Uso de Tecnologia), la IA misma debe ser auditable: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B2D91" w:sz="1"/>
              <w:left w:val="single" w:color="5B2D91" w:sz="1"/>
              <w:bottom w:val="single" w:color="5B2D91" w:sz="1"/>
              <w:right w:val="single" w:color="5B2D91" w:sz="1"/>
            </w:tcBorders>
            <w:shd w:fill="EDE4F7" w:val="clear"/>
            <w:tcMar>
              <w:top w:type="dxa" w:w="160"/>
              <w:left w:type="dxa" w:w="220"/>
              <w:bottom w:type="dxa" w:w="160"/>
              <w:right w:type="dxa" w:w="220"/>
            </w:tcMar>
          </w:tcPr>
          <w:p>
            <w:pPr>
              <w:spacing w:after="70" w:before="0"/>
            </w:pPr>
            <w:r>
              <w:rPr>
                <w:rFonts w:ascii="Arial" w:cs="Arial" w:eastAsia="Arial" w:hAnsi="Arial"/>
                <w:b/>
                <w:bCs/>
                <w:color w:val="5B2D91"/>
                <w:sz w:val="19"/>
                <w:szCs w:val="19"/>
              </w:rPr>
              <w:t xml:space="preserve">Requerimientos de Gobernanza de IA que faltan:</w:t>
            </w:r>
          </w:p>
          <w:p>
            <w:pPr>
              <w:pStyle w:val="ListParagraph"/>
              <w:numPr>
                <w:ilvl w:val="0"/>
                <w:numId w:val="2"/>
              </w:numPr>
              <w:spacing w:after="45" w:before="45"/>
            </w:pPr>
            <w:r>
              <w:rPr>
                <w:rFonts w:ascii="Arial" w:cs="Arial" w:eastAsia="Arial" w:hAnsi="Arial"/>
                <w:color w:val="1A1A1A"/>
                <w:sz w:val="20"/>
                <w:szCs w:val="20"/>
              </w:rPr>
              <w:t xml:space="preserve">Marco de validacion de outputs de IA: proceso formal para que el auditor valide que el output de IA es correcto antes de incorporarlo al expediente</w:t>
            </w:r>
          </w:p>
          <w:p>
            <w:pPr>
              <w:pStyle w:val="ListParagraph"/>
              <w:numPr>
                <w:ilvl w:val="0"/>
                <w:numId w:val="2"/>
              </w:numPr>
              <w:spacing w:after="45" w:before="45"/>
            </w:pPr>
            <w:r>
              <w:rPr>
                <w:rFonts w:ascii="Arial" w:cs="Arial" w:eastAsia="Arial" w:hAnsi="Arial"/>
                <w:color w:val="1A1A1A"/>
                <w:sz w:val="20"/>
                <w:szCs w:val="20"/>
              </w:rPr>
              <w:t xml:space="preserve">Registro de cuanto trabajo fue asistido por IA vs. trabajo del auditor: el informe final debe declarar el nivel de asistencia de IA utilizada</w:t>
            </w:r>
          </w:p>
          <w:p>
            <w:pPr>
              <w:pStyle w:val="ListParagraph"/>
              <w:numPr>
                <w:ilvl w:val="0"/>
                <w:numId w:val="2"/>
              </w:numPr>
              <w:spacing w:after="45" w:before="45"/>
            </w:pPr>
            <w:r>
              <w:rPr>
                <w:rFonts w:ascii="Arial" w:cs="Arial" w:eastAsia="Arial" w:hAnsi="Arial"/>
                <w:color w:val="1A1A1A"/>
                <w:sz w:val="20"/>
                <w:szCs w:val="20"/>
              </w:rPr>
              <w:t xml:space="preserve">Politica de uso aceptable de IA: que tipos de tareas puede hacer la IA autonomamente vs. cuales requieren revision humana obligatoria</w:t>
            </w:r>
          </w:p>
          <w:p>
            <w:pPr>
              <w:pStyle w:val="ListParagraph"/>
              <w:numPr>
                <w:ilvl w:val="0"/>
                <w:numId w:val="2"/>
              </w:numPr>
              <w:spacing w:after="45" w:before="45"/>
            </w:pPr>
            <w:r>
              <w:rPr>
                <w:rFonts w:ascii="Arial" w:cs="Arial" w:eastAsia="Arial" w:hAnsi="Arial"/>
                <w:color w:val="1A1A1A"/>
                <w:sz w:val="20"/>
                <w:szCs w:val="20"/>
              </w:rPr>
              <w:t xml:space="preserve">Evaluacion de sesgo del modelo: proceso para detectar si el modelo de IA sistematicamente subestima riesgos en ciertas industrias o tipos de entidad</w:t>
            </w:r>
          </w:p>
          <w:p>
            <w:pPr>
              <w:pStyle w:val="ListParagraph"/>
              <w:numPr>
                <w:ilvl w:val="0"/>
                <w:numId w:val="2"/>
              </w:numPr>
              <w:spacing w:after="45" w:before="45"/>
            </w:pPr>
            <w:r>
              <w:rPr>
                <w:rFonts w:ascii="Arial" w:cs="Arial" w:eastAsia="Arial" w:hAnsi="Arial"/>
                <w:color w:val="1A1A1A"/>
                <w:sz w:val="20"/>
                <w:szCs w:val="20"/>
              </w:rPr>
              <w:t xml:space="preserve">Cumplimiento EU AI Act: para clientes europeos, el sistema de IA debe clasificarse y cumplir los requisitos del Reglamento de IA de la UE — no mencionado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F5C35" w:val="clear"/>
            <w:tcMar>
              <w:top w:type="dxa" w:w="200"/>
              <w:left w:type="dxa" w:w="280"/>
              <w:bottom w:type="dxa" w:w="200"/>
              <w:right w:type="dxa" w:w="280"/>
            </w:tcMar>
          </w:tcPr>
          <w:p>
            <w:pPr>
              <w:spacing w:after="60" w:before="0"/>
            </w:pPr>
            <w:r>
              <w:rPr>
                <w:rFonts w:ascii="Arial" w:cs="Arial" w:eastAsia="Arial" w:hAnsi="Arial"/>
                <w:b/>
                <w:bCs/>
                <w:color w:val="AACCEE"/>
                <w:sz w:val="26"/>
                <w:szCs w:val="26"/>
              </w:rPr>
              <w:t xml:space="preserve">V  </w:t>
            </w:r>
            <w:r>
              <w:rPr>
                <w:rFonts w:ascii="Arial" w:cs="Arial" w:eastAsia="Arial" w:hAnsi="Arial"/>
                <w:b/>
                <w:bCs/>
                <w:color w:val="FFFFFF"/>
                <w:sz w:val="32"/>
                <w:szCs w:val="32"/>
              </w:rPr>
              <w:t xml:space="preserve">PLAN DE ACCION RECOMENDADO</w:t>
            </w:r>
          </w:p>
          <w:p>
            <w:r>
              <w:rPr>
                <w:rFonts w:ascii="Arial" w:cs="Arial" w:eastAsia="Arial" w:hAnsi="Arial"/>
                <w:i/>
                <w:iCs/>
                <w:color w:val="BBD4EE"/>
                <w:sz w:val="19"/>
                <w:szCs w:val="19"/>
              </w:rPr>
              <w:t xml:space="preserve">Priorizacion de brechas para maximo impacto</w:t>
            </w:r>
          </w:p>
        </w:tc>
      </w:tr>
    </w:tbl>
    <w:p>
      <w:pPr>
        <w:spacing w:after="120" w:before="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500"/>
        <w:gridCol w:w="3400"/>
        <w:gridCol w:w="1600"/>
        <w:gridCol w:w="2200"/>
        <w:gridCol w:w="1160"/>
      </w:tblGrid>
      <w:tr>
        <w:trPr>
          <w:tblHeader/>
        </w:trPr>
        <w:tc>
          <w:tcPr>
            <w:tcW w:type="dxa" w:w="5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Ref</w:t>
            </w:r>
          </w:p>
        </w:tc>
        <w:tc>
          <w:tcPr>
            <w:tcW w:type="dxa" w:w="34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Brecha</w:t>
            </w:r>
          </w:p>
        </w:tc>
        <w:tc>
          <w:tcPr>
            <w:tcW w:type="dxa" w:w="16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Prioridad</w:t>
            </w:r>
          </w:p>
        </w:tc>
        <w:tc>
          <w:tcPr>
            <w:tcW w:type="dxa" w:w="220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Fase Recomendada</w:t>
            </w:r>
          </w:p>
        </w:tc>
        <w:tc>
          <w:tcPr>
            <w:tcW w:type="dxa" w:w="1160"/>
            <w:tcBorders>
              <w:top w:val="single" w:color="2E7DD1" w:sz="1"/>
              <w:left w:val="single" w:color="2E7DD1" w:sz="1"/>
              <w:bottom w:val="single" w:color="2E7DD1" w:sz="1"/>
              <w:right w:val="single" w:color="2E7DD1" w:sz="1"/>
            </w:tcBorders>
            <w:shd w:fill="0F2D4A" w:val="clear"/>
            <w:tcMar>
              <w:top w:type="dxa" w:w="90"/>
              <w:left w:type="dxa" w:w="120"/>
              <w:bottom w:type="dxa" w:w="90"/>
              <w:right w:type="dxa" w:w="120"/>
            </w:tcMar>
          </w:tcPr>
          <w:p>
            <w:r>
              <w:rPr>
                <w:rFonts w:ascii="Arial" w:cs="Arial" w:eastAsia="Arial" w:hAnsi="Arial"/>
                <w:b/>
                <w:bCs/>
                <w:color w:val="FFFFFF"/>
                <w:sz w:val="18"/>
                <w:szCs w:val="18"/>
              </w:rPr>
              <w:t xml:space="preserve">Esfuerzo Estimado</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C-01</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Modulo BCP/DRP — ISO 22301</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CRITICA — Requerido para sector financiero</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2 antes de lanzamiento</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3-4 semanas</w:t>
            </w:r>
          </w:p>
        </w:tc>
      </w:tr>
      <w:tr>
        <w:tc>
          <w:tcPr>
            <w:tcW w:type="dxa" w:w="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C-02</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Auditoria TI completa — COBIT/NIST</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CRITICA — Diferenciador de mercado</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2</w:t>
            </w:r>
          </w:p>
        </w:tc>
        <w:tc>
          <w:tcPr>
            <w:tcW w:type="dxa" w:w="1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4-6 semanas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C-03</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Materialidad y riesgo de auditoria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CRITICA — Requerido auditoria financiera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1 — antes de MVP</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1-2 semanas</w:t>
            </w:r>
          </w:p>
        </w:tc>
      </w:tr>
      <w:tr>
        <w:tc>
          <w:tcPr>
            <w:tcW w:type="dxa" w:w="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A-01</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Gestion de competencias del equipo</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ALTA — Exigida por Marco IIA 2025</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2</w:t>
            </w:r>
          </w:p>
        </w:tc>
        <w:tc>
          <w:tcPr>
            <w:tcW w:type="dxa" w:w="1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2-3 semanas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A-02</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Modulo QAIP</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ALTA — Diferenciador vs. TeamMate+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3</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3-4 semanas</w:t>
            </w:r>
          </w:p>
        </w:tc>
      </w:tr>
      <w:tr>
        <w:tc>
          <w:tcPr>
            <w:tcW w:type="dxa" w:w="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A-03</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SDLC y DevSecOps</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ALTA — Mercado tecnologico</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3</w:t>
            </w:r>
          </w:p>
        </w:tc>
        <w:tc>
          <w:tcPr>
            <w:tcW w:type="dxa" w:w="1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2-3 semanas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A-04</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Confirmaciones externas (circularizacion)</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ALTA — Auditoria financiera basica</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2</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2 semanas</w:t>
            </w:r>
          </w:p>
        </w:tc>
      </w:tr>
      <w:tr>
        <w:tc>
          <w:tcPr>
            <w:tcW w:type="dxa" w:w="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M-01</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Registro de excepciones normativas</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MEDIA — Calidad del sistema</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2</w:t>
            </w:r>
          </w:p>
        </w:tc>
        <w:tc>
          <w:tcPr>
            <w:tcW w:type="dxa" w:w="1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1 semana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M-02</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Protocolo de investigacion forense</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MEDIA — Diferenciador premium</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3</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2-3 semanas</w:t>
            </w:r>
          </w:p>
        </w:tc>
      </w:tr>
      <w:tr>
        <w:tc>
          <w:tcPr>
            <w:tcW w:type="dxa" w:w="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P-01</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Estandares IIA 2025 completos</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MEDIA — Credibilidad profesional</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2-3</w:t>
            </w:r>
          </w:p>
        </w:tc>
        <w:tc>
          <w:tcPr>
            <w:tcW w:type="dxa" w:w="1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3-4 semanas</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T-01</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Gestion de vulnerabilidades del producto</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CRITICA — Confianza enterprise</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Desde ahora — proceso continuo</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Continuo</w:t>
            </w:r>
          </w:p>
        </w:tc>
      </w:tr>
      <w:tr>
        <w:tc>
          <w:tcPr>
            <w:tcW w:type="dxa" w:w="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T-02</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PAM para Super Admin</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ALTA — Seguridad operacional</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1 post-MVP</w:t>
            </w:r>
          </w:p>
        </w:tc>
        <w:tc>
          <w:tcPr>
            <w:tcW w:type="dxa" w:w="1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1 semana</w:t>
            </w:r>
          </w:p>
        </w:tc>
      </w:tr>
      <w:tr>
        <w:tc>
          <w:tcPr>
            <w:tcW w:type="dxa" w:w="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A1A1A"/>
                <w:sz w:val="19"/>
                <w:szCs w:val="19"/>
              </w:rPr>
              <w:t xml:space="preserve">T-03</w:t>
            </w:r>
          </w:p>
        </w:tc>
        <w:tc>
          <w:tcPr>
            <w:tcW w:type="dxa" w:w="3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Retencion y eliminacion de datos</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ALTA — GDPR/LGPD</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2</w:t>
            </w:r>
          </w:p>
        </w:tc>
        <w:tc>
          <w:tcPr>
            <w:tcW w:type="dxa" w:w="1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val="false"/>
                <w:bCs w:val="false"/>
                <w:color w:val="1A1A1A"/>
                <w:sz w:val="18"/>
                <w:szCs w:val="18"/>
              </w:rPr>
              <w:t xml:space="preserve">1-2 semanas</w:t>
            </w:r>
          </w:p>
        </w:tc>
      </w:tr>
      <w:tr>
        <w:tc>
          <w:tcPr>
            <w:tcW w:type="dxa" w:w="5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bCs/>
                <w:color w:val="1A1A1A"/>
                <w:sz w:val="19"/>
                <w:szCs w:val="19"/>
              </w:rPr>
              <w:t xml:space="preserve">T-04</w:t>
            </w:r>
          </w:p>
        </w:tc>
        <w:tc>
          <w:tcPr>
            <w:tcW w:type="dxa" w:w="34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Gobernanza y auditoria de la IA</w:t>
            </w:r>
          </w:p>
        </w:tc>
        <w:tc>
          <w:tcPr>
            <w:tcW w:type="dxa" w:w="16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ALTA — EU AI Act y credibilidad</w:t>
            </w:r>
          </w:p>
        </w:tc>
        <w:tc>
          <w:tcPr>
            <w:tcW w:type="dxa" w:w="220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Fase 2</w:t>
            </w:r>
          </w:p>
        </w:tc>
        <w:tc>
          <w:tcPr>
            <w:tcW w:type="dxa" w:w="1160"/>
            <w:tcBorders>
              <w:top w:val="single" w:color="CCCCCC" w:sz="1"/>
              <w:left w:val="single" w:color="CCCCCC" w:sz="1"/>
              <w:bottom w:val="single" w:color="CCCCCC" w:sz="1"/>
              <w:right w:val="single" w:color="CCCCCC" w:sz="1"/>
            </w:tcBorders>
            <w:shd w:fill="F4F6F9" w:val="clear"/>
            <w:tcMar>
              <w:top w:type="dxa" w:w="70"/>
              <w:left w:type="dxa" w:w="120"/>
              <w:bottom w:type="dxa" w:w="70"/>
              <w:right w:type="dxa" w:w="120"/>
            </w:tcMar>
          </w:tcPr>
          <w:p>
            <w:r>
              <w:rPr>
                <w:rFonts w:ascii="Arial" w:cs="Arial" w:eastAsia="Arial" w:hAnsi="Arial"/>
                <w:b w:val="false"/>
                <w:bCs w:val="false"/>
                <w:color w:val="1A1A1A"/>
                <w:sz w:val="18"/>
                <w:szCs w:val="18"/>
              </w:rPr>
              <w:t xml:space="preserve">2-3 semanas</w:t>
            </w:r>
          </w:p>
        </w:tc>
      </w:tr>
    </w:tbl>
    <w:p>
      <w:r>
        <w:br w:type="page"/>
      </w:r>
    </w:p>
    <w:p>
      <w:pPr>
        <w:pStyle w:val="Heading1"/>
        <w:spacing w:after="160" w:before="320"/>
      </w:pPr>
      <w:r>
        <w:rPr>
          <w:rFonts w:ascii="Arial" w:cs="Arial" w:eastAsia="Arial" w:hAnsi="Arial"/>
          <w:b/>
          <w:bCs/>
          <w:color w:val="0F2D4A"/>
          <w:sz w:val="36"/>
          <w:szCs w:val="36"/>
        </w:rPr>
        <w:t xml:space="preserve">CONCLUSION DEL EVALUADOR</w:t>
      </w:r>
    </w:p>
    <w:p>
      <w:pPr>
        <w:pBdr>
          <w:bottom w:val="single" w:color="2E7DD1" w:sz="5" w:space="1"/>
        </w:pBdr>
        <w:spacing w:after="80" w:before="80"/>
      </w:pPr>
      <w:r>
        <w:t xml:space="preserve"/>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D9EAF7" w:sz="1"/>
              <w:left w:val="single" w:color="D9EAF7" w:sz="1"/>
              <w:bottom w:val="single" w:color="D9EAF7" w:sz="1"/>
              <w:right w:val="single" w:color="D9EAF7" w:sz="1"/>
            </w:tcBorders>
            <w:shd w:fill="EEF6FD" w:val="clear"/>
            <w:tcMar>
              <w:top w:type="dxa" w:w="160"/>
              <w:left w:type="dxa" w:w="220"/>
              <w:bottom w:type="dxa" w:w="160"/>
              <w:right w:type="dxa" w:w="220"/>
            </w:tcMar>
          </w:tcPr>
          <w:p>
            <w:pPr>
              <w:spacing w:after="100" w:before="0"/>
            </w:pPr>
            <w:r>
              <w:rPr>
                <w:rFonts w:ascii="Arial" w:cs="Arial" w:eastAsia="Arial" w:hAnsi="Arial"/>
                <w:b/>
                <w:bCs/>
                <w:color w:val="0F2D4A"/>
                <w:sz w:val="22"/>
                <w:szCs w:val="22"/>
              </w:rPr>
              <w:t xml:space="preserve">Veredicto Final — Como Auditor Critico Experto</w:t>
            </w:r>
          </w:p>
          <w:p>
            <w:pPr>
              <w:spacing w:after="80" w:before="55"/>
              <w:jc w:val="both"/>
            </w:pPr>
            <w:r>
              <w:rPr>
                <w:rFonts w:ascii="Arial" w:cs="Arial" w:eastAsia="Arial" w:hAnsi="Arial"/>
                <w:color w:val="1A1A1A"/>
                <w:sz w:val="21"/>
                <w:szCs w:val="21"/>
              </w:rPr>
              <w:t xml:space="preserve">AuditMind es el sistema de auditoria con mayor vision estrategica que he evaluado en el segmento mid-market. Sus innovaciones en LLM Router, RAG normativo, Score de Calidad y Portal del Auditado no son features de marketing — son decisiones de diseno metodologicamente correctas que ningun competidor tiene implementadas de forma coherente.</w:t>
            </w:r>
          </w:p>
          <w:p>
            <w:pPr>
              <w:spacing w:after="60" w:before="0"/>
            </w:pPr>
            <w:r>
              <w:t xml:space="preserve"/>
            </w:r>
          </w:p>
          <w:p>
            <w:pPr>
              <w:spacing w:after="80" w:before="55"/>
              <w:jc w:val="both"/>
            </w:pPr>
            <w:r>
              <w:rPr>
                <w:rFonts w:ascii="Arial" w:cs="Arial" w:eastAsia="Arial" w:hAnsi="Arial"/>
                <w:color w:val="1A1A1A"/>
                <w:sz w:val="21"/>
                <w:szCs w:val="21"/>
              </w:rPr>
              <w:t xml:space="preserve">La calificacion de 67/100 no es un fracaso — es el resultado honesto de comparar un sistema en diseno contra frameworks maduros de decadas. TeamMate+ tiene 30 anos de iteracion. AuditMind tiene meses de diseno. La diferencia es la velocidad a la que puede cerrar las brechas con el stack tecnologico correcto que ya tiene definido.</w:t>
            </w:r>
          </w:p>
          <w:p>
            <w:pPr>
              <w:spacing w:after="60" w:before="0"/>
            </w:pPr>
            <w:r>
              <w:t xml:space="preserve"/>
            </w:r>
          </w:p>
          <w:p>
            <w:pPr>
              <w:spacing w:after="80" w:before="55"/>
              <w:jc w:val="both"/>
            </w:pPr>
            <w:r>
              <w:rPr>
                <w:rFonts w:ascii="Arial" w:cs="Arial" w:eastAsia="Arial" w:hAnsi="Arial"/>
                <w:color w:val="1A1A1A"/>
                <w:sz w:val="21"/>
                <w:szCs w:val="21"/>
              </w:rPr>
              <w:t xml:space="preserve">Las tres brechas que deben cerrarse antes del primer cliente de pago son: (1) Modelo de materialidad en la planificacion — sin esto no se puede vender a auditores financieros. (2) Auditoria de TI con COBIT/NIST completos — el mercado de mayor crecimiento. (3) Protocolo de gestion de vulnerabilidades del propio producto — un cliente enterprise lo pedira en la primera reunion de due diligence.</w:t>
            </w:r>
          </w:p>
          <w:p>
            <w:pPr>
              <w:spacing w:after="60" w:before="0"/>
            </w:pPr>
            <w:r>
              <w:t xml:space="preserve"/>
            </w:r>
          </w:p>
          <w:p>
            <w:pPr>
              <w:spacing w:after="80" w:before="55"/>
              <w:jc w:val="both"/>
            </w:pPr>
            <w:r>
              <w:rPr>
                <w:rFonts w:ascii="Arial" w:cs="Arial" w:eastAsia="Arial" w:hAnsi="Arial"/>
                <w:color w:val="1A1A1A"/>
                <w:sz w:val="21"/>
                <w:szCs w:val="21"/>
              </w:rPr>
              <w:t xml:space="preserve">El camino a 90/100 es claro, alcanzable y esta mapeado en este informe. Con las mejoras de las brechas criticas (C-01, C-02, C-03 y T-01), AuditMind puede competir directamente con TeamMate+ en el segmento mid-market y diferenciarse con su motor de IA y experiencia de usuario muy superior. Eso es un objetivo de 6-9 meses realista.</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8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25B10" w:sz="1"/>
                    <w:left w:val="single" w:color="C25B10" w:sz="1"/>
                    <w:bottom w:val="single" w:color="C25B10" w:sz="1"/>
                    <w:right w:val="single" w:color="C25B10" w:sz="1"/>
                  </w:tcBorders>
                  <w:shd w:fill="FDEBD0" w:val="clear"/>
                  <w:tcMar>
                    <w:top w:type="dxa" w:w="160"/>
                    <w:left w:type="dxa" w:w="220"/>
                    <w:bottom w:type="dxa" w:w="160"/>
                    <w:right w:type="dxa" w:w="220"/>
                  </w:tcMar>
                </w:tcPr>
                <w:p>
                  <w:pPr>
                    <w:spacing w:after="60" w:before="0"/>
                    <w:jc w:val="center"/>
                  </w:pPr>
                  <w:r>
                    <w:rPr>
                      <w:rFonts w:ascii="Arial" w:cs="Arial" w:eastAsia="Arial" w:hAnsi="Arial"/>
                      <w:color w:val="4A4A4A"/>
                      <w:sz w:val="19"/>
                      <w:szCs w:val="19"/>
                    </w:rPr>
                    <w:t xml:space="preserve">Score Actual</w:t>
                  </w:r>
                </w:p>
                <w:p>
                  <w:pPr>
                    <w:jc w:val="center"/>
                  </w:pPr>
                  <w:r>
                    <w:rPr>
                      <w:rFonts w:ascii="Arial" w:cs="Arial" w:eastAsia="Arial" w:hAnsi="Arial"/>
                      <w:b/>
                      <w:bCs/>
                      <w:color w:val="C25B10"/>
                      <w:sz w:val="40"/>
                      <w:szCs w:val="40"/>
                    </w:rPr>
                    <w:t xml:space="preserve">67/100</w:t>
                  </w:r>
                </w:p>
                <w:p>
                  <w:pPr>
                    <w:spacing w:after="0" w:before="40"/>
                    <w:jc w:val="center"/>
                  </w:pPr>
                  <w:r>
                    <w:rPr>
                      <w:rFonts w:ascii="Arial" w:cs="Arial" w:eastAsia="Arial" w:hAnsi="Arial"/>
                      <w:b/>
                      <w:bCs/>
                      <w:color w:val="C25B10"/>
                      <w:sz w:val="18"/>
                      <w:szCs w:val="18"/>
                    </w:rPr>
                    <w:t xml:space="preserve">Bueno con Brechas Criticas</w:t>
                  </w:r>
                </w:p>
              </w:tc>
            </w:tr>
          </w:tbl>
          <w:p/>
        </w:tc>
        <w:tc>
          <w:tcPr>
            <w:tcW w:type="dxa" w:w="240"/>
            <w:tcBorders>
              <w:top w:val="none" w:color="FFFFFF" w:sz="0"/>
              <w:left w:val="none" w:color="FFFFFF" w:sz="0"/>
              <w:bottom w:val="none" w:color="FFFFFF" w:sz="0"/>
              <w:right w:val="none" w:color="FFFFFF" w:sz="0"/>
            </w:tcBorders>
          </w:tcPr>
          <w:p>
            <w:pPr>
              <w:spacing w:after="120" w:before="0"/>
            </w:pPr>
            <w:r>
              <w:t xml:space="preserve"/>
            </w:r>
          </w:p>
        </w:tc>
        <w:tc>
          <w:tcPr>
            <w:tcW w:type="dxa" w:w="4560"/>
            <w:tcBorders>
              <w:top w:val="none" w:color="FFFFFF" w:sz="0"/>
              <w:left w:val="none" w:color="FFFFFF" w:sz="0"/>
              <w:bottom w:val="none" w:color="FFFFFF" w:sz="0"/>
              <w:right w:val="none" w:color="FFFFFF" w:sz="0"/>
            </w:tcBorders>
            <w:tcMar>
              <w:top w:type="dxa" w:w="0"/>
              <w:left w:type="dxa" w:w="80"/>
              <w:bottom w:type="dxa" w:w="0"/>
              <w:right w:type="dxa" w:w="0"/>
            </w:tcMar>
          </w:tcPr>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
                    <w:left w:val="single" w:color="1A7A4A" w:sz="1"/>
                    <w:bottom w:val="single" w:color="1A7A4A" w:sz="1"/>
                    <w:right w:val="single" w:color="1A7A4A" w:sz="1"/>
                  </w:tcBorders>
                  <w:shd w:fill="D6F0E3" w:val="clear"/>
                  <w:tcMar>
                    <w:top w:type="dxa" w:w="160"/>
                    <w:left w:type="dxa" w:w="220"/>
                    <w:bottom w:type="dxa" w:w="160"/>
                    <w:right w:type="dxa" w:w="220"/>
                  </w:tcMar>
                </w:tcPr>
                <w:p>
                  <w:pPr>
                    <w:spacing w:after="60" w:before="0"/>
                    <w:jc w:val="center"/>
                  </w:pPr>
                  <w:r>
                    <w:rPr>
                      <w:rFonts w:ascii="Arial" w:cs="Arial" w:eastAsia="Arial" w:hAnsi="Arial"/>
                      <w:color w:val="4A4A4A"/>
                      <w:sz w:val="19"/>
                      <w:szCs w:val="19"/>
                    </w:rPr>
                    <w:t xml:space="preserve">Score Alcanzable (6-9 meses)</w:t>
                  </w:r>
                </w:p>
                <w:p>
                  <w:pPr>
                    <w:jc w:val="center"/>
                  </w:pPr>
                  <w:r>
                    <w:rPr>
                      <w:rFonts w:ascii="Arial" w:cs="Arial" w:eastAsia="Arial" w:hAnsi="Arial"/>
                      <w:b/>
                      <w:bCs/>
                      <w:color w:val="1A7A4A"/>
                      <w:sz w:val="40"/>
                      <w:szCs w:val="40"/>
                    </w:rPr>
                    <w:t xml:space="preserve">88/100</w:t>
                  </w:r>
                </w:p>
                <w:p>
                  <w:pPr>
                    <w:spacing w:after="0" w:before="40"/>
                    <w:jc w:val="center"/>
                  </w:pPr>
                  <w:r>
                    <w:rPr>
                      <w:rFonts w:ascii="Arial" w:cs="Arial" w:eastAsia="Arial" w:hAnsi="Arial"/>
                      <w:b/>
                      <w:bCs/>
                      <w:color w:val="1A7A4A"/>
                      <w:sz w:val="18"/>
                      <w:szCs w:val="18"/>
                    </w:rPr>
                    <w:t xml:space="preserve">Competitivo Enterprise</w:t>
                  </w:r>
                </w:p>
              </w:tc>
            </w:tr>
          </w:tbl>
          <w:p/>
        </w:tc>
      </w:tr>
    </w:tbl>
    <w:sectPr>
      <w:headerReference w:type="default" r:id="rId7"/>
      <w:footerReference w:type="default" r:id="rId8"/>
      <w:pgSz w:w="12240" w:h="15840" w:orient="portrait"/>
      <w:pgMar w:top="1080" w:right="980" w:bottom="1080" w:left="9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pBdr>
      <w:jc w:val="center"/>
    </w:pPr>
    <w:r>
      <w:rPr>
        <w:rFonts w:ascii="Arial" w:cs="Arial" w:eastAsia="Arial" w:hAnsi="Arial"/>
        <w:color w:val="4A4A4A"/>
        <w:sz w:val="16"/>
        <w:szCs w:val="16"/>
      </w:rPr>
      <w:t xml:space="preserve">Evaluacion Critica AuditMind  |  Pag. </w:t>
    </w:r>
    <w:r>
      <w:rPr>
        <w:rFonts w:ascii="Arial" w:cs="Arial" w:eastAsia="Arial" w:hAnsi="Arial"/>
        <w:color w:val="1B5FA8"/>
        <w:sz w:val="16"/>
        <w:szCs w:val="16"/>
      </w:rPr>
      <w:fldChar w:fldCharType="begin"/>
      <w:instrText xml:space="preserve">PAGE</w:instrText>
      <w:fldChar w:fldCharType="separate"/>
      <w:fldChar w:fldCharType="end"/>
    </w:r>
    <w:r>
      <w:rPr>
        <w:rFonts w:ascii="Arial" w:cs="Arial" w:eastAsia="Arial" w:hAnsi="Arial"/>
        <w:color w:val="4A4A4A"/>
        <w:sz w:val="16"/>
        <w:szCs w:val="16"/>
      </w:rPr>
      <w:t xml:space="preserve"> / </w:t>
    </w:r>
    <w:r>
      <w:rPr>
        <w:rFonts w:ascii="Arial" w:cs="Arial" w:eastAsia="Arial" w:hAnsi="Arial"/>
        <w:color w:val="1B5FA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560"/>
      <w:tblBorders>
        <w:top w:val="single" w:color="auto" w:sz="4"/>
        <w:left w:val="single" w:color="auto" w:sz="4"/>
        <w:bottom w:val="single" w:color="D9EAF7" w:sz="3"/>
        <w:right w:val="single" w:color="auto" w:sz="4"/>
        <w:insideH w:val="single" w:color="auto" w:sz="4"/>
        <w:insideV w:val="single" w:color="auto" w:sz="4"/>
      </w:tblBorders>
    </w:tblPr>
    <w:tblGrid>
      <w:gridCol w:w="6400"/>
      <w:gridCol w:w="3160"/>
    </w:tblGrid>
    <w:tr>
      <w:tc>
        <w:tcPr>
          <w:tcBorders>
            <w:top w:val="none" w:color="FFFFFF" w:sz="0"/>
            <w:left w:val="none" w:color="FFFFFF" w:sz="0"/>
            <w:bottom w:val="none" w:color="FFFFFF" w:sz="0"/>
            <w:right w:val="none" w:color="FFFFFF" w:sz="0"/>
          </w:tcBorders>
        </w:tcPr>
        <w:p>
          <w:r>
            <w:rPr>
              <w:rFonts w:ascii="Arial" w:cs="Arial" w:eastAsia="Arial" w:hAnsi="Arial"/>
              <w:color w:val="4A4A4A"/>
              <w:sz w:val="16"/>
              <w:szCs w:val="16"/>
            </w:rPr>
            <w:t xml:space="preserve">AuditMind — Informe de Evaluacion Critica de Calidad | v1.0</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4A4A4A"/>
              <w:sz w:val="16"/>
              <w:szCs w:val="16"/>
            </w:rPr>
            <w:t xml:space="preserve">Clasificacion: Confidencial | Marzo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40"/>
      </w:pPr>
    </w:lvl>
  </w:abstractNum>
  <w:abstractNum w:abstractNumId="3" w15:restartNumberingAfterBreak="0">
    <w:multiLevelType w:val="hybridMultilevel"/>
    <w:lvl w:ilvl="0" w15:tentative="1">
      <w:start w:val="1"/>
      <w:numFmt w:val="bullet"/>
      <w:lvlText w:val="◦"/>
      <w:lvlJc w:val="left"/>
      <w:pPr>
        <w:ind w:left="86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2D4A"/>
      <w:sz w:val="36"/>
      <w:szCs w:val="36"/>
    </w:rPr>
  </w:style>
  <w:style w:type="paragraph" w:styleId="Heading2">
    <w:name w:val="Heading 2"/>
    <w:basedOn w:val="Normal"/>
    <w:next w:val="Normal"/>
    <w:qFormat/>
    <w:pPr>
      <w:spacing w:after="120" w:before="260"/>
      <w:outlineLvl w:val="1"/>
    </w:pPr>
    <w:rPr>
      <w:rFonts w:ascii="Arial" w:cs="Arial" w:eastAsia="Arial" w:hAnsi="Arial"/>
      <w:b/>
      <w:bCs/>
      <w:color w:val="1B5F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A7B8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2026-05-17T20:31:29.770Z</dcterms:created>
  <dcterms:modified xsi:type="dcterms:W3CDTF">2026-05-17T20:31:29.782Z</dcterms:modified>
</cp:coreProperties>
</file>

<file path=docProps/custom.xml><?xml version="1.0" encoding="utf-8"?>
<Properties xmlns="http://schemas.openxmlformats.org/officeDocument/2006/custom-properties" xmlns:vt="http://schemas.openxmlformats.org/officeDocument/2006/docPropsVTypes"/>
</file>