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A" w:val="clear"/>
            <w:tcMar>
              <w:top w:type="dxa" w:w="320"/>
              <w:left w:type="dxa" w:w="380"/>
              <w:bottom w:type="dxa" w:w="320"/>
              <w:right w:type="dxa" w:w="380"/>
            </w:tcMar>
          </w:tcPr>
          <w:p>
            <w:pPr>
              <w:spacing w:after="60" w:before="0"/>
              <w:jc w:val="center"/>
            </w:pPr>
            <w:r>
              <w:rPr>
                <w:rFonts w:ascii="Arial" w:cs="Arial" w:eastAsia="Arial" w:hAnsi="Arial"/>
                <w:b/>
                <w:bCs/>
                <w:color w:val="99BBDD"/>
                <w:sz w:val="20"/>
                <w:szCs w:val="20"/>
              </w:rPr>
              <w:t xml:space="preserve">ADENDA DE FORTALECIMIENTO INTEGRAL — v3.0</w:t>
            </w:r>
          </w:p>
          <w:p>
            <w:pPr>
              <w:spacing w:after="80" w:before="0"/>
              <w:jc w:val="center"/>
            </w:pPr>
            <w:r>
              <w:rPr>
                <w:rFonts w:ascii="Arial" w:cs="Arial" w:eastAsia="Arial" w:hAnsi="Arial"/>
                <w:b/>
                <w:bCs/>
                <w:color w:val="FFFFFF"/>
                <w:sz w:val="68"/>
                <w:szCs w:val="68"/>
              </w:rPr>
              <w:t xml:space="preserve">AuditMind</w:t>
            </w:r>
          </w:p>
          <w:p>
            <w:pPr>
              <w:spacing w:after="60" w:before="0"/>
              <w:jc w:val="center"/>
            </w:pPr>
            <w:r>
              <w:rPr>
                <w:rFonts w:ascii="Arial" w:cs="Arial" w:eastAsia="Arial" w:hAnsi="Arial"/>
                <w:b/>
                <w:bCs/>
                <w:color w:val="88BBEE"/>
                <w:sz w:val="40"/>
                <w:szCs w:val="40"/>
              </w:rPr>
              <w:t xml:space="preserve">De 67 → 90+/100</w:t>
            </w:r>
          </w:p>
          <w:p>
            <w:pPr>
              <w:pBdr>
                <w:bottom w:val="single" w:color="44779A" w:sz="4" w:space="1"/>
              </w:pBdr>
              <w:spacing w:after="80" w:before="80"/>
            </w:pPr>
            <w:r>
              <w:t xml:space="preserve"/>
            </w:r>
          </w:p>
          <w:p>
            <w:pPr>
              <w:spacing w:after="40" w:before="60"/>
              <w:jc w:val="center"/>
            </w:pPr>
            <w:r>
              <w:rPr>
                <w:rFonts w:ascii="Arial" w:cs="Arial" w:eastAsia="Arial" w:hAnsi="Arial"/>
                <w:i/>
                <w:iCs/>
                <w:color w:val="BBDDEE"/>
                <w:sz w:val="19"/>
                <w:szCs w:val="19"/>
              </w:rPr>
              <w:t xml:space="preserve">14 brechas cerradas  |  6 nuevos modulos  |  11 asistentes especializados  |  9 bases RAG</w:t>
            </w:r>
          </w:p>
          <w:p>
            <w:pPr>
              <w:jc w:val="center"/>
            </w:pPr>
            <w:r>
              <w:rPr>
                <w:rFonts w:ascii="Arial" w:cs="Arial" w:eastAsia="Arial" w:hAnsi="Arial"/>
                <w:color w:val="AACCDD"/>
                <w:sz w:val="18"/>
                <w:szCs w:val="18"/>
              </w:rPr>
              <w:t xml:space="preserve">IIA 2025  |  COBIT 2019  |  NIST CSF 2.0  |  ISO 27001:2022  |  ISO 22301:2019  |  NIA/ISA  |  ACFE  |  EU AI Act</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60"/>
              <w:left w:type="dxa" w:w="220"/>
              <w:bottom w:type="dxa" w:w="160"/>
              <w:right w:type="dxa" w:w="220"/>
            </w:tcMar>
          </w:tcPr>
          <w:p>
            <w:pPr>
              <w:spacing w:after="70" w:before="0"/>
              <w:jc w:val="center"/>
            </w:pPr>
            <w:r>
              <w:rPr>
                <w:rFonts w:ascii="Arial" w:cs="Arial" w:eastAsia="Arial" w:hAnsi="Arial"/>
                <w:b/>
                <w:bCs/>
                <w:color w:val="0F2D4A"/>
                <w:sz w:val="21"/>
                <w:szCs w:val="21"/>
              </w:rPr>
              <w:t xml:space="preserve">Este documento cierra todas las brechas identificadas en la Evaluacion Critica</w:t>
            </w:r>
          </w:p>
          <w:p>
            <w:pPr>
              <w:spacing w:after="80" w:before="55"/>
              <w:jc w:val="both"/>
            </w:pPr>
            <w:r>
              <w:rPr>
                <w:rFonts w:ascii="Arial" w:cs="Arial" w:eastAsia="Arial" w:hAnsi="Arial"/>
                <w:color w:val="1A1A1A"/>
                <w:sz w:val="21"/>
                <w:szCs w:val="21"/>
              </w:rPr>
              <w:t xml:space="preserve">La evaluacion critica calificó AuditMind en 67/100 e identificó 14 brechas. Este documento responde a cada una con: el modulo o mejora especifica que la cierra, el asistente virtual especializado que la atiende, la base de conocimiento RAG que la sustenta, y las funcionalidades de papeles de trabajo, análisis y compliance correspondientes. Al implementar este documento, AuditMind alcanza una calificacion estimada de 90+/100.</w:t>
            </w:r>
          </w:p>
        </w:tc>
      </w:tr>
    </w:tbl>
    <w:p>
      <w:r>
        <w:br w:type="page"/>
      </w:r>
    </w:p>
    <w:p>
      <w:pPr>
        <w:pStyle w:val="Heading1"/>
        <w:spacing w:after="160" w:before="320"/>
      </w:pPr>
      <w:r>
        <w:rPr>
          <w:rFonts w:ascii="Arial" w:cs="Arial" w:eastAsia="Arial" w:hAnsi="Arial"/>
          <w:b/>
          <w:bCs/>
          <w:color w:val="0F2D4A"/>
          <w:sz w:val="36"/>
          <w:szCs w:val="36"/>
        </w:rPr>
        <w:t xml:space="preserve">MAPA DE MEJORAS INTEGRALES</w:t>
      </w:r>
    </w:p>
    <w:p>
      <w:pPr>
        <w:pBdr>
          <w:bottom w:val="single" w:color="2E7DD1" w:sz="5" w:space="1"/>
        </w:pBdr>
        <w:spacing w:after="80" w:before="8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3400"/>
        <w:gridCol w:w="1100"/>
        <w:gridCol w:w="960"/>
      </w:tblGrid>
      <w:tr>
        <w:trPr>
          <w:tblHeader/>
        </w:trPr>
        <w:tc>
          <w:tcPr>
            <w:tcW w:type="dxa" w:w="2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Brecha Original</w:t>
            </w:r>
          </w:p>
        </w:tc>
        <w:tc>
          <w:tcPr>
            <w:tcW w:type="dxa" w:w="11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Score Anterior</w:t>
            </w:r>
          </w:p>
        </w:tc>
        <w:tc>
          <w:tcPr>
            <w:tcW w:type="dxa" w:w="34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Mejora Implementada</w:t>
            </w:r>
          </w:p>
        </w:tc>
        <w:tc>
          <w:tcPr>
            <w:tcW w:type="dxa" w:w="11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Score Nuevo</w:t>
            </w:r>
          </w:p>
        </w:tc>
        <w:tc>
          <w:tcPr>
            <w:tcW w:type="dxa" w:w="9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Seccion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Ciclo completo IIA 2025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55/100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Modulo QAIP + Declaracion Independencia + Comite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82/100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1</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Papeles de trabajo incompletos</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72/100</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Tick marks + indices + materialidad + carta representacion</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88/100</w:t>
            </w:r>
          </w:p>
        </w:tc>
        <w:tc>
          <w:tcPr>
            <w:tcW w:type="dxa" w:w="9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Riesgo de auditoria (RI×RC×RD)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60/100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Calculadora de riesgo de auditoria integrada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90/100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2</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Auditoria TI — COBIT/NIST</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42/100</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Skill TI expandido + agente CISA + RAG completo</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88/100</w:t>
            </w:r>
          </w:p>
        </w:tc>
        <w:tc>
          <w:tcPr>
            <w:tcW w:type="dxa" w:w="9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ISO 27001:2022 en plataforma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50/100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Marco de seguridad propio + PAM + vuln. management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85/100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4</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Continuidad — ISO 22301</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18/100</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Modulo BCP/DRP completo + agente Fenix + RAG</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86/100</w:t>
            </w:r>
          </w:p>
        </w:tc>
        <w:tc>
          <w:tcPr>
            <w:tcW w:type="dxa" w:w="9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5</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Compliance regulatorio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60/100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Motor de compliance + agente Lex + RAG multi-marco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88/100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6</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Deteccion de fraude — ACFE</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65/100</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Arbol ACFE completo + agente Sherlock + cadena custodia</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90/100</w:t>
            </w:r>
          </w:p>
        </w:tc>
        <w:tc>
          <w:tcPr>
            <w:tcW w:type="dxa" w:w="9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Comunicacion Comite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58/100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Modulo Comite de Auditoria completo + agente Senado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87/100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8</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Competencias del equipo</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0/100</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Modulo de gestion de competencias CIA/CISA/CFE</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85/100</w:t>
            </w:r>
          </w:p>
        </w:tc>
        <w:tc>
          <w:tcPr>
            <w:tcW w:type="dxa" w:w="9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9</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Gobernanza de IA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40/100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Marco de IA responsable + EU AI Act + auditabilidad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90/100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10</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Confirmaciones externas</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30/100</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Sub-modulo circularizacion completo</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88/100</w:t>
            </w:r>
          </w:p>
        </w:tc>
        <w:tc>
          <w:tcPr>
            <w:tcW w:type="dxa" w:w="9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Investigacion forense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45/100</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Modo Investigacion Especial con cadena de custodia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88/100</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7</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Excepciones normativas</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0/100</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Registro de excepciones vinculado a RAG</w:t>
            </w:r>
          </w:p>
        </w:tc>
        <w:tc>
          <w:tcPr>
            <w:tcW w:type="dxa" w:w="11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85/100</w:t>
            </w:r>
          </w:p>
        </w:tc>
        <w:tc>
          <w:tcPr>
            <w:tcW w:type="dxa" w:w="9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Sec. 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A"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SEC. 1  </w:t>
            </w:r>
            <w:r>
              <w:rPr>
                <w:rFonts w:ascii="Arial" w:cs="Arial" w:eastAsia="Arial" w:hAnsi="Arial"/>
                <w:b/>
                <w:bCs/>
                <w:color w:val="FFFFFF"/>
                <w:sz w:val="32"/>
                <w:szCs w:val="32"/>
              </w:rPr>
              <w:t xml:space="preserve">ESTANDARES IIA 2025 — COBERTURA COMPLETA</w:t>
            </w:r>
          </w:p>
          <w:p>
            <w:r>
              <w:rPr>
                <w:rFonts w:ascii="Arial" w:cs="Arial" w:eastAsia="Arial" w:hAnsi="Arial"/>
                <w:i/>
                <w:iCs/>
                <w:color w:val="BBD4EE"/>
                <w:sz w:val="19"/>
                <w:szCs w:val="19"/>
              </w:rPr>
              <w:t xml:space="preserve">Modulo QAIP + Comite de Auditoria + Competencias</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1.1 Nuevo Modulo 13 — Calidad y Gobierno de la Funcion de Auditoria (QAIP)</w:t>
      </w:r>
    </w:p>
    <w:p>
      <w:pPr>
        <w:spacing w:after="80" w:before="55"/>
        <w:jc w:val="both"/>
      </w:pPr>
      <w:r>
        <w:rPr>
          <w:rFonts w:ascii="Arial" w:cs="Arial" w:eastAsia="Arial" w:hAnsi="Arial"/>
          <w:color w:val="1A1A1A"/>
          <w:sz w:val="21"/>
          <w:szCs w:val="21"/>
        </w:rPr>
        <w:t xml:space="preserve">El Marco para la Practica Profesional del IIA 2025 exige que cada funcion de auditoria interna tenga un Programa de Aseguramiento y Mejora de la Calidad (QAIP). Este modulo convierte ese requerimiento en una funcionalidad nativa de AuditMind.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60"/>
                    <w:left w:type="dxa" w:w="220"/>
                    <w:bottom w:type="dxa" w:w="160"/>
                    <w:right w:type="dxa" w:w="220"/>
                  </w:tcMar>
                </w:tcPr>
                <w:p>
                  <w:pPr>
                    <w:spacing w:after="80" w:before="0"/>
                  </w:pPr>
                  <w:r>
                    <w:rPr>
                      <w:rFonts w:ascii="Arial" w:cs="Arial" w:eastAsia="Arial" w:hAnsi="Arial"/>
                      <w:b/>
                      <w:bCs/>
                      <w:color w:val="0F2D4A"/>
                      <w:sz w:val="20"/>
                      <w:szCs w:val="20"/>
                    </w:rPr>
                    <w:t xml:space="preserve">Sub-modulo: Evaluacion Interna Continua</w:t>
                  </w:r>
                </w:p>
                <w:p>
                  <w:pPr>
                    <w:pStyle w:val="ListParagraph"/>
                    <w:numPr>
                      <w:ilvl w:val="0"/>
                      <w:numId w:val="2"/>
                    </w:numPr>
                    <w:spacing w:after="45" w:before="45"/>
                  </w:pPr>
                  <w:r>
                    <w:rPr>
                      <w:rFonts w:ascii="Arial" w:cs="Arial" w:eastAsia="Arial" w:hAnsi="Arial"/>
                      <w:color w:val="1A1A1A"/>
                      <w:sz w:val="20"/>
                      <w:szCs w:val="20"/>
                    </w:rPr>
                    <w:t xml:space="preserve">Checklist de conformidad con los 55 estandares IIA 2025 — autoevaluacion trimestral</w:t>
                  </w:r>
                </w:p>
                <w:p>
                  <w:pPr>
                    <w:pStyle w:val="ListParagraph"/>
                    <w:numPr>
                      <w:ilvl w:val="0"/>
                      <w:numId w:val="2"/>
                    </w:numPr>
                    <w:spacing w:after="45" w:before="45"/>
                  </w:pPr>
                  <w:r>
                    <w:rPr>
                      <w:rFonts w:ascii="Arial" w:cs="Arial" w:eastAsia="Arial" w:hAnsi="Arial"/>
                      <w:color w:val="1A1A1A"/>
                      <w:sz w:val="20"/>
                      <w:szCs w:val="20"/>
                    </w:rPr>
                    <w:t xml:space="preserve">Indicadores de efectividad de la funcion: cobertura del plan, tasa de remediacion, calidad de informes</w:t>
                  </w:r>
                </w:p>
                <w:p>
                  <w:pPr>
                    <w:pStyle w:val="ListParagraph"/>
                    <w:numPr>
                      <w:ilvl w:val="0"/>
                      <w:numId w:val="2"/>
                    </w:numPr>
                    <w:spacing w:after="45" w:before="45"/>
                  </w:pPr>
                  <w:r>
                    <w:rPr>
                      <w:rFonts w:ascii="Arial" w:cs="Arial" w:eastAsia="Arial" w:hAnsi="Arial"/>
                      <w:color w:val="1A1A1A"/>
                      <w:sz w:val="20"/>
                      <w:szCs w:val="20"/>
                    </w:rPr>
                    <w:t xml:space="preserve">Encuesta de satisfaccion post-auditoria a los auditados — NPS interno automatico</w:t>
                  </w:r>
                </w:p>
                <w:p>
                  <w:pPr>
                    <w:pStyle w:val="ListParagraph"/>
                    <w:numPr>
                      <w:ilvl w:val="0"/>
                      <w:numId w:val="2"/>
                    </w:numPr>
                    <w:spacing w:after="45" w:before="45"/>
                  </w:pPr>
                  <w:r>
                    <w:rPr>
                      <w:rFonts w:ascii="Arial" w:cs="Arial" w:eastAsia="Arial" w:hAnsi="Arial"/>
                      <w:color w:val="1A1A1A"/>
                      <w:sz w:val="20"/>
                      <w:szCs w:val="20"/>
                    </w:rPr>
                    <w:t xml:space="preserve">Revision de cumplimiento del Code of Ethics del IIA por auditor</w:t>
                  </w:r>
                </w:p>
                <w:p>
                  <w:pPr>
                    <w:pStyle w:val="ListParagraph"/>
                    <w:numPr>
                      <w:ilvl w:val="0"/>
                      <w:numId w:val="2"/>
                    </w:numPr>
                    <w:spacing w:after="45" w:before="45"/>
                  </w:pPr>
                  <w:r>
                    <w:rPr>
                      <w:rFonts w:ascii="Arial" w:cs="Arial" w:eastAsia="Arial" w:hAnsi="Arial"/>
                      <w:color w:val="1A1A1A"/>
                      <w:sz w:val="20"/>
                      <w:szCs w:val="20"/>
                    </w:rPr>
                    <w:t xml:space="preserve">Score de madurez de la funcion: nivel 1 (inicial) a nivel 5 (optimizado) segun modelo IPPF</w:t>
                  </w:r>
                </w:p>
                <w:p>
                  <w:pPr>
                    <w:pStyle w:val="ListParagraph"/>
                    <w:numPr>
                      <w:ilvl w:val="0"/>
                      <w:numId w:val="2"/>
                    </w:numPr>
                    <w:spacing w:after="45" w:before="45"/>
                  </w:pPr>
                  <w:r>
                    <w:rPr>
                      <w:rFonts w:ascii="Arial" w:cs="Arial" w:eastAsia="Arial" w:hAnsi="Arial"/>
                      <w:color w:val="1A1A1A"/>
                      <w:sz w:val="20"/>
                      <w:szCs w:val="20"/>
                    </w:rPr>
                    <w:t xml:space="preserve">Panel de tendencias: evolucion de la calidad en los ultimos 4 trimestres</w:t>
                  </w:r>
                </w:p>
              </w:tc>
            </w:tr>
          </w:tbl>
          <w:p/>
        </w:tc>
        <w:tc>
          <w:tcPr>
            <w:tcW w:type="dxa" w:w="240"/>
            <w:tcBorders>
              <w:top w:val="none" w:color="FFFFFF" w:sz="0"/>
              <w:left w:val="none" w:color="FFFFFF" w:sz="0"/>
              <w:bottom w:val="none" w:color="FFFFFF" w:sz="0"/>
              <w:right w:val="none" w:color="FFFFFF" w:sz="0"/>
            </w:tcBorders>
          </w:tcPr>
          <w:p>
            <w:pPr>
              <w:spacing w:after="120" w:before="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spacing w:after="80" w:before="0"/>
                  </w:pPr>
                  <w:r>
                    <w:rPr>
                      <w:rFonts w:ascii="Arial" w:cs="Arial" w:eastAsia="Arial" w:hAnsi="Arial"/>
                      <w:b/>
                      <w:bCs/>
                      <w:color w:val="0F2D4A"/>
                      <w:sz w:val="20"/>
                      <w:szCs w:val="20"/>
                    </w:rPr>
                    <w:t xml:space="preserve">Sub-modulo: Evaluacion Externa</w:t>
                  </w:r>
                </w:p>
                <w:p>
                  <w:pPr>
                    <w:pStyle w:val="ListParagraph"/>
                    <w:numPr>
                      <w:ilvl w:val="0"/>
                      <w:numId w:val="2"/>
                    </w:numPr>
                    <w:spacing w:after="45" w:before="45"/>
                  </w:pPr>
                  <w:r>
                    <w:rPr>
                      <w:rFonts w:ascii="Arial" w:cs="Arial" w:eastAsia="Arial" w:hAnsi="Arial"/>
                      <w:color w:val="1A1A1A"/>
                      <w:sz w:val="20"/>
                      <w:szCs w:val="20"/>
                    </w:rPr>
                    <w:t xml:space="preserve">Registro de evaluaciones externas quinquenales requeridas por el IIA</w:t>
                  </w:r>
                </w:p>
                <w:p>
                  <w:pPr>
                    <w:pStyle w:val="ListParagraph"/>
                    <w:numPr>
                      <w:ilvl w:val="0"/>
                      <w:numId w:val="2"/>
                    </w:numPr>
                    <w:spacing w:after="45" w:before="45"/>
                  </w:pPr>
                  <w:r>
                    <w:rPr>
                      <w:rFonts w:ascii="Arial" w:cs="Arial" w:eastAsia="Arial" w:hAnsi="Arial"/>
                      <w:color w:val="1A1A1A"/>
                      <w:sz w:val="20"/>
                      <w:szCs w:val="20"/>
                    </w:rPr>
                    <w:t xml:space="preserve">Plan de accion ante hallazgos de la evaluacion externa con seguimiento</w:t>
                  </w:r>
                </w:p>
                <w:p>
                  <w:pPr>
                    <w:pStyle w:val="ListParagraph"/>
                    <w:numPr>
                      <w:ilvl w:val="0"/>
                      <w:numId w:val="2"/>
                    </w:numPr>
                    <w:spacing w:after="45" w:before="45"/>
                  </w:pPr>
                  <w:r>
                    <w:rPr>
                      <w:rFonts w:ascii="Arial" w:cs="Arial" w:eastAsia="Arial" w:hAnsi="Arial"/>
                      <w:color w:val="1A1A1A"/>
                      <w:sz w:val="20"/>
                      <w:szCs w:val="20"/>
                    </w:rPr>
                    <w:t xml:space="preserve">Repositorio de informes de evaluacion externa archivados</w:t>
                  </w:r>
                </w:p>
                <w:p>
                  <w:pPr>
                    <w:pStyle w:val="ListParagraph"/>
                    <w:numPr>
                      <w:ilvl w:val="0"/>
                      <w:numId w:val="2"/>
                    </w:numPr>
                    <w:spacing w:after="45" w:before="45"/>
                  </w:pPr>
                  <w:r>
                    <w:rPr>
                      <w:rFonts w:ascii="Arial" w:cs="Arial" w:eastAsia="Arial" w:hAnsi="Arial"/>
                      <w:color w:val="1A1A1A"/>
                      <w:sz w:val="20"/>
                      <w:szCs w:val="20"/>
                    </w:rPr>
                    <w:t xml:space="preserve">Declaracion anual de independencia de la funcion — firmada digitalmente por el CAE</w:t>
                  </w:r>
                </w:p>
                <w:p>
                  <w:pPr>
                    <w:pStyle w:val="ListParagraph"/>
                    <w:numPr>
                      <w:ilvl w:val="0"/>
                      <w:numId w:val="2"/>
                    </w:numPr>
                    <w:spacing w:after="45" w:before="45"/>
                  </w:pPr>
                  <w:r>
                    <w:rPr>
                      <w:rFonts w:ascii="Arial" w:cs="Arial" w:eastAsia="Arial" w:hAnsi="Arial"/>
                      <w:color w:val="1A1A1A"/>
                      <w:sz w:val="20"/>
                      <w:szCs w:val="20"/>
                    </w:rPr>
                    <w:t xml:space="preserve">Charter de Auditoria Interna: gestion, actualizacion y aprobacion por el Comite</w:t>
                  </w:r>
                </w:p>
                <w:p>
                  <w:pPr>
                    <w:pStyle w:val="ListParagraph"/>
                    <w:numPr>
                      <w:ilvl w:val="0"/>
                      <w:numId w:val="2"/>
                    </w:numPr>
                    <w:spacing w:after="45" w:before="45"/>
                  </w:pPr>
                  <w:r>
                    <w:rPr>
                      <w:rFonts w:ascii="Arial" w:cs="Arial" w:eastAsia="Arial" w:hAnsi="Arial"/>
                      <w:color w:val="1A1A1A"/>
                      <w:sz w:val="20"/>
                      <w:szCs w:val="20"/>
                    </w:rPr>
                    <w:t xml:space="preserve">Comunicacion de resultados del QAIP al Comite de Auditoria — informe semestral</w:t>
                  </w:r>
                </w:p>
              </w:tc>
            </w:tr>
          </w:tbl>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1.2 Nuevo Modulo 14 — Comite de Auditoria</w:t>
      </w:r>
    </w:p>
    <w:p>
      <w:pPr>
        <w:spacing w:after="80" w:before="55"/>
        <w:jc w:val="both"/>
      </w:pPr>
      <w:r>
        <w:rPr>
          <w:rFonts w:ascii="Arial" w:cs="Arial" w:eastAsia="Arial" w:hAnsi="Arial"/>
          <w:color w:val="1A1A1A"/>
          <w:sz w:val="21"/>
          <w:szCs w:val="21"/>
        </w:rPr>
        <w:t xml:space="preserve">El IIA Estandar 12.1 exige comunicacion directa del CAE con el Comite de Auditoria. Este modulo gestiona esa relacion de forma estructurada y trazable.</w:t>
      </w:r>
    </w:p>
    <w:p>
      <w:pPr>
        <w:spacing w:after="80" w:before="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rPr>
          <w:tblHeader/>
        </w:trPr>
        <w:tc>
          <w:tcPr>
            <w:tcW w:type="dxa" w:w="22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Funcionalidad</w:t>
            </w:r>
          </w:p>
        </w:tc>
        <w:tc>
          <w:tcPr>
            <w:tcW w:type="dxa" w:w="42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Descripcion</w:t>
            </w:r>
          </w:p>
        </w:tc>
        <w:tc>
          <w:tcPr>
            <w:tcW w:type="dxa" w:w="31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Alineacion IIA 2025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Agenda del Comite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Preparacion colaborativa de la agenda de cada sesion con temas, tiempos y materiales de soporte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Estandar 12.1 — Comunicacion con el Consejo</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Actas formales</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Registro de acuerdos, votaciones y compromisos con firma digital de los miembros</w:t>
            </w:r>
          </w:p>
        </w:tc>
        <w:tc>
          <w:tcPr>
            <w:tcW w:type="dxa" w:w="3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Estandar 12.2 — Confirmacion de independencia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Informe trimestral al Comite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Formato diferenciado del informe de proyecto: resumen de la funcion, KPIs, riesgos emergentes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Estandar 13.4 — Comunicacion de resultados</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Declaracion de independencia</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Documento anual del CAE ante el Comite confirmando independencia operacional</w:t>
            </w:r>
          </w:p>
        </w:tc>
        <w:tc>
          <w:tcPr>
            <w:tcW w:type="dxa" w:w="3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Estandar 12.2 — Independencia organizacional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Escalamiento bypass gerencia</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Canal directo CAE → Comite cuando gerencia no implementa hallazgos criticos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Estandar 14.2 — Comunicacion de no conformidad</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Charter de Auditoria Interna</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Documento fundacional gestionado, versionado y aprobado electronicamente por el Comite</w:t>
            </w:r>
          </w:p>
        </w:tc>
        <w:tc>
          <w:tcPr>
            <w:tcW w:type="dxa" w:w="3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Estandar 10.1 — Mandato de auditoria interna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Evaluacion del CAE por el Comite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Formulario anual estructurado de evaluacion del desempeno del CAE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Estandar 10.2 — Nombramiento y destitucion</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Portal del Comite</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Acceso exclusivo para miembros del Comite a informes, actas y dashboard estrategico</w:t>
            </w:r>
          </w:p>
        </w:tc>
        <w:tc>
          <w:tcPr>
            <w:tcW w:type="dxa" w:w="3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Principio de Gobernanza IIA</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50"/>
              <w:left w:type="dxa" w:w="220"/>
              <w:bottom w:type="dxa" w:w="150"/>
              <w:right w:type="dxa" w:w="220"/>
            </w:tcMar>
          </w:tcPr>
          <w:p>
            <w:pPr>
              <w:spacing w:after="50" w:before="0"/>
            </w:pPr>
            <w:r>
              <w:rPr>
                <w:rFonts w:ascii="Arial" w:cs="Arial" w:eastAsia="Arial" w:hAnsi="Arial"/>
                <w:sz w:val="28"/>
                <w:szCs w:val="28"/>
              </w:rPr>
              <w:t xml:space="preserve">🏛️  </w:t>
            </w:r>
            <w:r>
              <w:rPr>
                <w:rFonts w:ascii="Arial" w:cs="Arial" w:eastAsia="Arial" w:hAnsi="Arial"/>
                <w:b/>
                <w:bCs/>
                <w:color w:val="1B5FA8"/>
                <w:sz w:val="25"/>
                <w:szCs w:val="25"/>
              </w:rPr>
              <w:t xml:space="preserve">Agente SENADO</w:t>
            </w:r>
            <w:r>
              <w:rPr>
                <w:rFonts w:ascii="Arial" w:cs="Arial" w:eastAsia="Arial" w:hAnsi="Arial"/>
                <w:i/>
                <w:iCs/>
                <w:color w:val="4A4A4A"/>
                <w:sz w:val="19"/>
                <w:szCs w:val="19"/>
              </w:rPr>
              <w:t xml:space="preserve">  |  Asistente del Comite de Auditoria</w:t>
            </w:r>
          </w:p>
          <w:p>
            <w:pPr>
              <w:spacing w:after="80" w:before="0"/>
            </w:pPr>
            <w:r>
              <w:rPr>
                <w:rFonts w:ascii="Arial" w:cs="Arial" w:eastAsia="Arial" w:hAnsi="Arial"/>
                <w:b/>
                <w:bCs/>
                <w:color w:val="0F2D4A"/>
                <w:sz w:val="19"/>
                <w:szCs w:val="19"/>
              </w:rPr>
              <w:t xml:space="preserve">Rol: </w:t>
            </w:r>
            <w:r>
              <w:rPr>
                <w:rFonts w:ascii="Arial" w:cs="Arial" w:eastAsia="Arial" w:hAnsi="Arial"/>
                <w:color w:val="1A1A1A"/>
                <w:sz w:val="19"/>
                <w:szCs w:val="19"/>
              </w:rPr>
              <w:t xml:space="preserve">Asistente ejecutivo especializado en la relacion CAE-Comite de Auditoria. Conoce todos los estandares IIA de comunicacion con el Consejo y actua con el tono y rigor de una sesion de directorio.</w:t>
            </w:r>
          </w:p>
          <w:p>
            <w:pPr>
              <w:pStyle w:val="ListParagraph"/>
              <w:numPr>
                <w:ilvl w:val="0"/>
                <w:numId w:val="2"/>
              </w:numPr>
              <w:spacing w:after="38" w:before="38"/>
            </w:pPr>
            <w:r>
              <w:rPr>
                <w:rFonts w:ascii="Arial" w:cs="Arial" w:eastAsia="Arial" w:hAnsi="Arial"/>
                <w:color w:val="1A1A1A"/>
                <w:sz w:val="19"/>
                <w:szCs w:val="19"/>
              </w:rPr>
              <w:t xml:space="preserve">Prepara automaticamente el borrador de la agenda del Comite basandose en hallazgos abiertos, KPIs del periodo y temas regulatorios emergentes detectados por el Agente Cassandra</w:t>
            </w:r>
          </w:p>
          <w:p>
            <w:pPr>
              <w:pStyle w:val="ListParagraph"/>
              <w:numPr>
                <w:ilvl w:val="0"/>
                <w:numId w:val="2"/>
              </w:numPr>
              <w:spacing w:after="38" w:before="38"/>
            </w:pPr>
            <w:r>
              <w:rPr>
                <w:rFonts w:ascii="Arial" w:cs="Arial" w:eastAsia="Arial" w:hAnsi="Arial"/>
                <w:color w:val="1A1A1A"/>
                <w:sz w:val="19"/>
                <w:szCs w:val="19"/>
              </w:rPr>
              <w:t xml:space="preserve">Redacta el informe trimestral al Comite con lenguaje ejecutivo, comparativo vs. plan y alertas criticas priorizadas</w:t>
            </w:r>
          </w:p>
          <w:p>
            <w:pPr>
              <w:pStyle w:val="ListParagraph"/>
              <w:numPr>
                <w:ilvl w:val="0"/>
                <w:numId w:val="2"/>
              </w:numPr>
              <w:spacing w:after="38" w:before="38"/>
            </w:pPr>
            <w:r>
              <w:rPr>
                <w:rFonts w:ascii="Arial" w:cs="Arial" w:eastAsia="Arial" w:hAnsi="Arial"/>
                <w:color w:val="1A1A1A"/>
                <w:sz w:val="19"/>
                <w:szCs w:val="19"/>
              </w:rPr>
              <w:t xml:space="preserve">Alerta al CAE cuando un hallazgo critico lleva mas de 90 dias sin implementacion — sugiere el escalamiento formal al Comite</w:t>
            </w:r>
          </w:p>
          <w:p>
            <w:pPr>
              <w:pStyle w:val="ListParagraph"/>
              <w:numPr>
                <w:ilvl w:val="0"/>
                <w:numId w:val="2"/>
              </w:numPr>
              <w:spacing w:after="38" w:before="38"/>
            </w:pPr>
            <w:r>
              <w:rPr>
                <w:rFonts w:ascii="Arial" w:cs="Arial" w:eastAsia="Arial" w:hAnsi="Arial"/>
                <w:color w:val="1A1A1A"/>
                <w:sz w:val="19"/>
                <w:szCs w:val="19"/>
              </w:rPr>
              <w:t xml:space="preserve">Resume las actas de sesiones anteriores para preparar el contexto de la siguiente sesion</w:t>
            </w:r>
          </w:p>
          <w:p>
            <w:pPr>
              <w:pStyle w:val="ListParagraph"/>
              <w:numPr>
                <w:ilvl w:val="0"/>
                <w:numId w:val="2"/>
              </w:numPr>
              <w:spacing w:after="38" w:before="38"/>
            </w:pPr>
            <w:r>
              <w:rPr>
                <w:rFonts w:ascii="Arial" w:cs="Arial" w:eastAsia="Arial" w:hAnsi="Arial"/>
                <w:color w:val="1A1A1A"/>
                <w:sz w:val="19"/>
                <w:szCs w:val="19"/>
              </w:rPr>
              <w:t xml:space="preserve">Responde preguntas del CAE en lenguaje natural: cuantos hallazgos criticos debo reportar al Comite este trimestre?</w:t>
            </w:r>
          </w:p>
          <w:p>
            <w:pPr>
              <w:pStyle w:val="ListParagraph"/>
              <w:numPr>
                <w:ilvl w:val="0"/>
                <w:numId w:val="2"/>
              </w:numPr>
              <w:spacing w:after="38" w:before="38"/>
            </w:pPr>
            <w:r>
              <w:rPr>
                <w:rFonts w:ascii="Arial" w:cs="Arial" w:eastAsia="Arial" w:hAnsi="Arial"/>
                <w:color w:val="1A1A1A"/>
                <w:sz w:val="19"/>
                <w:szCs w:val="19"/>
              </w:rPr>
              <w:t xml:space="preserve">Genera la Declaracion de Independencia anual con los campos pre-llenados para revision y firma del CAE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FA8" w:sz="1"/>
              <w:left w:val="single" w:color="1B5FA8" w:sz="1"/>
              <w:bottom w:val="single" w:color="1B5FA8" w:sz="1"/>
              <w:right w:val="single" w:color="1B5FA8" w:sz="1"/>
            </w:tcBorders>
            <w:shd w:fill="EEF6FD" w:val="clear"/>
            <w:tcMar>
              <w:top w:type="dxa" w:w="150"/>
              <w:left w:type="dxa" w:w="220"/>
              <w:bottom w:type="dxa" w:w="150"/>
              <w:right w:type="dxa" w:w="220"/>
            </w:tcMar>
          </w:tcPr>
          <w:p>
            <w:pPr>
              <w:spacing w:after="70" w:before="0"/>
            </w:pPr>
            <w:r>
              <w:rPr>
                <w:rFonts w:ascii="Arial" w:cs="Arial" w:eastAsia="Arial" w:hAnsi="Arial"/>
                <w:b/>
                <w:bCs/>
                <w:color w:val="1B5FA8"/>
                <w:sz w:val="24"/>
                <w:szCs w:val="24"/>
              </w:rPr>
              <w:t xml:space="preserve">📚  RAG-01 — Base Normativa IIA 2025 Completa</w:t>
            </w:r>
          </w:p>
          <w:p>
            <w:pPr>
              <w:spacing w:after="50" w:before="0"/>
            </w:pPr>
            <w:r>
              <w:rPr>
                <w:rFonts w:ascii="Arial" w:cs="Arial" w:eastAsia="Arial" w:hAnsi="Arial"/>
                <w:b/>
                <w:bCs/>
                <w:color w:val="0F2D4A"/>
                <w:sz w:val="19"/>
                <w:szCs w:val="19"/>
              </w:rPr>
              <w:t xml:space="preserve">Alcance: </w:t>
            </w:r>
            <w:r>
              <w:rPr>
                <w:rFonts w:ascii="Arial" w:cs="Arial" w:eastAsia="Arial" w:hAnsi="Arial"/>
                <w:color w:val="1A1A1A"/>
                <w:sz w:val="19"/>
                <w:szCs w:val="19"/>
              </w:rPr>
              <w:t xml:space="preserve">Cubre todos los Estandares Globales de Auditoria Interna IIA 2025, el Marco IPPF, el Codigo de Etica y las Guias de Implementacion</w:t>
            </w:r>
          </w:p>
          <w:p>
            <w:pPr>
              <w:spacing w:after="50" w:before="0"/>
            </w:pPr>
            <w:r>
              <w:rPr>
                <w:rFonts w:ascii="Arial" w:cs="Arial" w:eastAsia="Arial" w:hAnsi="Arial"/>
                <w:b/>
                <w:bCs/>
                <w:color w:val="0F2D4A"/>
                <w:sz w:val="19"/>
                <w:szCs w:val="19"/>
              </w:rPr>
              <w:t xml:space="preserve">Fuentes precargadas: </w:t>
            </w:r>
            <w:r>
              <w:rPr>
                <w:rFonts w:ascii="Arial" w:cs="Arial" w:eastAsia="Arial" w:hAnsi="Arial"/>
                <w:color w:val="1A1A1A"/>
                <w:sz w:val="19"/>
                <w:szCs w:val="19"/>
              </w:rPr>
              <w:t xml:space="preserve">Estandares IIA 2025 (55 estandares completos), Marco IPPF actualizado, Guias de Implementacion por estandar, Guias Suplementarias IIA, Guias de Auditoria Tecnologica (GTAG) 1-16, Position Papers del IIA, Practice Advisories actualizados</w:t>
            </w:r>
          </w:p>
          <w:p>
            <w:pPr>
              <w:spacing w:after="50" w:before="0"/>
            </w:pPr>
            <w:r>
              <w:rPr>
                <w:rFonts w:ascii="Arial" w:cs="Arial" w:eastAsia="Arial" w:hAnsi="Arial"/>
                <w:b/>
                <w:bCs/>
                <w:color w:val="0F2D4A"/>
                <w:sz w:val="19"/>
                <w:szCs w:val="19"/>
              </w:rPr>
              <w:t xml:space="preserve">Estrategia de chunks: </w:t>
            </w:r>
            <w:r>
              <w:rPr>
                <w:rFonts w:ascii="Arial" w:cs="Arial" w:eastAsia="Arial" w:hAnsi="Arial"/>
                <w:color w:val="1A1A1A"/>
                <w:sz w:val="19"/>
                <w:szCs w:val="19"/>
              </w:rPr>
              <w:t xml:space="preserve">Chunks de 600 tokens con solapamiento del 25%. Cada chunk etiquetado con: numero de estandar, categoria (Fundamentos/Desempeno/Comunicacion), tipo de requerimiento (DEBE/DEBERIA/PUEDE)</w:t>
            </w:r>
          </w:p>
          <w:p>
            <w:pPr>
              <w:spacing w:after="50" w:before="0"/>
            </w:pPr>
            <w:r>
              <w:rPr>
                <w:rFonts w:ascii="Arial" w:cs="Arial" w:eastAsia="Arial" w:hAnsi="Arial"/>
                <w:b/>
                <w:bCs/>
                <w:color w:val="0F2D4A"/>
                <w:sz w:val="19"/>
                <w:szCs w:val="19"/>
              </w:rPr>
              <w:t xml:space="preserve">Modelo de embedding: </w:t>
            </w:r>
            <w:r>
              <w:rPr>
                <w:rFonts w:ascii="Arial" w:cs="Arial" w:eastAsia="Arial" w:hAnsi="Arial"/>
                <w:color w:val="1A1A1A"/>
                <w:sz w:val="19"/>
                <w:szCs w:val="19"/>
              </w:rPr>
              <w:t xml:space="preserve">text-embedding-3-large (3072 dims) — mayor precision para terminologia tecnica de auditoria</w:t>
            </w:r>
          </w:p>
          <w:p>
            <w:r>
              <w:rPr>
                <w:rFonts w:ascii="Arial" w:cs="Arial" w:eastAsia="Arial" w:hAnsi="Arial"/>
                <w:b/>
                <w:bCs/>
                <w:color w:val="0F2D4A"/>
                <w:sz w:val="19"/>
                <w:szCs w:val="19"/>
              </w:rPr>
              <w:t xml:space="preserve">Logica de consulta: </w:t>
            </w:r>
            <w:r>
              <w:rPr>
                <w:rFonts w:ascii="Arial" w:cs="Arial" w:eastAsia="Arial" w:hAnsi="Arial"/>
                <w:color w:val="1A1A1A"/>
                <w:sz w:val="19"/>
                <w:szCs w:val="19"/>
              </w:rPr>
              <w:t xml:space="preserve">Busqueda hibrida: vector similarity (70%) + BM25 keyword (30%). Reranking con CrossEncoder. Siempre retorna el numero de estandar y texto exacto. Prioriza estandares sobre guias cuando hay conflicto.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75F6E"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SEC. 2  </w:t>
            </w:r>
            <w:r>
              <w:rPr>
                <w:rFonts w:ascii="Arial" w:cs="Arial" w:eastAsia="Arial" w:hAnsi="Arial"/>
                <w:b/>
                <w:bCs/>
                <w:color w:val="FFFFFF"/>
                <w:sz w:val="32"/>
                <w:szCs w:val="32"/>
              </w:rPr>
              <w:t xml:space="preserve">PAPELES DE TRABAJO — NIVEL PROFESIONAL CIA</w:t>
            </w:r>
          </w:p>
          <w:p>
            <w:r>
              <w:rPr>
                <w:rFonts w:ascii="Arial" w:cs="Arial" w:eastAsia="Arial" w:hAnsi="Arial"/>
                <w:i/>
                <w:iCs/>
                <w:color w:val="BBD4EE"/>
                <w:sz w:val="19"/>
                <w:szCs w:val="19"/>
              </w:rPr>
              <w:t xml:space="preserve">Materialidad + Riesgo de Auditoria + Indices + Confirmaciones</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2.1 Modelo de Materialidad Integrado — NIA 320</w:t>
      </w:r>
    </w:p>
    <w:p>
      <w:pPr>
        <w:spacing w:after="80" w:before="55"/>
        <w:jc w:val="both"/>
      </w:pPr>
      <w:r>
        <w:rPr>
          <w:rFonts w:ascii="Arial" w:cs="Arial" w:eastAsia="Arial" w:hAnsi="Arial"/>
          <w:color w:val="1A1A1A"/>
          <w:sz w:val="21"/>
          <w:szCs w:val="21"/>
        </w:rPr>
        <w:t xml:space="preserve">Brecha critica cerrada. La materialidad es la base metodologica de toda auditoria financiera y determina el nivel de pruebas sustantivas requeridas. Se implementa como componente obligatorio del papel de planificacion.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B8C" w:sz="1"/>
              <w:left w:val="single" w:color="0A7B8C" w:sz="1"/>
              <w:bottom w:val="single" w:color="0A7B8C" w:sz="1"/>
              <w:right w:val="single" w:color="0A7B8C" w:sz="1"/>
            </w:tcBorders>
            <w:shd w:fill="D4F1F5" w:val="clear"/>
            <w:tcMar>
              <w:top w:type="dxa" w:w="160"/>
              <w:left w:type="dxa" w:w="220"/>
              <w:bottom w:type="dxa" w:w="160"/>
              <w:right w:type="dxa" w:w="220"/>
            </w:tcMar>
          </w:tcPr>
          <w:p>
            <w:pPr>
              <w:spacing w:after="80" w:before="0"/>
            </w:pPr>
            <w:r>
              <w:rPr>
                <w:rFonts w:ascii="Arial" w:cs="Arial" w:eastAsia="Arial" w:hAnsi="Arial"/>
                <w:b/>
                <w:bCs/>
                <w:color w:val="0A7B8C"/>
                <w:sz w:val="21"/>
                <w:szCs w:val="21"/>
              </w:rPr>
              <w:t xml:space="preserve">Calculadora de Materialidad — 3 Niveles segun NIA 320:</w:t>
            </w:r>
          </w:p>
          <w:p>
            <w:pPr>
              <w:pStyle w:val="ListParagraph"/>
              <w:numPr>
                <w:ilvl w:val="0"/>
                <w:numId w:val="2"/>
              </w:numPr>
              <w:spacing w:after="45" w:before="45"/>
            </w:pPr>
            <w:r>
              <w:rPr>
                <w:rFonts w:ascii="Arial" w:cs="Arial" w:eastAsia="Arial" w:hAnsi="Arial"/>
                <w:color w:val="1A1A1A"/>
                <w:sz w:val="20"/>
                <w:szCs w:val="20"/>
              </w:rPr>
              <w:t xml:space="preserve">Materialidad Global (MG): el auditor selecciona la base de referencia segun la entidad:</w:t>
            </w:r>
          </w:p>
          <w:p>
            <w:pPr>
              <w:pStyle w:val="ListParagraph"/>
              <w:numPr>
                <w:ilvl w:val="0"/>
                <w:numId w:val="3"/>
              </w:numPr>
              <w:spacing w:after="35" w:before="35"/>
            </w:pPr>
            <w:r>
              <w:rPr>
                <w:rFonts w:ascii="Arial" w:cs="Arial" w:eastAsia="Arial" w:hAnsi="Arial"/>
                <w:color w:val="4A4A4A"/>
                <w:sz w:val="19"/>
                <w:szCs w:val="19"/>
              </w:rPr>
              <w:t xml:space="preserve">Entidad con fines de lucro: 5% de la utilidad antes de impuestos (o 1-2% si la utilidad es inestable)</w:t>
            </w:r>
          </w:p>
          <w:p>
            <w:pPr>
              <w:pStyle w:val="ListParagraph"/>
              <w:numPr>
                <w:ilvl w:val="0"/>
                <w:numId w:val="3"/>
              </w:numPr>
              <w:spacing w:after="35" w:before="35"/>
            </w:pPr>
            <w:r>
              <w:rPr>
                <w:rFonts w:ascii="Arial" w:cs="Arial" w:eastAsia="Arial" w:hAnsi="Arial"/>
                <w:color w:val="4A4A4A"/>
                <w:sz w:val="19"/>
                <w:szCs w:val="19"/>
              </w:rPr>
              <w:t xml:space="preserve">Entidad con fines no lucrativos: 1% de los gastos totales</w:t>
            </w:r>
          </w:p>
          <w:p>
            <w:pPr>
              <w:pStyle w:val="ListParagraph"/>
              <w:numPr>
                <w:ilvl w:val="0"/>
                <w:numId w:val="3"/>
              </w:numPr>
              <w:spacing w:after="35" w:before="35"/>
            </w:pPr>
            <w:r>
              <w:rPr>
                <w:rFonts w:ascii="Arial" w:cs="Arial" w:eastAsia="Arial" w:hAnsi="Arial"/>
                <w:color w:val="4A4A4A"/>
                <w:sz w:val="19"/>
                <w:szCs w:val="19"/>
              </w:rPr>
              <w:t xml:space="preserve">Entidad financiera: 1% de los activos totales bajo gestion</w:t>
            </w:r>
          </w:p>
          <w:p>
            <w:pPr>
              <w:pStyle w:val="ListParagraph"/>
              <w:numPr>
                <w:ilvl w:val="0"/>
                <w:numId w:val="3"/>
              </w:numPr>
              <w:spacing w:after="35" w:before="35"/>
            </w:pPr>
            <w:r>
              <w:rPr>
                <w:rFonts w:ascii="Arial" w:cs="Arial" w:eastAsia="Arial" w:hAnsi="Arial"/>
                <w:color w:val="4A4A4A"/>
                <w:sz w:val="19"/>
                <w:szCs w:val="19"/>
              </w:rPr>
              <w:t xml:space="preserve">Sector publico: 0.5-1% del presupuesto ejecutado</w:t>
            </w:r>
          </w:p>
          <w:p>
            <w:pPr>
              <w:pStyle w:val="ListParagraph"/>
              <w:numPr>
                <w:ilvl w:val="0"/>
                <w:numId w:val="2"/>
              </w:numPr>
              <w:spacing w:after="45" w:before="45"/>
            </w:pPr>
            <w:r>
              <w:rPr>
                <w:rFonts w:ascii="Arial" w:cs="Arial" w:eastAsia="Arial" w:hAnsi="Arial"/>
                <w:color w:val="1A1A1A"/>
                <w:sz w:val="20"/>
                <w:szCs w:val="20"/>
              </w:rPr>
              <w:t xml:space="preserve">Materialidad de Ejecucion (ME): 75% de la MG — umbral para disenar procedimientos y tamaño de muestra</w:t>
            </w:r>
          </w:p>
          <w:p>
            <w:pPr>
              <w:pStyle w:val="ListParagraph"/>
              <w:numPr>
                <w:ilvl w:val="0"/>
                <w:numId w:val="2"/>
              </w:numPr>
              <w:spacing w:after="45" w:before="45"/>
            </w:pPr>
            <w:r>
              <w:rPr>
                <w:rFonts w:ascii="Arial" w:cs="Arial" w:eastAsia="Arial" w:hAnsi="Arial"/>
                <w:color w:val="1A1A1A"/>
                <w:sz w:val="20"/>
                <w:szCs w:val="20"/>
              </w:rPr>
              <w:t xml:space="preserve">Umbral de Acumulacion de Errores (UAE): 50% de la MG — nivel al que errores no materiales individualmente se vuelven materiales en conjunto</w:t>
            </w:r>
          </w:p>
          <w:p>
            <w:pPr>
              <w:spacing w:after="60" w:before="0"/>
            </w:pPr>
            <w:r>
              <w:t xml:space="preserve"/>
            </w:r>
          </w:p>
          <w:p>
            <w:r>
              <w:rPr>
                <w:rFonts w:ascii="Arial" w:cs="Arial" w:eastAsia="Arial" w:hAnsi="Arial"/>
                <w:b/>
                <w:bCs/>
                <w:color w:val="0A7B8C"/>
                <w:sz w:val="19"/>
                <w:szCs w:val="19"/>
              </w:rPr>
              <w:t xml:space="preserve">Vinculacion automatica: </w:t>
            </w:r>
            <w:r>
              <w:rPr>
                <w:rFonts w:ascii="Arial" w:cs="Arial" w:eastAsia="Arial" w:hAnsi="Arial"/>
                <w:color w:val="1A1A1A"/>
                <w:sz w:val="19"/>
                <w:szCs w:val="19"/>
              </w:rPr>
              <w:t xml:space="preserve">la ME se propaga al motor de tamano de muestra de todos los papeles sustantivos del proyecto. El Score de Severidad de Hallazgos compara automaticamente el efecto del hallazgo contra la MG para clasificarlo como material o no material.</w:t>
            </w:r>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2.2 Triangulo de Riesgo de Auditoria — NIA 200 Implementado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2D3F" w:val="clear"/>
            <w:tcMar>
              <w:top w:type="dxa" w:w="60"/>
              <w:left w:type="dxa" w:w="200"/>
              <w:bottom w:type="dxa" w:w="60"/>
              <w:right w:type="dxa" w:w="200"/>
            </w:tcMar>
          </w:tcPr>
          <w:p>
            <w:r>
              <w:rPr>
                <w:rFonts w:ascii="Arial" w:cs="Arial" w:eastAsia="Arial" w:hAnsi="Arial"/>
                <w:b/>
                <w:bCs/>
                <w:color w:val="88AACC"/>
                <w:sz w:val="17"/>
                <w:szCs w:val="17"/>
              </w:rPr>
              <w:t xml:space="preserve">📐 audit-risk-model.ts — Implementacion NIA 200</w:t>
            </w:r>
          </w:p>
        </w:tc>
      </w:tr>
      <w:tr>
        <w:tc>
          <w:tcPr>
            <w:tcBorders>
              <w:top w:val="single" w:color="1A1A2E" w:sz="1"/>
              <w:left w:val="single" w:color="1A1A2E" w:sz="1"/>
              <w:bottom w:val="single" w:color="1A1A2E" w:sz="1"/>
              <w:right w:val="single" w:color="1A1A2E" w:sz="1"/>
            </w:tcBorders>
            <w:shd w:fill="1A1F2E" w:val="clear"/>
            <w:tcMar>
              <w:top w:type="dxa" w:w="130"/>
              <w:left w:type="dxa" w:w="200"/>
              <w:bottom w:type="dxa" w:w="130"/>
              <w:right w:type="dxa" w:w="200"/>
            </w:tcMar>
          </w:tcPr>
          <w:p>
            <w:pPr>
              <w:spacing w:after="16" w:before="16"/>
            </w:pPr>
            <w:r>
              <w:rPr>
                <w:rFonts w:ascii="Courier New" w:cs="Courier New" w:eastAsia="Courier New" w:hAnsi="Courier New"/>
                <w:color w:val="C9D1E0"/>
                <w:sz w:val="17"/>
                <w:szCs w:val="17"/>
              </w:rPr>
              <w:t xml:space="preserve">// Modelo de Riesgo de Auditoria — NIA 200 / ISA 200</w:t>
            </w:r>
          </w:p>
          <w:p>
            <w:pPr>
              <w:spacing w:after="16" w:before="16"/>
            </w:pPr>
            <w:r>
              <w:rPr>
                <w:rFonts w:ascii="Courier New" w:cs="Courier New" w:eastAsia="Courier New" w:hAnsi="Courier New"/>
                <w:color w:val="C9D1E0"/>
                <w:sz w:val="17"/>
                <w:szCs w:val="17"/>
              </w:rPr>
              <w:t xml:space="preserve">// Integrado en el Papel de Planificacion (PT-PL)</w:t>
            </w:r>
          </w:p>
          <w:p>
            <w:pPr>
              <w:spacing w:after="16" w:before="16"/>
            </w:pPr>
            <w:r>
              <w:rPr>
                <w:rFonts w:ascii="Courier New" w:cs="Courier New" w:eastAsia="Courier New" w:hAnsi="Courier New"/>
                <w:color w:val="C9D1E0"/>
                <w:sz w:val="17"/>
                <w:szCs w:val="17"/>
              </w:rPr>
              <w:t xml:space="preserve"/>
            </w:r>
          </w:p>
          <w:p>
            <w:pPr>
              <w:spacing w:after="16" w:before="16"/>
            </w:pPr>
            <w:r>
              <w:rPr>
                <w:rFonts w:ascii="Courier New" w:cs="Courier New" w:eastAsia="Courier New" w:hAnsi="Courier New"/>
                <w:color w:val="C9D1E0"/>
                <w:sz w:val="17"/>
                <w:szCs w:val="17"/>
              </w:rPr>
              <w:t xml:space="preserve">interface AuditRiskModel {</w:t>
            </w:r>
          </w:p>
          <w:p>
            <w:pPr>
              <w:spacing w:after="16" w:before="16"/>
            </w:pPr>
            <w:r>
              <w:rPr>
                <w:rFonts w:ascii="Courier New" w:cs="Courier New" w:eastAsia="Courier New" w:hAnsi="Courier New"/>
                <w:color w:val="C9D1E0"/>
                <w:sz w:val="17"/>
                <w:szCs w:val="17"/>
              </w:rPr>
              <w:t xml:space="preserve">  // Riesgo Inherente (RI) — evaluado por el auditor</w:t>
            </w:r>
          </w:p>
          <w:p>
            <w:pPr>
              <w:spacing w:after="16" w:before="16"/>
            </w:pPr>
            <w:r>
              <w:rPr>
                <w:rFonts w:ascii="Courier New" w:cs="Courier New" w:eastAsia="Courier New" w:hAnsi="Courier New"/>
                <w:color w:val="C9D1E0"/>
                <w:sz w:val="17"/>
                <w:szCs w:val="17"/>
              </w:rPr>
              <w:t xml:space="preserve">  // Factores: complejidad de transacciones, juicios significativos,</w:t>
            </w:r>
          </w:p>
          <w:p>
            <w:pPr>
              <w:spacing w:after="16" w:before="16"/>
            </w:pPr>
            <w:r>
              <w:rPr>
                <w:rFonts w:ascii="Courier New" w:cs="Courier New" w:eastAsia="Courier New" w:hAnsi="Courier New"/>
                <w:color w:val="C9D1E0"/>
                <w:sz w:val="17"/>
                <w:szCs w:val="17"/>
              </w:rPr>
              <w:t xml:space="preserve">  // cambios en el negocio, errores previos, transacciones inusuales</w:t>
            </w:r>
          </w:p>
          <w:p>
            <w:pPr>
              <w:spacing w:after="16" w:before="16"/>
            </w:pPr>
            <w:r>
              <w:rPr>
                <w:rFonts w:ascii="Courier New" w:cs="Courier New" w:eastAsia="Courier New" w:hAnsi="Courier New"/>
                <w:color w:val="C9D1E0"/>
                <w:sz w:val="17"/>
                <w:szCs w:val="17"/>
              </w:rPr>
              <w:t xml:space="preserve">  inherentRisk: 'LOW' | 'MODERATE' | 'HIGH' | 'VERY_HIGH';</w:t>
            </w:r>
          </w:p>
          <w:p>
            <w:pPr>
              <w:spacing w:after="16" w:before="16"/>
            </w:pPr>
            <w:r>
              <w:rPr>
                <w:rFonts w:ascii="Courier New" w:cs="Courier New" w:eastAsia="Courier New" w:hAnsi="Courier New"/>
                <w:color w:val="C9D1E0"/>
                <w:sz w:val="17"/>
                <w:szCs w:val="17"/>
              </w:rPr>
              <w:t xml:space="preserve">  inherentRiskScore: number; // 0.05 a 1.0</w:t>
            </w:r>
          </w:p>
          <w:p>
            <w:pPr>
              <w:spacing w:after="16" w:before="16"/>
            </w:pPr>
            <w:r>
              <w:rPr>
                <w:rFonts w:ascii="Courier New" w:cs="Courier New" w:eastAsia="Courier New" w:hAnsi="Courier New"/>
                <w:color w:val="C9D1E0"/>
                <w:sz w:val="17"/>
                <w:szCs w:val="17"/>
              </w:rPr>
              <w:t xml:space="preserve"/>
            </w:r>
          </w:p>
          <w:p>
            <w:pPr>
              <w:spacing w:after="16" w:before="16"/>
            </w:pPr>
            <w:r>
              <w:rPr>
                <w:rFonts w:ascii="Courier New" w:cs="Courier New" w:eastAsia="Courier New" w:hAnsi="Courier New"/>
                <w:color w:val="C9D1E0"/>
                <w:sz w:val="17"/>
                <w:szCs w:val="17"/>
              </w:rPr>
              <w:t xml:space="preserve">  // Riesgo de Control (RC) — evaluado tras pruebas de controles</w:t>
            </w:r>
          </w:p>
          <w:p>
            <w:pPr>
              <w:spacing w:after="16" w:before="16"/>
            </w:pPr>
            <w:r>
              <w:rPr>
                <w:rFonts w:ascii="Courier New" w:cs="Courier New" w:eastAsia="Courier New" w:hAnsi="Courier New"/>
                <w:color w:val="C9D1E0"/>
                <w:sz w:val="17"/>
                <w:szCs w:val="17"/>
              </w:rPr>
              <w:t xml:space="preserve">  // ALTO si los controles son inexistentes o inefectivos</w:t>
            </w:r>
          </w:p>
          <w:p>
            <w:pPr>
              <w:spacing w:after="16" w:before="16"/>
            </w:pPr>
            <w:r>
              <w:rPr>
                <w:rFonts w:ascii="Courier New" w:cs="Courier New" w:eastAsia="Courier New" w:hAnsi="Courier New"/>
                <w:color w:val="C9D1E0"/>
                <w:sz w:val="17"/>
                <w:szCs w:val="17"/>
              </w:rPr>
              <w:t xml:space="preserve">  // BAJO si los controles son robustos y han sido probados</w:t>
            </w:r>
          </w:p>
          <w:p>
            <w:pPr>
              <w:spacing w:after="16" w:before="16"/>
            </w:pPr>
            <w:r>
              <w:rPr>
                <w:rFonts w:ascii="Courier New" w:cs="Courier New" w:eastAsia="Courier New" w:hAnsi="Courier New"/>
                <w:color w:val="C9D1E0"/>
                <w:sz w:val="17"/>
                <w:szCs w:val="17"/>
              </w:rPr>
              <w:t xml:space="preserve">  controlRisk: 'LOW' | 'MODERATE' | 'HIGH';</w:t>
            </w:r>
          </w:p>
          <w:p>
            <w:pPr>
              <w:spacing w:after="16" w:before="16"/>
            </w:pPr>
            <w:r>
              <w:rPr>
                <w:rFonts w:ascii="Courier New" w:cs="Courier New" w:eastAsia="Courier New" w:hAnsi="Courier New"/>
                <w:color w:val="C9D1E0"/>
                <w:sz w:val="17"/>
                <w:szCs w:val="17"/>
              </w:rPr>
              <w:t xml:space="preserve">  controlRiskScore: number; // 0.05 a 1.0</w:t>
            </w:r>
          </w:p>
          <w:p>
            <w:pPr>
              <w:spacing w:after="16" w:before="16"/>
            </w:pPr>
            <w:r>
              <w:rPr>
                <w:rFonts w:ascii="Courier New" w:cs="Courier New" w:eastAsia="Courier New" w:hAnsi="Courier New"/>
                <w:color w:val="C9D1E0"/>
                <w:sz w:val="17"/>
                <w:szCs w:val="17"/>
              </w:rPr>
              <w:t xml:space="preserve"/>
            </w:r>
          </w:p>
          <w:p>
            <w:pPr>
              <w:spacing w:after="16" w:before="16"/>
            </w:pPr>
            <w:r>
              <w:rPr>
                <w:rFonts w:ascii="Courier New" w:cs="Courier New" w:eastAsia="Courier New" w:hAnsi="Courier New"/>
                <w:color w:val="C9D1E0"/>
                <w:sz w:val="17"/>
                <w:szCs w:val="17"/>
              </w:rPr>
              <w:t xml:space="preserve">  // Riesgo de Deteccion (RD) — calculado por el sistema</w:t>
            </w:r>
          </w:p>
          <w:p>
            <w:pPr>
              <w:spacing w:after="16" w:before="16"/>
            </w:pPr>
            <w:r>
              <w:rPr>
                <w:rFonts w:ascii="Courier New" w:cs="Courier New" w:eastAsia="Courier New" w:hAnsi="Courier New"/>
                <w:color w:val="C9D1E0"/>
                <w:sz w:val="17"/>
                <w:szCs w:val="17"/>
              </w:rPr>
              <w:t xml:space="preserve">  // RD = RA objetivo / (RI x RC)</w:t>
            </w:r>
          </w:p>
          <w:p>
            <w:pPr>
              <w:spacing w:after="16" w:before="16"/>
            </w:pPr>
            <w:r>
              <w:rPr>
                <w:rFonts w:ascii="Courier New" w:cs="Courier New" w:eastAsia="Courier New" w:hAnsi="Courier New"/>
                <w:color w:val="C9D1E0"/>
                <w:sz w:val="17"/>
                <w:szCs w:val="17"/>
              </w:rPr>
              <w:t xml:space="preserve">  // RA objetivo = 0.05 (5% — nivel de auditoria estandar)</w:t>
            </w:r>
          </w:p>
          <w:p>
            <w:pPr>
              <w:spacing w:after="16" w:before="16"/>
            </w:pPr>
            <w:r>
              <w:rPr>
                <w:rFonts w:ascii="Courier New" w:cs="Courier New" w:eastAsia="Courier New" w:hAnsi="Courier New"/>
                <w:color w:val="C9D1E0"/>
                <w:sz w:val="17"/>
                <w:szCs w:val="17"/>
              </w:rPr>
              <w:t xml:space="preserve">  detectionRisk: number; // Lo que el auditor debe alcanzar con sus pruebas</w:t>
            </w:r>
          </w:p>
          <w:p>
            <w:pPr>
              <w:spacing w:after="16" w:before="16"/>
            </w:pPr>
            <w:r>
              <w:rPr>
                <w:rFonts w:ascii="Courier New" w:cs="Courier New" w:eastAsia="Courier New" w:hAnsi="Courier New"/>
                <w:color w:val="C9D1E0"/>
                <w:sz w:val="17"/>
                <w:szCs w:val="17"/>
              </w:rPr>
              <w:t xml:space="preserve"/>
            </w:r>
          </w:p>
          <w:p>
            <w:pPr>
              <w:spacing w:after="16" w:before="16"/>
            </w:pPr>
            <w:r>
              <w:rPr>
                <w:rFonts w:ascii="Courier New" w:cs="Courier New" w:eastAsia="Courier New" w:hAnsi="Courier New"/>
                <w:color w:val="C9D1E0"/>
                <w:sz w:val="17"/>
                <w:szCs w:val="17"/>
              </w:rPr>
              <w:t xml:space="preserve">  // Implicacion directa en el trabajo del auditor:</w:t>
            </w:r>
          </w:p>
          <w:p>
            <w:pPr>
              <w:spacing w:after="16" w:before="16"/>
            </w:pPr>
            <w:r>
              <w:rPr>
                <w:rFonts w:ascii="Courier New" w:cs="Courier New" w:eastAsia="Courier New" w:hAnsi="Courier New"/>
                <w:color w:val="C9D1E0"/>
                <w:sz w:val="17"/>
                <w:szCs w:val="17"/>
              </w:rPr>
              <w:t xml:space="preserve">  // RD Alto → pruebas sustantivas limitadas (controles confiables)</w:t>
            </w:r>
          </w:p>
          <w:p>
            <w:pPr>
              <w:spacing w:after="16" w:before="16"/>
            </w:pPr>
            <w:r>
              <w:rPr>
                <w:rFonts w:ascii="Courier New" w:cs="Courier New" w:eastAsia="Courier New" w:hAnsi="Courier New"/>
                <w:color w:val="C9D1E0"/>
                <w:sz w:val="17"/>
                <w:szCs w:val="17"/>
              </w:rPr>
              <w:t xml:space="preserve">  // RD Bajo → pruebas sustantivas extensas (controles debiles)</w:t>
            </w:r>
          </w:p>
          <w:p>
            <w:pPr>
              <w:spacing w:after="16" w:before="16"/>
            </w:pPr>
            <w:r>
              <w:rPr>
                <w:rFonts w:ascii="Courier New" w:cs="Courier New" w:eastAsia="Courier New" w:hAnsi="Courier New"/>
                <w:color w:val="C9D1E0"/>
                <w:sz w:val="17"/>
                <w:szCs w:val="17"/>
              </w:rPr>
              <w:t xml:space="preserve">  requiredSampleSize: number; // Calculado segun RD y materialidad</w:t>
            </w:r>
          </w:p>
          <w:p>
            <w:pPr>
              <w:spacing w:after="16" w:before="16"/>
            </w:pPr>
            <w:r>
              <w:rPr>
                <w:rFonts w:ascii="Courier New" w:cs="Courier New" w:eastAsia="Courier New" w:hAnsi="Courier New"/>
                <w:color w:val="C9D1E0"/>
                <w:sz w:val="17"/>
                <w:szCs w:val="17"/>
              </w:rPr>
              <w:t xml:space="preserve">  requiredConfidenceLevel: number; // 90%, 95% o 99%</w:t>
            </w:r>
          </w:p>
          <w:p>
            <w:pPr>
              <w:spacing w:after="16" w:before="16"/>
            </w:pPr>
            <w:r>
              <w:rPr>
                <w:rFonts w:ascii="Courier New" w:cs="Courier New" w:eastAsia="Courier New" w:hAnsi="Courier New"/>
                <w:color w:val="C9D1E0"/>
                <w:sz w:val="17"/>
                <w:szCs w:val="17"/>
              </w:rPr>
              <w:t xml:space="preserve">  auditApproach: 'CONTROLS_RELIANCE' | 'SUBSTANTIVE_FOCUS' | 'COMBINED';</w:t>
            </w:r>
          </w:p>
          <w:p>
            <w:pPr>
              <w:spacing w:after="16" w:before="16"/>
            </w:pPr>
            <w:r>
              <w:rPr>
                <w:rFonts w:ascii="Courier New" w:cs="Courier New" w:eastAsia="Courier New" w:hAnsi="Courier New"/>
                <w:color w:val="C9D1E0"/>
                <w:sz w:val="17"/>
                <w:szCs w:val="17"/>
              </w:rPr>
              <w:t xml:space="preserve">}</w:t>
            </w:r>
          </w:p>
          <w:p>
            <w:pPr>
              <w:spacing w:after="16" w:before="16"/>
            </w:pPr>
            <w:r>
              <w:rPr>
                <w:rFonts w:ascii="Courier New" w:cs="Courier New" w:eastAsia="Courier New" w:hAnsi="Courier New"/>
                <w:color w:val="C9D1E0"/>
                <w:sz w:val="17"/>
                <w:szCs w:val="17"/>
              </w:rPr>
              <w:t xml:space="preserve"/>
            </w:r>
          </w:p>
          <w:p>
            <w:pPr>
              <w:spacing w:after="16" w:before="16"/>
            </w:pPr>
            <w:r>
              <w:rPr>
                <w:rFonts w:ascii="Courier New" w:cs="Courier New" w:eastAsia="Courier New" w:hAnsi="Courier New"/>
                <w:color w:val="C9D1E0"/>
                <w:sz w:val="17"/>
                <w:szCs w:val="17"/>
              </w:rPr>
              <w:t xml:space="preserve">// Formula: RA = RI × RC × RD  →  RD = RA / (RI × RC)</w:t>
            </w:r>
          </w:p>
          <w:p>
            <w:pPr>
              <w:spacing w:after="16" w:before="16"/>
            </w:pPr>
            <w:r>
              <w:rPr>
                <w:rFonts w:ascii="Courier New" w:cs="Courier New" w:eastAsia="Courier New" w:hAnsi="Courier New"/>
                <w:color w:val="C9D1E0"/>
                <w:sz w:val="17"/>
                <w:szCs w:val="17"/>
              </w:rPr>
              <w:t xml:space="preserve">// El sistema calcula RD y recomienda el enfoque de auditoria</w:t>
            </w:r>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2.3 Sistema de Tick Marks e Indices Estandarizados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60"/>
                    <w:left w:type="dxa" w:w="220"/>
                    <w:bottom w:type="dxa" w:w="160"/>
                    <w:right w:type="dxa" w:w="220"/>
                  </w:tcMar>
                </w:tcPr>
                <w:p>
                  <w:pPr>
                    <w:spacing w:after="80" w:before="0"/>
                  </w:pPr>
                  <w:r>
                    <w:rPr>
                      <w:rFonts w:ascii="Arial" w:cs="Arial" w:eastAsia="Arial" w:hAnsi="Arial"/>
                      <w:b/>
                      <w:bCs/>
                      <w:color w:val="0F2D4A"/>
                      <w:sz w:val="20"/>
                      <w:szCs w:val="20"/>
                    </w:rPr>
                    <w:t xml:space="preserve">Tick Marks Estandar de Auditoria</w:t>
                  </w:r>
                </w:p>
                <w:p>
                  <w:pPr>
                    <w:pStyle w:val="ListParagraph"/>
                    <w:numPr>
                      <w:ilvl w:val="0"/>
                      <w:numId w:val="2"/>
                    </w:numPr>
                    <w:spacing w:after="45" w:before="45"/>
                  </w:pPr>
                  <w:r>
                    <w:rPr>
                      <w:rFonts w:ascii="Arial" w:cs="Arial" w:eastAsia="Arial" w:hAnsi="Arial"/>
                      <w:color w:val="1A1A1A"/>
                      <w:sz w:val="20"/>
                      <w:szCs w:val="20"/>
                    </w:rPr>
                    <w:t xml:space="preserve">√  Verificado contra documento fuente</w:t>
                  </w:r>
                </w:p>
                <w:p>
                  <w:pPr>
                    <w:pStyle w:val="ListParagraph"/>
                    <w:numPr>
                      <w:ilvl w:val="0"/>
                      <w:numId w:val="2"/>
                    </w:numPr>
                    <w:spacing w:after="45" w:before="45"/>
                  </w:pPr>
                  <w:r>
                    <w:rPr>
                      <w:rFonts w:ascii="Arial" w:cs="Arial" w:eastAsia="Arial" w:hAnsi="Arial"/>
                      <w:color w:val="1A1A1A"/>
                      <w:sz w:val="20"/>
                      <w:szCs w:val="20"/>
                    </w:rPr>
                    <w:t xml:space="preserve">X  Excepcion identificada — vincula a hallazgo</w:t>
                  </w:r>
                </w:p>
                <w:p>
                  <w:pPr>
                    <w:pStyle w:val="ListParagraph"/>
                    <w:numPr>
                      <w:ilvl w:val="0"/>
                      <w:numId w:val="2"/>
                    </w:numPr>
                    <w:spacing w:after="45" w:before="45"/>
                  </w:pPr>
                  <w:r>
                    <w:rPr>
                      <w:rFonts w:ascii="Arial" w:cs="Arial" w:eastAsia="Arial" w:hAnsi="Arial"/>
                      <w:color w:val="1A1A1A"/>
                      <w:sz w:val="20"/>
                      <w:szCs w:val="20"/>
                    </w:rPr>
                    <w:t xml:space="preserve">*  Estimacion o calculo del auditor</w:t>
                  </w:r>
                </w:p>
                <w:p>
                  <w:pPr>
                    <w:pStyle w:val="ListParagraph"/>
                    <w:numPr>
                      <w:ilvl w:val="0"/>
                      <w:numId w:val="2"/>
                    </w:numPr>
                    <w:spacing w:after="45" w:before="45"/>
                  </w:pPr>
                  <w:r>
                    <w:rPr>
                      <w:rFonts w:ascii="Arial" w:cs="Arial" w:eastAsia="Arial" w:hAnsi="Arial"/>
                      <w:color w:val="1A1A1A"/>
                      <w:sz w:val="20"/>
                      <w:szCs w:val="20"/>
                    </w:rPr>
                    <w:t xml:space="preserve">©  Confirmado con tercero (circularizacion)</w:t>
                  </w:r>
                </w:p>
                <w:p>
                  <w:pPr>
                    <w:pStyle w:val="ListParagraph"/>
                    <w:numPr>
                      <w:ilvl w:val="0"/>
                      <w:numId w:val="2"/>
                    </w:numPr>
                    <w:spacing w:after="45" w:before="45"/>
                  </w:pPr>
                  <w:r>
                    <w:rPr>
                      <w:rFonts w:ascii="Arial" w:cs="Arial" w:eastAsia="Arial" w:hAnsi="Arial"/>
                      <w:color w:val="1A1A1A"/>
                      <w:sz w:val="20"/>
                      <w:szCs w:val="20"/>
                    </w:rPr>
                    <w:t xml:space="preserve">R  Recalculado por el auditor — resultado correcto</w:t>
                  </w:r>
                </w:p>
                <w:p>
                  <w:pPr>
                    <w:pStyle w:val="ListParagraph"/>
                    <w:numPr>
                      <w:ilvl w:val="0"/>
                      <w:numId w:val="2"/>
                    </w:numPr>
                    <w:spacing w:after="45" w:before="45"/>
                  </w:pPr>
                  <w:r>
                    <w:rPr>
                      <w:rFonts w:ascii="Arial" w:cs="Arial" w:eastAsia="Arial" w:hAnsi="Arial"/>
                      <w:color w:val="1A1A1A"/>
                      <w:sz w:val="20"/>
                      <w:szCs w:val="20"/>
                    </w:rPr>
                    <w:t xml:space="preserve">F  Footeado (suma verificada) — columna o fila</w:t>
                  </w:r>
                </w:p>
                <w:p>
                  <w:pPr>
                    <w:pStyle w:val="ListParagraph"/>
                    <w:numPr>
                      <w:ilvl w:val="0"/>
                      <w:numId w:val="2"/>
                    </w:numPr>
                    <w:spacing w:after="45" w:before="45"/>
                  </w:pPr>
                  <w:r>
                    <w:rPr>
                      <w:rFonts w:ascii="Arial" w:cs="Arial" w:eastAsia="Arial" w:hAnsi="Arial"/>
                      <w:color w:val="1A1A1A"/>
                      <w:sz w:val="20"/>
                      <w:szCs w:val="20"/>
                    </w:rPr>
                    <w:t xml:space="preserve">CF  Cross-footeado — totales cruzados verificados</w:t>
                  </w:r>
                </w:p>
                <w:p>
                  <w:pPr>
                    <w:pStyle w:val="ListParagraph"/>
                    <w:numPr>
                      <w:ilvl w:val="0"/>
                      <w:numId w:val="2"/>
                    </w:numPr>
                    <w:spacing w:after="45" w:before="45"/>
                  </w:pPr>
                  <w:r>
                    <w:rPr>
                      <w:rFonts w:ascii="Arial" w:cs="Arial" w:eastAsia="Arial" w:hAnsi="Arial"/>
                      <w:color w:val="1A1A1A"/>
                      <w:sz w:val="20"/>
                      <w:szCs w:val="20"/>
                    </w:rPr>
                    <w:t xml:space="preserve">NA  No aplica — con justificacion requerida</w:t>
                  </w:r>
                </w:p>
                <w:p>
                  <w:pPr>
                    <w:pStyle w:val="ListParagraph"/>
                    <w:numPr>
                      <w:ilvl w:val="0"/>
                      <w:numId w:val="2"/>
                    </w:numPr>
                    <w:spacing w:after="45" w:before="45"/>
                  </w:pPr>
                  <w:r>
                    <w:rPr>
                      <w:rFonts w:ascii="Arial" w:cs="Arial" w:eastAsia="Arial" w:hAnsi="Arial"/>
                      <w:color w:val="1A1A1A"/>
                      <w:sz w:val="20"/>
                      <w:szCs w:val="20"/>
                    </w:rPr>
                    <w:t xml:space="preserve">P  Pendiente — debe resolverse antes del cierre</w:t>
                  </w:r>
                </w:p>
                <w:p>
                  <w:pPr>
                    <w:pStyle w:val="ListParagraph"/>
                    <w:numPr>
                      <w:ilvl w:val="0"/>
                      <w:numId w:val="2"/>
                    </w:numPr>
                    <w:spacing w:after="45" w:before="45"/>
                  </w:pPr>
                  <w:r>
                    <w:rPr>
                      <w:rFonts w:ascii="Arial" w:cs="Arial" w:eastAsia="Arial" w:hAnsi="Arial"/>
                      <w:color w:val="1A1A1A"/>
                      <w:sz w:val="20"/>
                      <w:szCs w:val="20"/>
                    </w:rPr>
                    <w:t xml:space="preserve">⚑  Requiere atencion del revisor — flag especial</w:t>
                  </w:r>
                </w:p>
                <w:p>
                  <w:pPr>
                    <w:spacing w:after="40" w:before="0"/>
                  </w:pPr>
                  <w:r>
                    <w:t xml:space="preserve"/>
                  </w:r>
                </w:p>
                <w:p>
                  <w:pPr>
                    <w:spacing w:after="80" w:before="55"/>
                    <w:jc w:val="both"/>
                  </w:pPr>
                  <w:r>
                    <w:rPr>
                      <w:rFonts w:ascii="Arial" w:cs="Arial" w:eastAsia="Arial" w:hAnsi="Arial"/>
                      <w:color w:val="1A1A1A"/>
                      <w:sz w:val="21"/>
                      <w:szCs w:val="21"/>
                    </w:rPr>
                    <w:t xml:space="preserve">Cada tick mark es clicable, queda en el historial y el revisor puede filtrar todos los flags ⚑ del expediente en un clic.</w:t>
                  </w:r>
                </w:p>
              </w:tc>
            </w:tr>
          </w:tbl>
          <w:p/>
        </w:tc>
        <w:tc>
          <w:tcPr>
            <w:tcW w:type="dxa" w:w="240"/>
            <w:tcBorders>
              <w:top w:val="none" w:color="FFFFFF" w:sz="0"/>
              <w:left w:val="none" w:color="FFFFFF" w:sz="0"/>
              <w:bottom w:val="none" w:color="FFFFFF" w:sz="0"/>
              <w:right w:val="none" w:color="FFFFFF" w:sz="0"/>
            </w:tcBorders>
          </w:tcPr>
          <w:p>
            <w:pPr>
              <w:spacing w:after="120" w:before="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9" w:val="clear"/>
                  <w:tcMar>
                    <w:top w:type="dxa" w:w="160"/>
                    <w:left w:type="dxa" w:w="220"/>
                    <w:bottom w:type="dxa" w:w="160"/>
                    <w:right w:type="dxa" w:w="220"/>
                  </w:tcMar>
                </w:tcPr>
                <w:p>
                  <w:pPr>
                    <w:spacing w:after="80" w:before="0"/>
                  </w:pPr>
                  <w:r>
                    <w:rPr>
                      <w:rFonts w:ascii="Arial" w:cs="Arial" w:eastAsia="Arial" w:hAnsi="Arial"/>
                      <w:b/>
                      <w:bCs/>
                      <w:color w:val="0F2D4A"/>
                      <w:sz w:val="20"/>
                      <w:szCs w:val="20"/>
                    </w:rPr>
                    <w:t xml:space="preserve">Sistema de Indices de Expediente</w:t>
                  </w:r>
                </w:p>
                <w:p>
                  <w:pPr>
                    <w:pStyle w:val="ListParagraph"/>
                    <w:numPr>
                      <w:ilvl w:val="0"/>
                      <w:numId w:val="2"/>
                    </w:numPr>
                    <w:spacing w:after="45" w:before="45"/>
                  </w:pPr>
                  <w:r>
                    <w:rPr>
                      <w:rFonts w:ascii="Arial" w:cs="Arial" w:eastAsia="Arial" w:hAnsi="Arial"/>
                      <w:color w:val="1A1A1A"/>
                      <w:sz w:val="20"/>
                      <w:szCs w:val="20"/>
                    </w:rPr>
                    <w:t xml:space="preserve">Indice A — Planificacion y Entendimiento</w:t>
                  </w:r>
                </w:p>
                <w:p>
                  <w:pPr>
                    <w:pStyle w:val="ListParagraph"/>
                    <w:numPr>
                      <w:ilvl w:val="0"/>
                      <w:numId w:val="3"/>
                    </w:numPr>
                    <w:spacing w:after="35" w:before="35"/>
                  </w:pPr>
                  <w:r>
                    <w:rPr>
                      <w:rFonts w:ascii="Arial" w:cs="Arial" w:eastAsia="Arial" w:hAnsi="Arial"/>
                      <w:color w:val="4A4A4A"/>
                      <w:sz w:val="19"/>
                      <w:szCs w:val="19"/>
                    </w:rPr>
                    <w:t xml:space="preserve">A-1 Memo de planificacion</w:t>
                  </w:r>
                </w:p>
                <w:p>
                  <w:pPr>
                    <w:pStyle w:val="ListParagraph"/>
                    <w:numPr>
                      <w:ilvl w:val="0"/>
                      <w:numId w:val="3"/>
                    </w:numPr>
                    <w:spacing w:after="35" w:before="35"/>
                  </w:pPr>
                  <w:r>
                    <w:rPr>
                      <w:rFonts w:ascii="Arial" w:cs="Arial" w:eastAsia="Arial" w:hAnsi="Arial"/>
                      <w:color w:val="4A4A4A"/>
                      <w:sz w:val="19"/>
                      <w:szCs w:val="19"/>
                    </w:rPr>
                    <w:t xml:space="preserve">A-2 Evaluacion de riesgo de auditoria</w:t>
                  </w:r>
                </w:p>
                <w:p>
                  <w:pPr>
                    <w:pStyle w:val="ListParagraph"/>
                    <w:numPr>
                      <w:ilvl w:val="0"/>
                      <w:numId w:val="3"/>
                    </w:numPr>
                    <w:spacing w:after="35" w:before="35"/>
                  </w:pPr>
                  <w:r>
                    <w:rPr>
                      <w:rFonts w:ascii="Arial" w:cs="Arial" w:eastAsia="Arial" w:hAnsi="Arial"/>
                      <w:color w:val="4A4A4A"/>
                      <w:sz w:val="19"/>
                      <w:szCs w:val="19"/>
                    </w:rPr>
                    <w:t xml:space="preserve">A-3 Materialidad calculada</w:t>
                  </w:r>
                </w:p>
                <w:p>
                  <w:pPr>
                    <w:pStyle w:val="ListParagraph"/>
                    <w:numPr>
                      <w:ilvl w:val="0"/>
                      <w:numId w:val="3"/>
                    </w:numPr>
                    <w:spacing w:after="35" w:before="35"/>
                  </w:pPr>
                  <w:r>
                    <w:rPr>
                      <w:rFonts w:ascii="Arial" w:cs="Arial" w:eastAsia="Arial" w:hAnsi="Arial"/>
                      <w:color w:val="4A4A4A"/>
                      <w:sz w:val="19"/>
                      <w:szCs w:val="19"/>
                    </w:rPr>
                    <w:t xml:space="preserve">A-4 Programa de auditoria aprobado</w:t>
                  </w:r>
                </w:p>
                <w:p>
                  <w:pPr>
                    <w:pStyle w:val="ListParagraph"/>
                    <w:numPr>
                      <w:ilvl w:val="0"/>
                      <w:numId w:val="2"/>
                    </w:numPr>
                    <w:spacing w:after="45" w:before="45"/>
                  </w:pPr>
                  <w:r>
                    <w:rPr>
                      <w:rFonts w:ascii="Arial" w:cs="Arial" w:eastAsia="Arial" w:hAnsi="Arial"/>
                      <w:color w:val="1A1A1A"/>
                      <w:sz w:val="20"/>
                      <w:szCs w:val="20"/>
                    </w:rPr>
                    <w:t xml:space="preserve">Indice B — Evaluacion de Controles</w:t>
                  </w:r>
                </w:p>
                <w:p>
                  <w:pPr>
                    <w:pStyle w:val="ListParagraph"/>
                    <w:numPr>
                      <w:ilvl w:val="0"/>
                      <w:numId w:val="3"/>
                    </w:numPr>
                    <w:spacing w:after="35" w:before="35"/>
                  </w:pPr>
                  <w:r>
                    <w:rPr>
                      <w:rFonts w:ascii="Arial" w:cs="Arial" w:eastAsia="Arial" w:hAnsi="Arial"/>
                      <w:color w:val="4A4A4A"/>
                      <w:sz w:val="19"/>
                      <w:szCs w:val="19"/>
                    </w:rPr>
                    <w:t xml:space="preserve">B-1 Cuestionario de controles por proceso</w:t>
                  </w:r>
                </w:p>
                <w:p>
                  <w:pPr>
                    <w:pStyle w:val="ListParagraph"/>
                    <w:numPr>
                      <w:ilvl w:val="0"/>
                      <w:numId w:val="3"/>
                    </w:numPr>
                    <w:spacing w:after="35" w:before="35"/>
                  </w:pPr>
                  <w:r>
                    <w:rPr>
                      <w:rFonts w:ascii="Arial" w:cs="Arial" w:eastAsia="Arial" w:hAnsi="Arial"/>
                      <w:color w:val="4A4A4A"/>
                      <w:sz w:val="19"/>
                      <w:szCs w:val="19"/>
                    </w:rPr>
                    <w:t xml:space="preserve">B-2 Resultado de pruebas de controles</w:t>
                  </w:r>
                </w:p>
                <w:p>
                  <w:pPr>
                    <w:pStyle w:val="ListParagraph"/>
                    <w:numPr>
                      <w:ilvl w:val="0"/>
                      <w:numId w:val="2"/>
                    </w:numPr>
                    <w:spacing w:after="45" w:before="45"/>
                  </w:pPr>
                  <w:r>
                    <w:rPr>
                      <w:rFonts w:ascii="Arial" w:cs="Arial" w:eastAsia="Arial" w:hAnsi="Arial"/>
                      <w:color w:val="1A1A1A"/>
                      <w:sz w:val="20"/>
                      <w:szCs w:val="20"/>
                    </w:rPr>
                    <w:t xml:space="preserve">Indice C — Pruebas Sustantivas</w:t>
                  </w:r>
                </w:p>
                <w:p>
                  <w:pPr>
                    <w:pStyle w:val="ListParagraph"/>
                    <w:numPr>
                      <w:ilvl w:val="0"/>
                      <w:numId w:val="3"/>
                    </w:numPr>
                    <w:spacing w:after="35" w:before="35"/>
                  </w:pPr>
                  <w:r>
                    <w:rPr>
                      <w:rFonts w:ascii="Arial" w:cs="Arial" w:eastAsia="Arial" w:hAnsi="Arial"/>
                      <w:color w:val="4A4A4A"/>
                      <w:sz w:val="19"/>
                      <w:szCs w:val="19"/>
                    </w:rPr>
                    <w:t xml:space="preserve">C-1 a C-n papeles sustantivos por area</w:t>
                  </w:r>
                </w:p>
                <w:p>
                  <w:pPr>
                    <w:pStyle w:val="ListParagraph"/>
                    <w:numPr>
                      <w:ilvl w:val="0"/>
                      <w:numId w:val="2"/>
                    </w:numPr>
                    <w:spacing w:after="45" w:before="45"/>
                  </w:pPr>
                  <w:r>
                    <w:rPr>
                      <w:rFonts w:ascii="Arial" w:cs="Arial" w:eastAsia="Arial" w:hAnsi="Arial"/>
                      <w:color w:val="1A1A1A"/>
                      <w:sz w:val="20"/>
                      <w:szCs w:val="20"/>
                    </w:rPr>
                    <w:t xml:space="preserve">Indice D — Hallazgos y Comunicaciones</w:t>
                  </w:r>
                </w:p>
                <w:p>
                  <w:pPr>
                    <w:pStyle w:val="ListParagraph"/>
                    <w:numPr>
                      <w:ilvl w:val="0"/>
                      <w:numId w:val="3"/>
                    </w:numPr>
                    <w:spacing w:after="35" w:before="35"/>
                  </w:pPr>
                  <w:r>
                    <w:rPr>
                      <w:rFonts w:ascii="Arial" w:cs="Arial" w:eastAsia="Arial" w:hAnsi="Arial"/>
                      <w:color w:val="4A4A4A"/>
                      <w:sz w:val="19"/>
                      <w:szCs w:val="19"/>
                    </w:rPr>
                    <w:t xml:space="preserve">D-1 a D-n papeles de hallazgos</w:t>
                  </w:r>
                </w:p>
                <w:p>
                  <w:pPr>
                    <w:pStyle w:val="ListParagraph"/>
                    <w:numPr>
                      <w:ilvl w:val="0"/>
                      <w:numId w:val="2"/>
                    </w:numPr>
                    <w:spacing w:after="45" w:before="45"/>
                  </w:pPr>
                  <w:r>
                    <w:rPr>
                      <w:rFonts w:ascii="Arial" w:cs="Arial" w:eastAsia="Arial" w:hAnsi="Arial"/>
                      <w:color w:val="1A1A1A"/>
                      <w:sz w:val="20"/>
                      <w:szCs w:val="20"/>
                    </w:rPr>
                    <w:t xml:space="preserve">Indice E — Conclusion y Cierre</w:t>
                  </w:r>
                </w:p>
                <w:p>
                  <w:pPr>
                    <w:pStyle w:val="ListParagraph"/>
                    <w:numPr>
                      <w:ilvl w:val="0"/>
                      <w:numId w:val="3"/>
                    </w:numPr>
                    <w:spacing w:after="35" w:before="35"/>
                  </w:pPr>
                  <w:r>
                    <w:rPr>
                      <w:rFonts w:ascii="Arial" w:cs="Arial" w:eastAsia="Arial" w:hAnsi="Arial"/>
                      <w:color w:val="4A4A4A"/>
                      <w:sz w:val="19"/>
                      <w:szCs w:val="19"/>
                    </w:rPr>
                    <w:t xml:space="preserve">E-1 Conclusion del proyecto</w:t>
                  </w:r>
                </w:p>
                <w:p>
                  <w:pPr>
                    <w:pStyle w:val="ListParagraph"/>
                    <w:numPr>
                      <w:ilvl w:val="0"/>
                      <w:numId w:val="3"/>
                    </w:numPr>
                    <w:spacing w:after="35" w:before="35"/>
                  </w:pPr>
                  <w:r>
                    <w:rPr>
                      <w:rFonts w:ascii="Arial" w:cs="Arial" w:eastAsia="Arial" w:hAnsi="Arial"/>
                      <w:color w:val="4A4A4A"/>
                      <w:sz w:val="19"/>
                      <w:szCs w:val="19"/>
                    </w:rPr>
                    <w:t xml:space="preserve">E-2 Carta de representacion de la gerencia</w:t>
                  </w:r>
                </w:p>
                <w:p>
                  <w:pPr>
                    <w:pStyle w:val="ListParagraph"/>
                    <w:numPr>
                      <w:ilvl w:val="0"/>
                      <w:numId w:val="3"/>
                    </w:numPr>
                    <w:spacing w:after="35" w:before="35"/>
                  </w:pPr>
                  <w:r>
                    <w:rPr>
                      <w:rFonts w:ascii="Arial" w:cs="Arial" w:eastAsia="Arial" w:hAnsi="Arial"/>
                      <w:color w:val="4A4A4A"/>
                      <w:sz w:val="19"/>
                      <w:szCs w:val="19"/>
                    </w:rPr>
                    <w:t xml:space="preserve">E-3 Informe final emitido</w:t>
                  </w:r>
                </w:p>
              </w:tc>
            </w:tr>
          </w:tbl>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2.4 Sub-Modulo de Confirmaciones Externas — NIA 505</w:t>
      </w:r>
    </w:p>
    <w:p>
      <w:pPr>
        <w:spacing w:after="80" w:before="55"/>
        <w:jc w:val="both"/>
      </w:pPr>
      <w:r>
        <w:rPr>
          <w:rFonts w:ascii="Arial" w:cs="Arial" w:eastAsia="Arial" w:hAnsi="Arial"/>
          <w:color w:val="1A1A1A"/>
          <w:sz w:val="21"/>
          <w:szCs w:val="21"/>
        </w:rPr>
        <w:t xml:space="preserve">Brecha critica cerrada. Las confirmaciones externas son el procedimiento de mayor valor probatorio en auditoria financiera. Se implementa como sub-modulo integrado en Ejecucion.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Etapa</w:t>
            </w:r>
          </w:p>
        </w:tc>
        <w:tc>
          <w:tcPr>
            <w:tcW w:type="dxa" w:w="4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Funcionalidad del Sistema</w:t>
            </w:r>
          </w:p>
        </w:tc>
        <w:tc>
          <w:tcPr>
            <w:tcW w:type="dxa" w:w="27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Norma Aplicable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Diseño de la confirmacion</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Plantillas parametrizables por tipo: bancos (saldos, prestamos, garantias), clientes (saldos por cobrar), abogados (litigios contingentes), proveedores (saldos por pagar)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NIA 505 parr. 8-12</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Seleccion de la muestra</w:t>
            </w:r>
          </w:p>
        </w:tc>
        <w:tc>
          <w:tcPr>
            <w:tcW w:type="dxa" w:w="4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Motor de seleccion basado en estratificacion por saldo. Prioriza saldos mayores, inusuales y de contrapartes nuevas. Vinculado a la materialidad del proyecto</w:t>
            </w:r>
          </w:p>
        </w:tc>
        <w:tc>
          <w:tcPr>
            <w:tcW w:type="dxa" w:w="2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NIA 530 — Muestreo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Envio y control</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Envio directo desde el sistema con firma del CAE. Registro de fecha y medio de envio. Control de respuestas esperadas con semaforo de vencimiento</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NIA 505 parr. 7</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Gestion de no respuestas</w:t>
            </w:r>
          </w:p>
        </w:tc>
        <w:tc>
          <w:tcPr>
            <w:tcW w:type="dxa" w:w="4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Alerta automatica a los 15 y 30 dias. Registro de segundo y tercer envio. Activacion de procedimientos alternativos si no hay respuesta en 45 dias</w:t>
            </w:r>
          </w:p>
        </w:tc>
        <w:tc>
          <w:tcPr>
            <w:tcW w:type="dxa" w:w="2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NIA 505 parr. 12-13</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Conciliacion de diferencias</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Cuando la respuesta difiere del saldo en libros: papel de conciliacion automatico con calculo de la diferencia e impacto vs. materialidad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NIA 505 parr. 14-16</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Integracion al expediente</w:t>
            </w:r>
          </w:p>
        </w:tc>
        <w:tc>
          <w:tcPr>
            <w:tcW w:type="dxa" w:w="4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Todas las confirmaciones (enviadas, recibidas, diferencias) indexadas en D-confirmaciones con tick mark © en los saldos verificados</w:t>
            </w:r>
          </w:p>
        </w:tc>
        <w:tc>
          <w:tcPr>
            <w:tcW w:type="dxa" w:w="2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NIA 505 parr. 17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D91"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SEC. 3  </w:t>
            </w:r>
            <w:r>
              <w:rPr>
                <w:rFonts w:ascii="Arial" w:cs="Arial" w:eastAsia="Arial" w:hAnsi="Arial"/>
                <w:b/>
                <w:bCs/>
                <w:color w:val="FFFFFF"/>
                <w:sz w:val="32"/>
                <w:szCs w:val="32"/>
              </w:rPr>
              <w:t xml:space="preserve">AUDITORIA DE TI — COBIT 2019 + NIST CSF 2.0 + ISO 27001</w:t>
            </w:r>
          </w:p>
          <w:p>
            <w:r>
              <w:rPr>
                <w:rFonts w:ascii="Arial" w:cs="Arial" w:eastAsia="Arial" w:hAnsi="Arial"/>
                <w:i/>
                <w:iCs/>
                <w:color w:val="BBD4EE"/>
                <w:sz w:val="19"/>
                <w:szCs w:val="19"/>
              </w:rPr>
              <w:t xml:space="preserve">El Skill de TI mas completo del mercado mid-market</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3.1 Expansion del Skill de Auditoria de TI</w:t>
      </w:r>
    </w:p>
    <w:p>
      <w:pPr>
        <w:spacing w:after="80" w:before="55"/>
        <w:jc w:val="both"/>
      </w:pPr>
      <w:r>
        <w:rPr>
          <w:rFonts w:ascii="Arial" w:cs="Arial" w:eastAsia="Arial" w:hAnsi="Arial"/>
          <w:color w:val="1A1A1A"/>
          <w:sz w:val="21"/>
          <w:szCs w:val="21"/>
        </w:rPr>
        <w:t xml:space="preserve">El Skill de TI previo era generico. Esta version implementa los tres frameworks internacionales completos con procedimientos especificos, cuestionarios mapeados y criterios de evaluacion precisos para cada dominio.</w:t>
      </w:r>
    </w:p>
    <w:p>
      <w:pPr>
        <w:spacing w:after="80" w:before="0"/>
      </w:pPr>
      <w:r>
        <w:t xml:space="preserve"/>
      </w:r>
    </w:p>
    <w:p>
      <w:pPr>
        <w:pStyle w:val="Heading3"/>
        <w:spacing w:after="80" w:before="200"/>
      </w:pPr>
      <w:r>
        <w:rPr>
          <w:rFonts w:ascii="Arial" w:cs="Arial" w:eastAsia="Arial" w:hAnsi="Arial"/>
          <w:b/>
          <w:bCs/>
          <w:color w:val="5B2D91"/>
          <w:sz w:val="23"/>
          <w:szCs w:val="23"/>
        </w:rPr>
        <w:t xml:space="preserve">COBIT 2019 — 40 Objetivos de Gobierno y Gestion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Dominio COBIT 2019</w:t>
            </w:r>
          </w:p>
        </w:tc>
        <w:tc>
          <w:tcPr>
            <w:tcW w:type="dxa" w:w="2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Objetivos Cubiertos</w:t>
            </w:r>
          </w:p>
        </w:tc>
        <w:tc>
          <w:tcPr>
            <w:tcW w:type="dxa" w:w="41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Procedimientos de Auditoria AuditMind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Evaluar, Orientar y Supervisar (EDM)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EDM01-EDM05: Marco de gobierno, beneficios, riesgo, recursos, transparencia</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Revision del marco de gobierno TI, actas del comite de TI, politicas aprobadas, roles y responsabilidades definidos</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Alinear, Planificar y Organizar (APO)</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APO01-APO14: Gestion de estrategia, portafolio, arquitectura, innovacion, riesgo, seguridad, datos, proyectos</w:t>
            </w:r>
          </w:p>
        </w:tc>
        <w:tc>
          <w:tcPr>
            <w:tcW w:type="dxa" w:w="4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Evaluacion de plan estrategico TI, portafolio de proyectos, politica de seguridad, clasificacion de datos, gestion de riesgos TI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Construir, Adquirir e Implementar (BAI)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BAI01-BAI11: Gestion de programas, requerimientos, soluciones, disponibilidad, activos, cambios, ITSM</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Revision del ciclo de cambios, pruebas de acceptance, gestion de activos de software, acuerdos de nivel de servicio</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Entregar, Dar Servicio y Soporte (DSS)</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DSS01-DSS06: Operaciones, solicitudes, problemas, continuidad, seguridad, controles de proceso</w:t>
            </w:r>
          </w:p>
        </w:tc>
        <w:tc>
          <w:tcPr>
            <w:tcW w:type="dxa" w:w="4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Revision de procesos operacionales, gestion de incidentes, plan de continuidad, controles de acceso logico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Monitorear, Evaluar y Valorar (MEA)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MEA01-MEA04: Desempeno, sistema de control interno, compliance externo, aseguramiento</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Evaluacion de metricas TI, revision de cumplimiento regulatorio, informes de auditoria interna de TI anteriores</w:t>
            </w:r>
          </w:p>
        </w:tc>
      </w:tr>
    </w:tbl>
    <w:p>
      <w:pPr>
        <w:spacing w:after="100" w:before="0"/>
      </w:pPr>
      <w:r>
        <w:t xml:space="preserve"/>
      </w:r>
    </w:p>
    <w:p>
      <w:pPr>
        <w:pStyle w:val="Heading3"/>
        <w:spacing w:after="80" w:before="200"/>
      </w:pPr>
      <w:r>
        <w:rPr>
          <w:rFonts w:ascii="Arial" w:cs="Arial" w:eastAsia="Arial" w:hAnsi="Arial"/>
          <w:b/>
          <w:bCs/>
          <w:color w:val="5B2D91"/>
          <w:sz w:val="23"/>
          <w:szCs w:val="23"/>
        </w:rPr>
        <w:t xml:space="preserve">NIST CSF 2.0 — Las 6 Funciones Implementadas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91" w:sz="1"/>
                    <w:left w:val="single" w:color="5B2D91" w:sz="1"/>
                    <w:bottom w:val="single" w:color="5B2D91" w:sz="1"/>
                    <w:right w:val="single" w:color="5B2D91" w:sz="1"/>
                  </w:tcBorders>
                  <w:shd w:fill="EDE4F7" w:val="clear"/>
                  <w:tcMar>
                    <w:top w:type="dxa" w:w="160"/>
                    <w:left w:type="dxa" w:w="220"/>
                    <w:bottom w:type="dxa" w:w="160"/>
                    <w:right w:type="dxa" w:w="220"/>
                  </w:tcMar>
                </w:tcPr>
                <w:p>
                  <w:pPr>
                    <w:pStyle w:val="ListParagraph"/>
                    <w:numPr>
                      <w:ilvl w:val="0"/>
                      <w:numId w:val="2"/>
                    </w:numPr>
                    <w:spacing w:after="45" w:before="45"/>
                  </w:pPr>
                  <w:r>
                    <w:rPr>
                      <w:rFonts w:ascii="Arial" w:cs="Arial" w:eastAsia="Arial" w:hAnsi="Arial"/>
                      <w:color w:val="5B2D91"/>
                      <w:sz w:val="20"/>
                      <w:szCs w:val="20"/>
                    </w:rPr>
                    <w:t xml:space="preserve">GOBERNAR (GV) — Nueva en CSF 2.0</w:t>
                  </w:r>
                </w:p>
                <w:p>
                  <w:pPr>
                    <w:pStyle w:val="ListParagraph"/>
                    <w:numPr>
                      <w:ilvl w:val="0"/>
                      <w:numId w:val="3"/>
                    </w:numPr>
                    <w:spacing w:after="35" w:before="35"/>
                  </w:pPr>
                  <w:r>
                    <w:rPr>
                      <w:rFonts w:ascii="Arial" w:cs="Arial" w:eastAsia="Arial" w:hAnsi="Arial"/>
                      <w:color w:val="4A4A4A"/>
                      <w:sz w:val="19"/>
                      <w:szCs w:val="19"/>
                    </w:rPr>
                    <w:t xml:space="preserve">Politica de ciberseguridad aprobada por el directorio</w:t>
                  </w:r>
                </w:p>
                <w:p>
                  <w:pPr>
                    <w:pStyle w:val="ListParagraph"/>
                    <w:numPr>
                      <w:ilvl w:val="0"/>
                      <w:numId w:val="3"/>
                    </w:numPr>
                    <w:spacing w:after="35" w:before="35"/>
                  </w:pPr>
                  <w:r>
                    <w:rPr>
                      <w:rFonts w:ascii="Arial" w:cs="Arial" w:eastAsia="Arial" w:hAnsi="Arial"/>
                      <w:color w:val="4A4A4A"/>
                      <w:sz w:val="19"/>
                      <w:szCs w:val="19"/>
                    </w:rPr>
                    <w:t xml:space="preserve">Roles y responsabilidades de ciberseguridad definidos</w:t>
                  </w:r>
                </w:p>
                <w:p>
                  <w:pPr>
                    <w:pStyle w:val="ListParagraph"/>
                    <w:numPr>
                      <w:ilvl w:val="0"/>
                      <w:numId w:val="3"/>
                    </w:numPr>
                    <w:spacing w:after="35" w:before="35"/>
                  </w:pPr>
                  <w:r>
                    <w:rPr>
                      <w:rFonts w:ascii="Arial" w:cs="Arial" w:eastAsia="Arial" w:hAnsi="Arial"/>
                      <w:color w:val="4A4A4A"/>
                      <w:sz w:val="19"/>
                      <w:szCs w:val="19"/>
                    </w:rPr>
                    <w:t xml:space="preserve">Estrategia de gestion de riesgos ciberneticos documentada</w:t>
                  </w:r>
                </w:p>
                <w:p>
                  <w:pPr>
                    <w:pStyle w:val="ListParagraph"/>
                    <w:numPr>
                      <w:ilvl w:val="0"/>
                      <w:numId w:val="3"/>
                    </w:numPr>
                    <w:spacing w:after="35" w:before="35"/>
                  </w:pPr>
                  <w:r>
                    <w:rPr>
                      <w:rFonts w:ascii="Arial" w:cs="Arial" w:eastAsia="Arial" w:hAnsi="Arial"/>
                      <w:color w:val="4A4A4A"/>
                      <w:sz w:val="19"/>
                      <w:szCs w:val="19"/>
                    </w:rPr>
                    <w:t xml:space="preserve">Supervision del programa de ciberseguridad por la alta direccion</w:t>
                  </w:r>
                </w:p>
                <w:p>
                  <w:pPr>
                    <w:spacing w:after="40" w:before="0"/>
                  </w:pPr>
                  <w:r>
                    <w:t xml:space="preserve"/>
                  </w:r>
                </w:p>
                <w:p>
                  <w:pPr>
                    <w:pStyle w:val="ListParagraph"/>
                    <w:numPr>
                      <w:ilvl w:val="0"/>
                      <w:numId w:val="2"/>
                    </w:numPr>
                    <w:spacing w:after="45" w:before="45"/>
                  </w:pPr>
                  <w:r>
                    <w:rPr>
                      <w:rFonts w:ascii="Arial" w:cs="Arial" w:eastAsia="Arial" w:hAnsi="Arial"/>
                      <w:color w:val="0F2D4A"/>
                      <w:sz w:val="20"/>
                      <w:szCs w:val="20"/>
                    </w:rPr>
                    <w:t xml:space="preserve">IDENTIFICAR (ID)</w:t>
                  </w:r>
                </w:p>
                <w:p>
                  <w:pPr>
                    <w:pStyle w:val="ListParagraph"/>
                    <w:numPr>
                      <w:ilvl w:val="0"/>
                      <w:numId w:val="3"/>
                    </w:numPr>
                    <w:spacing w:after="35" w:before="35"/>
                  </w:pPr>
                  <w:r>
                    <w:rPr>
                      <w:rFonts w:ascii="Arial" w:cs="Arial" w:eastAsia="Arial" w:hAnsi="Arial"/>
                      <w:color w:val="4A4A4A"/>
                      <w:sz w:val="19"/>
                      <w:szCs w:val="19"/>
                    </w:rPr>
                    <w:t xml:space="preserve">Inventario de activos: hardware, software, datos, servicios</w:t>
                  </w:r>
                </w:p>
                <w:p>
                  <w:pPr>
                    <w:pStyle w:val="ListParagraph"/>
                    <w:numPr>
                      <w:ilvl w:val="0"/>
                      <w:numId w:val="3"/>
                    </w:numPr>
                    <w:spacing w:after="35" w:before="35"/>
                  </w:pPr>
                  <w:r>
                    <w:rPr>
                      <w:rFonts w:ascii="Arial" w:cs="Arial" w:eastAsia="Arial" w:hAnsi="Arial"/>
                      <w:color w:val="4A4A4A"/>
                      <w:sz w:val="19"/>
                      <w:szCs w:val="19"/>
                    </w:rPr>
                    <w:t xml:space="preserve">Evaluacion de riesgos ciberneticos — amenazas y vulnerabilidades</w:t>
                  </w:r>
                </w:p>
                <w:p>
                  <w:pPr>
                    <w:pStyle w:val="ListParagraph"/>
                    <w:numPr>
                      <w:ilvl w:val="0"/>
                      <w:numId w:val="3"/>
                    </w:numPr>
                    <w:spacing w:after="35" w:before="35"/>
                  </w:pPr>
                  <w:r>
                    <w:rPr>
                      <w:rFonts w:ascii="Arial" w:cs="Arial" w:eastAsia="Arial" w:hAnsi="Arial"/>
                      <w:color w:val="4A4A4A"/>
                      <w:sz w:val="19"/>
                      <w:szCs w:val="19"/>
                    </w:rPr>
                    <w:t xml:space="preserve">Mapa de dependencias de sistemas criticos</w:t>
                  </w:r>
                </w:p>
                <w:p>
                  <w:pPr>
                    <w:spacing w:after="40" w:before="0"/>
                  </w:pPr>
                  <w:r>
                    <w:t xml:space="preserve"/>
                  </w:r>
                </w:p>
                <w:p>
                  <w:pPr>
                    <w:pStyle w:val="ListParagraph"/>
                    <w:numPr>
                      <w:ilvl w:val="0"/>
                      <w:numId w:val="2"/>
                    </w:numPr>
                    <w:spacing w:after="45" w:before="45"/>
                  </w:pPr>
                  <w:r>
                    <w:rPr>
                      <w:rFonts w:ascii="Arial" w:cs="Arial" w:eastAsia="Arial" w:hAnsi="Arial"/>
                      <w:color w:val="0A7B8C"/>
                      <w:sz w:val="20"/>
                      <w:szCs w:val="20"/>
                    </w:rPr>
                    <w:t xml:space="preserve">PROTEGER (PR)</w:t>
                  </w:r>
                </w:p>
                <w:p>
                  <w:pPr>
                    <w:pStyle w:val="ListParagraph"/>
                    <w:numPr>
                      <w:ilvl w:val="0"/>
                      <w:numId w:val="3"/>
                    </w:numPr>
                    <w:spacing w:after="35" w:before="35"/>
                  </w:pPr>
                  <w:r>
                    <w:rPr>
                      <w:rFonts w:ascii="Arial" w:cs="Arial" w:eastAsia="Arial" w:hAnsi="Arial"/>
                      <w:color w:val="4A4A4A"/>
                      <w:sz w:val="19"/>
                      <w:szCs w:val="19"/>
                    </w:rPr>
                    <w:t xml:space="preserve">Control de acceso: autenticacion, autorizacion, privilegios</w:t>
                  </w:r>
                </w:p>
                <w:p>
                  <w:pPr>
                    <w:pStyle w:val="ListParagraph"/>
                    <w:numPr>
                      <w:ilvl w:val="0"/>
                      <w:numId w:val="3"/>
                    </w:numPr>
                    <w:spacing w:after="35" w:before="35"/>
                  </w:pPr>
                  <w:r>
                    <w:rPr>
                      <w:rFonts w:ascii="Arial" w:cs="Arial" w:eastAsia="Arial" w:hAnsi="Arial"/>
                      <w:color w:val="4A4A4A"/>
                      <w:sz w:val="19"/>
                      <w:szCs w:val="19"/>
                    </w:rPr>
                    <w:t xml:space="preserve">Gestion de parches y actualizaciones de seguridad</w:t>
                  </w:r>
                </w:p>
                <w:p>
                  <w:pPr>
                    <w:pStyle w:val="ListParagraph"/>
                    <w:numPr>
                      <w:ilvl w:val="0"/>
                      <w:numId w:val="3"/>
                    </w:numPr>
                    <w:spacing w:after="35" w:before="35"/>
                  </w:pPr>
                  <w:r>
                    <w:rPr>
                      <w:rFonts w:ascii="Arial" w:cs="Arial" w:eastAsia="Arial" w:hAnsi="Arial"/>
                      <w:color w:val="4A4A4A"/>
                      <w:sz w:val="19"/>
                      <w:szCs w:val="19"/>
                    </w:rPr>
                    <w:t xml:space="preserve">Cifrado de datos en reposo y en transito</w:t>
                  </w:r>
                </w:p>
                <w:p>
                  <w:pPr>
                    <w:pStyle w:val="ListParagraph"/>
                    <w:numPr>
                      <w:ilvl w:val="0"/>
                      <w:numId w:val="3"/>
                    </w:numPr>
                    <w:spacing w:after="35" w:before="35"/>
                  </w:pPr>
                  <w:r>
                    <w:rPr>
                      <w:rFonts w:ascii="Arial" w:cs="Arial" w:eastAsia="Arial" w:hAnsi="Arial"/>
                      <w:color w:val="4A4A4A"/>
                      <w:sz w:val="19"/>
                      <w:szCs w:val="19"/>
                    </w:rPr>
                    <w:t xml:space="preserve">Formacion y concienciacion en ciberseguridad</w:t>
                  </w:r>
                </w:p>
              </w:tc>
            </w:tr>
          </w:tbl>
          <w:p/>
        </w:tc>
        <w:tc>
          <w:tcPr>
            <w:tcW w:type="dxa" w:w="240"/>
            <w:tcBorders>
              <w:top w:val="none" w:color="FFFFFF" w:sz="0"/>
              <w:left w:val="none" w:color="FFFFFF" w:sz="0"/>
              <w:bottom w:val="none" w:color="FFFFFF" w:sz="0"/>
              <w:right w:val="none" w:color="FFFFFF" w:sz="0"/>
            </w:tcBorders>
          </w:tcPr>
          <w:p>
            <w:pPr>
              <w:spacing w:after="120" w:before="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30A3" w:sz="1"/>
                    <w:left w:val="single" w:color="3730A3" w:sz="1"/>
                    <w:bottom w:val="single" w:color="3730A3" w:sz="1"/>
                    <w:right w:val="single" w:color="3730A3" w:sz="1"/>
                  </w:tcBorders>
                  <w:shd w:fill="E0E7FF" w:val="clear"/>
                  <w:tcMar>
                    <w:top w:type="dxa" w:w="160"/>
                    <w:left w:type="dxa" w:w="220"/>
                    <w:bottom w:type="dxa" w:w="160"/>
                    <w:right w:type="dxa" w:w="220"/>
                  </w:tcMar>
                </w:tcPr>
                <w:p>
                  <w:pPr>
                    <w:pStyle w:val="ListParagraph"/>
                    <w:numPr>
                      <w:ilvl w:val="0"/>
                      <w:numId w:val="2"/>
                    </w:numPr>
                    <w:spacing w:after="45" w:before="45"/>
                  </w:pPr>
                  <w:r>
                    <w:rPr>
                      <w:rFonts w:ascii="Arial" w:cs="Arial" w:eastAsia="Arial" w:hAnsi="Arial"/>
                      <w:color w:val="C25B10"/>
                      <w:sz w:val="20"/>
                      <w:szCs w:val="20"/>
                    </w:rPr>
                    <w:t xml:space="preserve">DETECTAR (DE)</w:t>
                  </w:r>
                </w:p>
                <w:p>
                  <w:pPr>
                    <w:pStyle w:val="ListParagraph"/>
                    <w:numPr>
                      <w:ilvl w:val="0"/>
                      <w:numId w:val="3"/>
                    </w:numPr>
                    <w:spacing w:after="35" w:before="35"/>
                  </w:pPr>
                  <w:r>
                    <w:rPr>
                      <w:rFonts w:ascii="Arial" w:cs="Arial" w:eastAsia="Arial" w:hAnsi="Arial"/>
                      <w:color w:val="4A4A4A"/>
                      <w:sz w:val="19"/>
                      <w:szCs w:val="19"/>
                    </w:rPr>
                    <w:t xml:space="preserve">Monitoreo continuo de eventos de seguridad (SIEM)</w:t>
                  </w:r>
                </w:p>
                <w:p>
                  <w:pPr>
                    <w:pStyle w:val="ListParagraph"/>
                    <w:numPr>
                      <w:ilvl w:val="0"/>
                      <w:numId w:val="3"/>
                    </w:numPr>
                    <w:spacing w:after="35" w:before="35"/>
                  </w:pPr>
                  <w:r>
                    <w:rPr>
                      <w:rFonts w:ascii="Arial" w:cs="Arial" w:eastAsia="Arial" w:hAnsi="Arial"/>
                      <w:color w:val="4A4A4A"/>
                      <w:sz w:val="19"/>
                      <w:szCs w:val="19"/>
                    </w:rPr>
                    <w:t xml:space="preserve">Deteccion de anomalias y comportamientos inusuales</w:t>
                  </w:r>
                </w:p>
                <w:p>
                  <w:pPr>
                    <w:pStyle w:val="ListParagraph"/>
                    <w:numPr>
                      <w:ilvl w:val="0"/>
                      <w:numId w:val="3"/>
                    </w:numPr>
                    <w:spacing w:after="35" w:before="35"/>
                  </w:pPr>
                  <w:r>
                    <w:rPr>
                      <w:rFonts w:ascii="Arial" w:cs="Arial" w:eastAsia="Arial" w:hAnsi="Arial"/>
                      <w:color w:val="4A4A4A"/>
                      <w:sz w:val="19"/>
                      <w:szCs w:val="19"/>
                    </w:rPr>
                    <w:t xml:space="preserve">Analisis de logs de sistemas criticos</w:t>
                  </w:r>
                </w:p>
                <w:p>
                  <w:pPr>
                    <w:spacing w:after="40" w:before="0"/>
                  </w:pPr>
                  <w:r>
                    <w:t xml:space="preserve"/>
                  </w:r>
                </w:p>
                <w:p>
                  <w:pPr>
                    <w:pStyle w:val="ListParagraph"/>
                    <w:numPr>
                      <w:ilvl w:val="0"/>
                      <w:numId w:val="2"/>
                    </w:numPr>
                    <w:spacing w:after="45" w:before="45"/>
                  </w:pPr>
                  <w:r>
                    <w:rPr>
                      <w:rFonts w:ascii="Arial" w:cs="Arial" w:eastAsia="Arial" w:hAnsi="Arial"/>
                      <w:color w:val="C0392B"/>
                      <w:sz w:val="20"/>
                      <w:szCs w:val="20"/>
                    </w:rPr>
                    <w:t xml:space="preserve">RESPONDER (RS)</w:t>
                  </w:r>
                </w:p>
                <w:p>
                  <w:pPr>
                    <w:pStyle w:val="ListParagraph"/>
                    <w:numPr>
                      <w:ilvl w:val="0"/>
                      <w:numId w:val="3"/>
                    </w:numPr>
                    <w:spacing w:after="35" w:before="35"/>
                  </w:pPr>
                  <w:r>
                    <w:rPr>
                      <w:rFonts w:ascii="Arial" w:cs="Arial" w:eastAsia="Arial" w:hAnsi="Arial"/>
                      <w:color w:val="4A4A4A"/>
                      <w:sz w:val="19"/>
                      <w:szCs w:val="19"/>
                    </w:rPr>
                    <w:t xml:space="preserve">Plan de respuesta a incidentes documentado y probado</w:t>
                  </w:r>
                </w:p>
                <w:p>
                  <w:pPr>
                    <w:pStyle w:val="ListParagraph"/>
                    <w:numPr>
                      <w:ilvl w:val="0"/>
                      <w:numId w:val="3"/>
                    </w:numPr>
                    <w:spacing w:after="35" w:before="35"/>
                  </w:pPr>
                  <w:r>
                    <w:rPr>
                      <w:rFonts w:ascii="Arial" w:cs="Arial" w:eastAsia="Arial" w:hAnsi="Arial"/>
                      <w:color w:val="4A4A4A"/>
                      <w:sz w:val="19"/>
                      <w:szCs w:val="19"/>
                    </w:rPr>
                    <w:t xml:space="preserve">Comunicacion de incidentes — interna y a reguladores</w:t>
                  </w:r>
                </w:p>
                <w:p>
                  <w:pPr>
                    <w:pStyle w:val="ListParagraph"/>
                    <w:numPr>
                      <w:ilvl w:val="0"/>
                      <w:numId w:val="3"/>
                    </w:numPr>
                    <w:spacing w:after="35" w:before="35"/>
                  </w:pPr>
                  <w:r>
                    <w:rPr>
                      <w:rFonts w:ascii="Arial" w:cs="Arial" w:eastAsia="Arial" w:hAnsi="Arial"/>
                      <w:color w:val="4A4A4A"/>
                      <w:sz w:val="19"/>
                      <w:szCs w:val="19"/>
                    </w:rPr>
                    <w:t xml:space="preserve">Analisis post-incidente y lecciones aprendidas</w:t>
                  </w:r>
                </w:p>
                <w:p>
                  <w:pPr>
                    <w:spacing w:after="40" w:before="0"/>
                  </w:pPr>
                  <w:r>
                    <w:t xml:space="preserve"/>
                  </w:r>
                </w:p>
                <w:p>
                  <w:pPr>
                    <w:pStyle w:val="ListParagraph"/>
                    <w:numPr>
                      <w:ilvl w:val="0"/>
                      <w:numId w:val="2"/>
                    </w:numPr>
                    <w:spacing w:after="45" w:before="45"/>
                  </w:pPr>
                  <w:r>
                    <w:rPr>
                      <w:rFonts w:ascii="Arial" w:cs="Arial" w:eastAsia="Arial" w:hAnsi="Arial"/>
                      <w:color w:val="1A7A4A"/>
                      <w:sz w:val="20"/>
                      <w:szCs w:val="20"/>
                    </w:rPr>
                    <w:t xml:space="preserve">RECUPERAR (RC)</w:t>
                  </w:r>
                </w:p>
                <w:p>
                  <w:pPr>
                    <w:pStyle w:val="ListParagraph"/>
                    <w:numPr>
                      <w:ilvl w:val="0"/>
                      <w:numId w:val="3"/>
                    </w:numPr>
                    <w:spacing w:after="35" w:before="35"/>
                  </w:pPr>
                  <w:r>
                    <w:rPr>
                      <w:rFonts w:ascii="Arial" w:cs="Arial" w:eastAsia="Arial" w:hAnsi="Arial"/>
                      <w:color w:val="4A4A4A"/>
                      <w:sz w:val="19"/>
                      <w:szCs w:val="19"/>
                    </w:rPr>
                    <w:t xml:space="preserve">Plan de recuperacion — RTO y RPO definidos por sistema</w:t>
                  </w:r>
                </w:p>
                <w:p>
                  <w:pPr>
                    <w:pStyle w:val="ListParagraph"/>
                    <w:numPr>
                      <w:ilvl w:val="0"/>
                      <w:numId w:val="3"/>
                    </w:numPr>
                    <w:spacing w:after="35" w:before="35"/>
                  </w:pPr>
                  <w:r>
                    <w:rPr>
                      <w:rFonts w:ascii="Arial" w:cs="Arial" w:eastAsia="Arial" w:hAnsi="Arial"/>
                      <w:color w:val="4A4A4A"/>
                      <w:sz w:val="19"/>
                      <w:szCs w:val="19"/>
                    </w:rPr>
                    <w:t xml:space="preserve">Pruebas de restauracion de backups verificadas</w:t>
                  </w:r>
                </w:p>
                <w:p>
                  <w:pPr>
                    <w:pStyle w:val="ListParagraph"/>
                    <w:numPr>
                      <w:ilvl w:val="0"/>
                      <w:numId w:val="3"/>
                    </w:numPr>
                    <w:spacing w:after="35" w:before="35"/>
                  </w:pPr>
                  <w:r>
                    <w:rPr>
                      <w:rFonts w:ascii="Arial" w:cs="Arial" w:eastAsia="Arial" w:hAnsi="Arial"/>
                      <w:color w:val="4A4A4A"/>
                      <w:sz w:val="19"/>
                      <w:szCs w:val="19"/>
                    </w:rPr>
                    <w:t xml:space="preserve">Comunicacion durante la recuperacion</w:t>
                  </w:r>
                </w:p>
                <w:p>
                  <w:pPr>
                    <w:spacing w:after="40" w:before="0"/>
                  </w:pPr>
                  <w:r>
                    <w:t xml:space="preserve"/>
                  </w:r>
                </w:p>
                <w:p>
                  <w:pPr>
                    <w:spacing w:after="80" w:before="55"/>
                    <w:jc w:val="both"/>
                  </w:pPr>
                  <w:r>
                    <w:rPr>
                      <w:rFonts w:ascii="Arial" w:cs="Arial" w:eastAsia="Arial" w:hAnsi="Arial"/>
                      <w:color w:val="1A1A1A"/>
                      <w:sz w:val="21"/>
                      <w:szCs w:val="21"/>
                    </w:rPr>
                    <w:t xml:space="preserve">Cada subcategoria del NIST CSF tiene: criterio exacto, procedimiento de auditoria, evidencia esperada y nivel de madurez (1-5).</w:t>
                  </w:r>
                </w:p>
              </w:tc>
            </w:tr>
          </w:tbl>
          <w:p/>
        </w:tc>
      </w:tr>
    </w:tbl>
    <w:p>
      <w:pPr>
        <w:spacing w:after="100" w:before="0"/>
      </w:pPr>
      <w:r>
        <w:t xml:space="preserve"/>
      </w:r>
    </w:p>
    <w:p>
      <w:pPr>
        <w:pStyle w:val="Heading3"/>
        <w:spacing w:after="80" w:before="200"/>
      </w:pPr>
      <w:r>
        <w:rPr>
          <w:rFonts w:ascii="Arial" w:cs="Arial" w:eastAsia="Arial" w:hAnsi="Arial"/>
          <w:b/>
          <w:bCs/>
          <w:color w:val="5B2D91"/>
          <w:sz w:val="23"/>
          <w:szCs w:val="23"/>
        </w:rPr>
        <w:t xml:space="preserve">ISO 27001:2022 — Los 93 Controles del Anexo A</w:t>
      </w:r>
    </w:p>
    <w:p>
      <w:pPr>
        <w:spacing w:after="80" w:before="55"/>
        <w:jc w:val="both"/>
      </w:pPr>
      <w:r>
        <w:rPr>
          <w:rFonts w:ascii="Arial" w:cs="Arial" w:eastAsia="Arial" w:hAnsi="Arial"/>
          <w:color w:val="1A1A1A"/>
          <w:sz w:val="21"/>
          <w:szCs w:val="21"/>
        </w:rPr>
        <w:t xml:space="preserve">El Skill de TI incluye la lista completa de los 93 controles organizados en 4 temas con procedimientos de auditoria y criterios de cumplimiento: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Tema ISO 27001:2022</w:t>
            </w:r>
          </w:p>
        </w:tc>
        <w:tc>
          <w:tcPr>
            <w:tcW w:type="dxa" w:w="14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Num. Controles</w:t>
            </w:r>
          </w:p>
        </w:tc>
        <w:tc>
          <w:tcPr>
            <w:tcW w:type="dxa" w:w="51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Areas Clave de Auditoria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Controles Organizacionales (5.1-5.37)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37 controles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Politicas, roles, gestion de activos, relacion con proveedores, gestion de incidentes, continuidad, cumplimiento legal</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Controles de Personas (6.1-6.8)</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 controles</w:t>
            </w:r>
          </w:p>
        </w:tc>
        <w:tc>
          <w:tcPr>
            <w:tcW w:type="dxa" w:w="5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Verificacion de antecedentes, terminos de empleo, concienciacion, acuerdos de confidencialidad, trabajo remoto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Controles Fisicos (7.1-7.13)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14 controles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Perimetros fisicos, acceso a areas seguras, escritorios limpios, disposicion de medios, mantenimiento de equipos</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Controles Tecnologicos (8.1-8.34)</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34 controles</w:t>
            </w:r>
          </w:p>
        </w:tc>
        <w:tc>
          <w:tcPr>
            <w:tcW w:type="dxa" w:w="5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Endpoints, acceso privilegiado, gestion de claves, SIEM, filtracion de datos, desarrollo seguro, gestion de vulnerabilidades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D1E63" w:sz="1"/>
              <w:left w:val="single" w:color="3D1E63" w:sz="1"/>
              <w:bottom w:val="single" w:color="3D1E63" w:sz="1"/>
              <w:right w:val="single" w:color="3D1E63" w:sz="1"/>
            </w:tcBorders>
            <w:shd w:fill="EDE4F7" w:val="clear"/>
            <w:tcMar>
              <w:top w:type="dxa" w:w="150"/>
              <w:left w:type="dxa" w:w="220"/>
              <w:bottom w:type="dxa" w:w="150"/>
              <w:right w:type="dxa" w:w="220"/>
            </w:tcMar>
          </w:tcPr>
          <w:p>
            <w:pPr>
              <w:spacing w:after="50" w:before="0"/>
            </w:pPr>
            <w:r>
              <w:rPr>
                <w:rFonts w:ascii="Arial" w:cs="Arial" w:eastAsia="Arial" w:hAnsi="Arial"/>
                <w:sz w:val="28"/>
                <w:szCs w:val="28"/>
              </w:rPr>
              <w:t xml:space="preserve">🖥️  </w:t>
            </w:r>
            <w:r>
              <w:rPr>
                <w:rFonts w:ascii="Arial" w:cs="Arial" w:eastAsia="Arial" w:hAnsi="Arial"/>
                <w:b/>
                <w:bCs/>
                <w:color w:val="5B2D91"/>
                <w:sz w:val="25"/>
                <w:szCs w:val="25"/>
              </w:rPr>
              <w:t xml:space="preserve">Agente ATLAS</w:t>
            </w:r>
            <w:r>
              <w:rPr>
                <w:rFonts w:ascii="Arial" w:cs="Arial" w:eastAsia="Arial" w:hAnsi="Arial"/>
                <w:i/>
                <w:iCs/>
                <w:color w:val="4A4A4A"/>
                <w:sz w:val="19"/>
                <w:szCs w:val="19"/>
              </w:rPr>
              <w:t xml:space="preserve">  |  Experto en Auditoria de TI | CISA Intelligence</w:t>
            </w:r>
          </w:p>
          <w:p>
            <w:pPr>
              <w:spacing w:after="80" w:before="0"/>
            </w:pPr>
            <w:r>
              <w:rPr>
                <w:rFonts w:ascii="Arial" w:cs="Arial" w:eastAsia="Arial" w:hAnsi="Arial"/>
                <w:b/>
                <w:bCs/>
                <w:color w:val="0F2D4A"/>
                <w:sz w:val="19"/>
                <w:szCs w:val="19"/>
              </w:rPr>
              <w:t xml:space="preserve">Rol: </w:t>
            </w:r>
            <w:r>
              <w:rPr>
                <w:rFonts w:ascii="Arial" w:cs="Arial" w:eastAsia="Arial" w:hAnsi="Arial"/>
                <w:color w:val="1A1A1A"/>
                <w:sz w:val="19"/>
                <w:szCs w:val="19"/>
              </w:rPr>
              <w:t xml:space="preserve">Especialista en auditoria de tecnologia de la informacion con conocimiento profundo de COBIT 2019, NIST CSF 2.0, ISO 27001:2022, los 16 GTAGs del IIA y frameworks de desarrollo seguro. Equivalente digital de un auditor con certificacion CISA.</w:t>
            </w:r>
          </w:p>
          <w:p>
            <w:pPr>
              <w:pStyle w:val="ListParagraph"/>
              <w:numPr>
                <w:ilvl w:val="0"/>
                <w:numId w:val="2"/>
              </w:numPr>
              <w:spacing w:after="38" w:before="38"/>
            </w:pPr>
            <w:r>
              <w:rPr>
                <w:rFonts w:ascii="Arial" w:cs="Arial" w:eastAsia="Arial" w:hAnsi="Arial"/>
                <w:color w:val="1A1A1A"/>
                <w:sz w:val="19"/>
                <w:szCs w:val="19"/>
              </w:rPr>
              <w:t xml:space="preserve">Genera el programa de auditoria de TI personalizado segun el tipo de sistema, industria y resultados de la evaluacion de riesgo inherente de TI</w:t>
            </w:r>
          </w:p>
          <w:p>
            <w:pPr>
              <w:pStyle w:val="ListParagraph"/>
              <w:numPr>
                <w:ilvl w:val="0"/>
                <w:numId w:val="2"/>
              </w:numPr>
              <w:spacing w:after="38" w:before="38"/>
            </w:pPr>
            <w:r>
              <w:rPr>
                <w:rFonts w:ascii="Arial" w:cs="Arial" w:eastAsia="Arial" w:hAnsi="Arial"/>
                <w:color w:val="1A1A1A"/>
                <w:sz w:val="19"/>
                <w:szCs w:val="19"/>
              </w:rPr>
              <w:t xml:space="preserve">Responde preguntas tecnicas: segun COBIT 2019, que controles debo evaluar en el proceso de gestion de cambios de SAP?</w:t>
            </w:r>
          </w:p>
          <w:p>
            <w:pPr>
              <w:pStyle w:val="ListParagraph"/>
              <w:numPr>
                <w:ilvl w:val="0"/>
                <w:numId w:val="2"/>
              </w:numPr>
              <w:spacing w:after="38" w:before="38"/>
            </w:pPr>
            <w:r>
              <w:rPr>
                <w:rFonts w:ascii="Arial" w:cs="Arial" w:eastAsia="Arial" w:hAnsi="Arial"/>
                <w:color w:val="1A1A1A"/>
                <w:sz w:val="19"/>
                <w:szCs w:val="19"/>
              </w:rPr>
              <w:t xml:space="preserve">Evalua las respuestas del auditado en los cuestionarios NIST/COBIT y califica automaticamente el nivel de madurez (1-5) con justificacion</w:t>
            </w:r>
          </w:p>
          <w:p>
            <w:pPr>
              <w:pStyle w:val="ListParagraph"/>
              <w:numPr>
                <w:ilvl w:val="0"/>
                <w:numId w:val="2"/>
              </w:numPr>
              <w:spacing w:after="38" w:before="38"/>
            </w:pPr>
            <w:r>
              <w:rPr>
                <w:rFonts w:ascii="Arial" w:cs="Arial" w:eastAsia="Arial" w:hAnsi="Arial"/>
                <w:color w:val="1A1A1A"/>
                <w:sz w:val="19"/>
                <w:szCs w:val="19"/>
              </w:rPr>
              <w:t xml:space="preserve">Detecta cuando el auditor esta revisando controles de bajo riesgo y recomienda redirigir los esfuerzos a los controles de mayor riesgo segun el perfil de la entidad</w:t>
            </w:r>
          </w:p>
          <w:p>
            <w:pPr>
              <w:pStyle w:val="ListParagraph"/>
              <w:numPr>
                <w:ilvl w:val="0"/>
                <w:numId w:val="2"/>
              </w:numPr>
              <w:spacing w:after="38" w:before="38"/>
            </w:pPr>
            <w:r>
              <w:rPr>
                <w:rFonts w:ascii="Arial" w:cs="Arial" w:eastAsia="Arial" w:hAnsi="Arial"/>
                <w:color w:val="1A1A1A"/>
                <w:sz w:val="19"/>
                <w:szCs w:val="19"/>
              </w:rPr>
              <w:t xml:space="preserve">Genera alertas cuando identifica hallazgos de TI que tienen implicaciones en la continuidad del negocio — vincula automaticamente con el modulo BCP</w:t>
            </w:r>
          </w:p>
          <w:p>
            <w:pPr>
              <w:pStyle w:val="ListParagraph"/>
              <w:numPr>
                <w:ilvl w:val="0"/>
                <w:numId w:val="2"/>
              </w:numPr>
              <w:spacing w:after="38" w:before="38"/>
            </w:pPr>
            <w:r>
              <w:rPr>
                <w:rFonts w:ascii="Arial" w:cs="Arial" w:eastAsia="Arial" w:hAnsi="Arial"/>
                <w:color w:val="1A1A1A"/>
                <w:sz w:val="19"/>
                <w:szCs w:val="19"/>
              </w:rPr>
              <w:t xml:space="preserve">Asiste en la documentacion de evidencia tecnica: como documentar correctamente una captura de pantalla del SIEM como evidencia de auditoria</w:t>
            </w:r>
          </w:p>
          <w:p>
            <w:pPr>
              <w:pStyle w:val="ListParagraph"/>
              <w:numPr>
                <w:ilvl w:val="0"/>
                <w:numId w:val="2"/>
              </w:numPr>
              <w:spacing w:after="38" w:before="38"/>
            </w:pPr>
            <w:r>
              <w:rPr>
                <w:rFonts w:ascii="Arial" w:cs="Arial" w:eastAsia="Arial" w:hAnsi="Arial"/>
                <w:color w:val="1A1A1A"/>
                <w:sz w:val="19"/>
                <w:szCs w:val="19"/>
              </w:rPr>
              <w:t xml:space="preserve">Traduce hallazgos tecnicos complejos a lenguaje ejecutivo para el informe al Comite de Auditoria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91" w:sz="1"/>
              <w:left w:val="single" w:color="5B2D91" w:sz="1"/>
              <w:bottom w:val="single" w:color="5B2D91" w:sz="1"/>
              <w:right w:val="single" w:color="5B2D91" w:sz="1"/>
            </w:tcBorders>
            <w:shd w:fill="EDE4F7" w:val="clear"/>
            <w:tcMar>
              <w:top w:type="dxa" w:w="150"/>
              <w:left w:type="dxa" w:w="220"/>
              <w:bottom w:type="dxa" w:w="150"/>
              <w:right w:type="dxa" w:w="220"/>
            </w:tcMar>
          </w:tcPr>
          <w:p>
            <w:pPr>
              <w:spacing w:after="70" w:before="0"/>
            </w:pPr>
            <w:r>
              <w:rPr>
                <w:rFonts w:ascii="Arial" w:cs="Arial" w:eastAsia="Arial" w:hAnsi="Arial"/>
                <w:b/>
                <w:bCs/>
                <w:color w:val="5B2D91"/>
                <w:sz w:val="24"/>
                <w:szCs w:val="24"/>
              </w:rPr>
              <w:t xml:space="preserve">📚  RAG-02 — Base de Conocimiento de Auditoria de TI</w:t>
            </w:r>
          </w:p>
          <w:p>
            <w:pPr>
              <w:spacing w:after="50" w:before="0"/>
            </w:pPr>
            <w:r>
              <w:rPr>
                <w:rFonts w:ascii="Arial" w:cs="Arial" w:eastAsia="Arial" w:hAnsi="Arial"/>
                <w:b/>
                <w:bCs/>
                <w:color w:val="0F2D4A"/>
                <w:sz w:val="19"/>
                <w:szCs w:val="19"/>
              </w:rPr>
              <w:t xml:space="preserve">Alcance: </w:t>
            </w:r>
            <w:r>
              <w:rPr>
                <w:rFonts w:ascii="Arial" w:cs="Arial" w:eastAsia="Arial" w:hAnsi="Arial"/>
                <w:color w:val="1A1A1A"/>
                <w:sz w:val="19"/>
                <w:szCs w:val="19"/>
              </w:rPr>
              <w:t xml:space="preserve">Cubre COBIT 2019 completo, NIST CSF 2.0, ISO 27001:2022, los 16 GTAGs del IIA y frameworks de seguridad aplicada</w:t>
            </w:r>
          </w:p>
          <w:p>
            <w:pPr>
              <w:spacing w:after="50" w:before="0"/>
            </w:pPr>
            <w:r>
              <w:rPr>
                <w:rFonts w:ascii="Arial" w:cs="Arial" w:eastAsia="Arial" w:hAnsi="Arial"/>
                <w:b/>
                <w:bCs/>
                <w:color w:val="0F2D4A"/>
                <w:sz w:val="19"/>
                <w:szCs w:val="19"/>
              </w:rPr>
              <w:t xml:space="preserve">Fuentes precargadas: </w:t>
            </w:r>
            <w:r>
              <w:rPr>
                <w:rFonts w:ascii="Arial" w:cs="Arial" w:eastAsia="Arial" w:hAnsi="Arial"/>
                <w:color w:val="1A1A1A"/>
                <w:sz w:val="19"/>
                <w:szCs w:val="19"/>
              </w:rPr>
              <w:t xml:space="preserve">COBIT 2019 Framework + Design Guide + Implementation Guide (completos), NIST CSF 2.0 con todas las subcategorias, ISO 27001:2022 + ISO 27002:2022 (controles), NIST SP 800-53 Rev.5, GTAG 01-16 (IIA), OWASP Top 10 + OWASP ASVS, NIST SP 800-218 (SSDF), CIS Controls v8, SOC 2 Trust Services Criteria, Guias de auditoria de AWS/Azure/GCP</w:t>
            </w:r>
          </w:p>
          <w:p>
            <w:pPr>
              <w:spacing w:after="50" w:before="0"/>
            </w:pPr>
            <w:r>
              <w:rPr>
                <w:rFonts w:ascii="Arial" w:cs="Arial" w:eastAsia="Arial" w:hAnsi="Arial"/>
                <w:b/>
                <w:bCs/>
                <w:color w:val="0F2D4A"/>
                <w:sz w:val="19"/>
                <w:szCs w:val="19"/>
              </w:rPr>
              <w:t xml:space="preserve">Estrategia de chunks: </w:t>
            </w:r>
            <w:r>
              <w:rPr>
                <w:rFonts w:ascii="Arial" w:cs="Arial" w:eastAsia="Arial" w:hAnsi="Arial"/>
                <w:color w:val="1A1A1A"/>
                <w:sz w:val="19"/>
                <w:szCs w:val="19"/>
              </w:rPr>
              <w:t xml:space="preserve">Chunks de 400 tokens. Metadata: framework, dominio, control-ID, nivel de madurez aplicable. Los procedimientos se indexan separados de los criterios para busqueda diferenciada</w:t>
            </w:r>
          </w:p>
          <w:p>
            <w:pPr>
              <w:spacing w:after="50" w:before="0"/>
            </w:pPr>
            <w:r>
              <w:rPr>
                <w:rFonts w:ascii="Arial" w:cs="Arial" w:eastAsia="Arial" w:hAnsi="Arial"/>
                <w:b/>
                <w:bCs/>
                <w:color w:val="0F2D4A"/>
                <w:sz w:val="19"/>
                <w:szCs w:val="19"/>
              </w:rPr>
              <w:t xml:space="preserve">Modelo de embedding: </w:t>
            </w:r>
            <w:r>
              <w:rPr>
                <w:rFonts w:ascii="Arial" w:cs="Arial" w:eastAsia="Arial" w:hAnsi="Arial"/>
                <w:color w:val="1A1A1A"/>
                <w:sz w:val="19"/>
                <w:szCs w:val="19"/>
              </w:rPr>
              <w:t xml:space="preserve">text-embedding-3-large. Indexado por: framework + control-ID + tipo (criterio vs. procedimiento vs. evidencia)</w:t>
            </w:r>
          </w:p>
          <w:p>
            <w:r>
              <w:rPr>
                <w:rFonts w:ascii="Arial" w:cs="Arial" w:eastAsia="Arial" w:hAnsi="Arial"/>
                <w:b/>
                <w:bCs/>
                <w:color w:val="0F2D4A"/>
                <w:sz w:val="19"/>
                <w:szCs w:val="19"/>
              </w:rPr>
              <w:t xml:space="preserve">Logica de consulta: </w:t>
            </w:r>
            <w:r>
              <w:rPr>
                <w:rFonts w:ascii="Arial" w:cs="Arial" w:eastAsia="Arial" w:hAnsi="Arial"/>
                <w:color w:val="1A1A1A"/>
                <w:sz w:val="19"/>
                <w:szCs w:val="19"/>
              </w:rPr>
              <w:t xml:space="preserve">Query expandida: si el auditor pregunta por acceso privilegiado, el sistema busca en COBIT APO09, NIST PR.AC, ISO 27001 A.8.18, y CIS Control 5 simultaneamente. Retorna criterio + procedimiento sugerido + evidencia esperada.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0E08"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SEC. 4  </w:t>
            </w:r>
            <w:r>
              <w:rPr>
                <w:rFonts w:ascii="Arial" w:cs="Arial" w:eastAsia="Arial" w:hAnsi="Arial"/>
                <w:b/>
                <w:bCs/>
                <w:color w:val="FFFFFF"/>
                <w:sz w:val="32"/>
                <w:szCs w:val="32"/>
              </w:rPr>
              <w:t xml:space="preserve">SEGURIDAD DE LA PLATAFORMA — ISO 27001:2022</w:t>
            </w:r>
          </w:p>
          <w:p>
            <w:r>
              <w:rPr>
                <w:rFonts w:ascii="Arial" w:cs="Arial" w:eastAsia="Arial" w:hAnsi="Arial"/>
                <w:i/>
                <w:iCs/>
                <w:color w:val="BBD4EE"/>
                <w:sz w:val="19"/>
                <w:szCs w:val="19"/>
              </w:rPr>
              <w:t xml:space="preserve">AuditMind asegurado al mismo nivel que audita</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4.1 Marco de Seguridad Propio de AuditMind</w:t>
      </w:r>
    </w:p>
    <w:p>
      <w:pPr>
        <w:spacing w:after="80" w:before="55"/>
        <w:jc w:val="both"/>
      </w:pPr>
      <w:r>
        <w:rPr>
          <w:rFonts w:ascii="Arial" w:cs="Arial" w:eastAsia="Arial" w:hAnsi="Arial"/>
          <w:color w:val="1A1A1A"/>
          <w:sz w:val="21"/>
          <w:szCs w:val="21"/>
        </w:rPr>
        <w:t xml:space="preserve">Una plataforma de auditoria que no puede demostrar su propio cumplimiento de seguridad carece de credibilidad. AuditMind implementa un marco de seguridad documentado que puede presentarse a clientes enterprise en due diligence.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60"/>
                    <w:left w:type="dxa" w:w="220"/>
                    <w:bottom w:type="dxa" w:w="160"/>
                    <w:right w:type="dxa" w:w="220"/>
                  </w:tcMar>
                </w:tcPr>
                <w:p>
                  <w:pPr>
                    <w:spacing w:after="80" w:before="0"/>
                  </w:pPr>
                  <w:r>
                    <w:rPr>
                      <w:rFonts w:ascii="Arial" w:cs="Arial" w:eastAsia="Arial" w:hAnsi="Arial"/>
                      <w:b/>
                      <w:bCs/>
                      <w:color w:val="C0392B"/>
                      <w:sz w:val="20"/>
                      <w:szCs w:val="20"/>
                    </w:rPr>
                    <w:t xml:space="preserve">Gestion de Acceso Privilegiado (PAM)</w:t>
                  </w:r>
                </w:p>
                <w:p>
                  <w:pPr>
                    <w:pStyle w:val="ListParagraph"/>
                    <w:numPr>
                      <w:ilvl w:val="0"/>
                      <w:numId w:val="2"/>
                    </w:numPr>
                    <w:spacing w:after="45" w:before="45"/>
                  </w:pPr>
                  <w:r>
                    <w:rPr>
                      <w:rFonts w:ascii="Arial" w:cs="Arial" w:eastAsia="Arial" w:hAnsi="Arial"/>
                      <w:color w:val="1A1A1A"/>
                      <w:sz w:val="20"/>
                      <w:szCs w:val="20"/>
                    </w:rPr>
                    <w:t xml:space="preserve">Super Admin con acceso Just-In-Time (JIT): el acceso se aprueba por solicitud con duracion maxima de 4 horas y razon documentada</w:t>
                  </w:r>
                </w:p>
                <w:p>
                  <w:pPr>
                    <w:pStyle w:val="ListParagraph"/>
                    <w:numPr>
                      <w:ilvl w:val="0"/>
                      <w:numId w:val="2"/>
                    </w:numPr>
                    <w:spacing w:after="45" w:before="45"/>
                  </w:pPr>
                  <w:r>
                    <w:rPr>
                      <w:rFonts w:ascii="Arial" w:cs="Arial" w:eastAsia="Arial" w:hAnsi="Arial"/>
                      <w:color w:val="1A1A1A"/>
                      <w:sz w:val="20"/>
                      <w:szCs w:val="20"/>
                    </w:rPr>
                    <w:t xml:space="preserve">Sesiones privilegiadas grabadas: cada sesion del Super Admin se registra en video con replay disponible para auditoria posterior</w:t>
                  </w:r>
                </w:p>
                <w:p>
                  <w:pPr>
                    <w:pStyle w:val="ListParagraph"/>
                    <w:numPr>
                      <w:ilvl w:val="0"/>
                      <w:numId w:val="2"/>
                    </w:numPr>
                    <w:spacing w:after="45" w:before="45"/>
                  </w:pPr>
                  <w:r>
                    <w:rPr>
                      <w:rFonts w:ascii="Arial" w:cs="Arial" w:eastAsia="Arial" w:hAnsi="Arial"/>
                      <w:color w:val="1A1A1A"/>
                      <w:sz w:val="20"/>
                      <w:szCs w:val="20"/>
                    </w:rPr>
                    <w:t xml:space="preserve">Separacion de funciones: el DBA de Supabase y el Super Admin de la aplicacion son roles tecnicamente separados</w:t>
                  </w:r>
                </w:p>
                <w:p>
                  <w:pPr>
                    <w:pStyle w:val="ListParagraph"/>
                    <w:numPr>
                      <w:ilvl w:val="0"/>
                      <w:numId w:val="2"/>
                    </w:numPr>
                    <w:spacing w:after="45" w:before="45"/>
                  </w:pPr>
                  <w:r>
                    <w:rPr>
                      <w:rFonts w:ascii="Arial" w:cs="Arial" w:eastAsia="Arial" w:hAnsi="Arial"/>
                      <w:color w:val="1A1A1A"/>
                      <w:sz w:val="20"/>
                      <w:szCs w:val="20"/>
                    </w:rPr>
                    <w:t xml:space="preserve">Revocacion inmediata: proceso de offboarding que revoca todos los accesos en menos de 2 horas — documentado y probado</w:t>
                  </w:r>
                </w:p>
                <w:p>
                  <w:pPr>
                    <w:pStyle w:val="ListParagraph"/>
                    <w:numPr>
                      <w:ilvl w:val="0"/>
                      <w:numId w:val="2"/>
                    </w:numPr>
                    <w:spacing w:after="45" w:before="45"/>
                  </w:pPr>
                  <w:r>
                    <w:rPr>
                      <w:rFonts w:ascii="Arial" w:cs="Arial" w:eastAsia="Arial" w:hAnsi="Arial"/>
                      <w:color w:val="1A1A1A"/>
                      <w:sz w:val="20"/>
                      <w:szCs w:val="20"/>
                    </w:rPr>
                    <w:t xml:space="preserve">MFA obligatorio para Super Admin: FIDO2 hardware key requerida — no solo TOTP</w:t>
                  </w:r>
                </w:p>
              </w:tc>
            </w:tr>
          </w:tbl>
          <w:p/>
        </w:tc>
        <w:tc>
          <w:tcPr>
            <w:tcW w:type="dxa" w:w="240"/>
            <w:tcBorders>
              <w:top w:val="none" w:color="FFFFFF" w:sz="0"/>
              <w:left w:val="none" w:color="FFFFFF" w:sz="0"/>
              <w:bottom w:val="none" w:color="FFFFFF" w:sz="0"/>
              <w:right w:val="none" w:color="FFFFFF" w:sz="0"/>
            </w:tcBorders>
          </w:tcPr>
          <w:p>
            <w:pPr>
              <w:spacing w:after="120" w:before="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60"/>
                    <w:left w:type="dxa" w:w="220"/>
                    <w:bottom w:type="dxa" w:w="160"/>
                    <w:right w:type="dxa" w:w="220"/>
                  </w:tcMar>
                </w:tcPr>
                <w:p>
                  <w:pPr>
                    <w:spacing w:after="80" w:before="0"/>
                  </w:pPr>
                  <w:r>
                    <w:rPr>
                      <w:rFonts w:ascii="Arial" w:cs="Arial" w:eastAsia="Arial" w:hAnsi="Arial"/>
                      <w:b/>
                      <w:bCs/>
                      <w:color w:val="C0392B"/>
                      <w:sz w:val="20"/>
                      <w:szCs w:val="20"/>
                    </w:rPr>
                    <w:t xml:space="preserve">Gestion de Vulnerabilidades del Producto</w:t>
                  </w:r>
                </w:p>
                <w:p>
                  <w:pPr>
                    <w:pStyle w:val="ListParagraph"/>
                    <w:numPr>
                      <w:ilvl w:val="0"/>
                      <w:numId w:val="2"/>
                    </w:numPr>
                    <w:spacing w:after="45" w:before="45"/>
                  </w:pPr>
                  <w:r>
                    <w:rPr>
                      <w:rFonts w:ascii="Arial" w:cs="Arial" w:eastAsia="Arial" w:hAnsi="Arial"/>
                      <w:color w:val="1A1A1A"/>
                      <w:sz w:val="20"/>
                      <w:szCs w:val="20"/>
                    </w:rPr>
                    <w:t xml:space="preserve">SAST en CI/CD: escaneo estatico de codigo en cada pull request — bloquea merge si hay vulnerabilidades criticas</w:t>
                  </w:r>
                </w:p>
                <w:p>
                  <w:pPr>
                    <w:pStyle w:val="ListParagraph"/>
                    <w:numPr>
                      <w:ilvl w:val="0"/>
                      <w:numId w:val="2"/>
                    </w:numPr>
                    <w:spacing w:after="45" w:before="45"/>
                  </w:pPr>
                  <w:r>
                    <w:rPr>
                      <w:rFonts w:ascii="Arial" w:cs="Arial" w:eastAsia="Arial" w:hAnsi="Arial"/>
                      <w:color w:val="1A1A1A"/>
                      <w:sz w:val="20"/>
                      <w:szCs w:val="20"/>
                    </w:rPr>
                    <w:t xml:space="preserve">DAST mensual: escaneo dinamico de la aplicacion en staging con OWASP ZAP</w:t>
                  </w:r>
                </w:p>
                <w:p>
                  <w:pPr>
                    <w:pStyle w:val="ListParagraph"/>
                    <w:numPr>
                      <w:ilvl w:val="0"/>
                      <w:numId w:val="2"/>
                    </w:numPr>
                    <w:spacing w:after="45" w:before="45"/>
                  </w:pPr>
                  <w:r>
                    <w:rPr>
                      <w:rFonts w:ascii="Arial" w:cs="Arial" w:eastAsia="Arial" w:hAnsi="Arial"/>
                      <w:color w:val="1A1A1A"/>
                      <w:sz w:val="20"/>
                      <w:szCs w:val="20"/>
                    </w:rPr>
                    <w:t xml:space="preserve">Dependencias: Dependabot o Snyk monitoreando vulnerabilidades en librerias de terceros con auto-PR</w:t>
                  </w:r>
                </w:p>
                <w:p>
                  <w:pPr>
                    <w:pStyle w:val="ListParagraph"/>
                    <w:numPr>
                      <w:ilvl w:val="0"/>
                      <w:numId w:val="2"/>
                    </w:numPr>
                    <w:spacing w:after="45" w:before="45"/>
                  </w:pPr>
                  <w:r>
                    <w:rPr>
                      <w:rFonts w:ascii="Arial" w:cs="Arial" w:eastAsia="Arial" w:hAnsi="Arial"/>
                      <w:color w:val="1A1A1A"/>
                      <w:sz w:val="20"/>
                      <w:szCs w:val="20"/>
                    </w:rPr>
                    <w:t xml:space="preserve">Pentest anual: por firma externa certificada OSCP — informe disponible para clientes enterprise bajo NDA</w:t>
                  </w:r>
                </w:p>
                <w:p>
                  <w:pPr>
                    <w:pStyle w:val="ListParagraph"/>
                    <w:numPr>
                      <w:ilvl w:val="0"/>
                      <w:numId w:val="2"/>
                    </w:numPr>
                    <w:spacing w:after="45" w:before="45"/>
                  </w:pPr>
                  <w:r>
                    <w:rPr>
                      <w:rFonts w:ascii="Arial" w:cs="Arial" w:eastAsia="Arial" w:hAnsi="Arial"/>
                      <w:color w:val="1A1A1A"/>
                      <w:sz w:val="20"/>
                      <w:szCs w:val="20"/>
                    </w:rPr>
                    <w:t xml:space="preserve">Bug Bounty programa: responsable disclosure policy publicada con recompensas definidas</w:t>
                  </w:r>
                </w:p>
                <w:p>
                  <w:pPr>
                    <w:pStyle w:val="ListParagraph"/>
                    <w:numPr>
                      <w:ilvl w:val="0"/>
                      <w:numId w:val="2"/>
                    </w:numPr>
                    <w:spacing w:after="45" w:before="45"/>
                  </w:pPr>
                  <w:r>
                    <w:rPr>
                      <w:rFonts w:ascii="Arial" w:cs="Arial" w:eastAsia="Arial" w:hAnsi="Arial"/>
                      <w:color w:val="1A1A1A"/>
                      <w:sz w:val="20"/>
                      <w:szCs w:val="20"/>
                    </w:rPr>
                    <w:t xml:space="preserve">CVE tracking: registro interno de vulnerabilidades con SLA de remediacion: Critica 24h, Alta 7d, Media 30d</w:t>
                  </w:r>
                </w:p>
              </w:tc>
            </w:tr>
          </w:tbl>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4.2 Politica de Ciclo de Vida de Datos — GDPR / LGPD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Tipo de Dato</w:t>
            </w:r>
          </w:p>
        </w:tc>
        <w:tc>
          <w:tcPr>
            <w:tcW w:type="dxa" w:w="20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Retencion</w:t>
            </w:r>
          </w:p>
        </w:tc>
        <w:tc>
          <w:tcPr>
            <w:tcW w:type="dxa" w:w="26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Eliminacion</w:t>
            </w:r>
          </w:p>
        </w:tc>
        <w:tc>
          <w:tcPr>
            <w:tcW w:type="dxa" w:w="23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Portabilidad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Expedientes de auditoria completos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10 anos desde fecha de informe (ajustable por pais)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Eliminacion verificable con certificado hash antes/despues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Exportacion en JSON + PDF estructurado por modulo</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Papeles de trabajo individuales</w:t>
            </w:r>
          </w:p>
        </w:tc>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10 anos — vinculado al expediente del proyecto</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Eliminacion en cascada al eliminar el expediente</w:t>
            </w:r>
          </w:p>
        </w:tc>
        <w:tc>
          <w:tcPr>
            <w:tcW w:type="dxa" w:w="23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Incluidos en la exportacion del expediente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Datos personales de usuarios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Mientras la relacion contractual este activa + 3 anos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Anonimizacion tecnica (no borrado) para mantener integridad de logs de auditoria</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Exportacion de perfil en JSON estandar</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Logs de auditoria del sistema</w:t>
            </w:r>
          </w:p>
        </w:tc>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7 anos — requerimiento regulatorio</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No eliminables — append-only por diseno</w:t>
            </w:r>
          </w:p>
        </w:tc>
        <w:tc>
          <w:tcPr>
            <w:tcW w:type="dxa" w:w="23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Exportacion bajo solicitud documentada del cliente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Grabaciones de sesiones privilegiadas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2 anos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Eliminacion automatica al vencer + certificado</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No portables — confidencialidad operacional</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Datos de IA / embeddings</w:t>
            </w:r>
          </w:p>
        </w:tc>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Mientras el documento fuente este activo</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Eliminacion automatica al eliminar el documento fuente</w:t>
            </w:r>
          </w:p>
        </w:tc>
        <w:tc>
          <w:tcPr>
            <w:tcW w:type="dxa" w:w="23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No aplicable — datos derivados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75F6E"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SEC. 5  </w:t>
            </w:r>
            <w:r>
              <w:rPr>
                <w:rFonts w:ascii="Arial" w:cs="Arial" w:eastAsia="Arial" w:hAnsi="Arial"/>
                <w:b/>
                <w:bCs/>
                <w:color w:val="FFFFFF"/>
                <w:sz w:val="32"/>
                <w:szCs w:val="32"/>
              </w:rPr>
              <w:t xml:space="preserve">CONTINUIDAD DEL NEGOCIO — ISO 22301:2019</w:t>
            </w:r>
          </w:p>
          <w:p>
            <w:r>
              <w:rPr>
                <w:rFonts w:ascii="Arial" w:cs="Arial" w:eastAsia="Arial" w:hAnsi="Arial"/>
                <w:i/>
                <w:iCs/>
                <w:color w:val="BBD4EE"/>
                <w:sz w:val="19"/>
                <w:szCs w:val="19"/>
              </w:rPr>
              <w:t xml:space="preserve">De 18/100 a 86/100: El modulo que faltaba</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5.1 Nuevo Modulo 15 — Auditoria de Continuidad del Negocio</w:t>
      </w:r>
    </w:p>
    <w:p>
      <w:pPr>
        <w:spacing w:after="80" w:before="55"/>
        <w:jc w:val="both"/>
      </w:pPr>
      <w:r>
        <w:rPr>
          <w:rFonts w:ascii="Arial" w:cs="Arial" w:eastAsia="Arial" w:hAnsi="Arial"/>
          <w:color w:val="1A1A1A"/>
          <w:sz w:val="21"/>
          <w:szCs w:val="21"/>
        </w:rPr>
        <w:t xml:space="preserve">Este es el modulo de mayor impacto en la calificacion del sistema. La auditoria de planes de continuidad del negocio (BCP) y recuperacion ante desastres (DRP) es mandatoria en banca, seguros, salud y sector publico. Con este modulo, AuditMind puede competir en esos mercados.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Sub-modulo</w:t>
            </w:r>
          </w:p>
        </w:tc>
        <w:tc>
          <w:tcPr>
            <w:tcW w:type="dxa" w:w="44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Funcionalidad</w:t>
            </w:r>
          </w:p>
        </w:tc>
        <w:tc>
          <w:tcPr>
            <w:tcW w:type="dxa" w:w="27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Marco Normativo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Evaluacion del Programa BCP</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Revision de la existencia, completitud y actualizacion del programa de continuidad. Cuestionario estructurado con 45 atributos criticos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ISO 22301:2019 clausulas 6-10</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Analisis de Impacto al Negocio (BIA)</w:t>
            </w:r>
          </w:p>
        </w:tc>
        <w:tc>
          <w:tcPr>
            <w:tcW w:type="dxa" w:w="4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Evaluacion del BIA existente: identificacion de procesos criticos, RTO/RPO definidos, dependencias mapeadas, impactos cuantificados</w:t>
            </w:r>
          </w:p>
        </w:tc>
        <w:tc>
          <w:tcPr>
            <w:tcW w:type="dxa" w:w="2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ISO 22301 clausula 8.2.2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Evaluacion de Estrategias de Continuidad</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Revision de que las estrategias seleccionadas son proporcionales a los impactos del BIA y son implementables con los recursos disponibles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ISO 22301 clausula 8.3</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Revision del Plan de Recuperacion (DRP)</w:t>
            </w:r>
          </w:p>
        </w:tc>
        <w:tc>
          <w:tcPr>
            <w:tcW w:type="dxa" w:w="4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Evaluacion del plan tecnico de recuperacion de sistemas: procedimientos de activacion, roles de emergencia, pasos de recuperacion, comunicaciones</w:t>
            </w:r>
          </w:p>
        </w:tc>
        <w:tc>
          <w:tcPr>
            <w:tcW w:type="dxa" w:w="2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ISO 22301 clausula 8.4 + NIST SP 800-34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Evaluacion de Pruebas de Continuidad</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Revision de si el BCP ha sido probado, con que frecuencia, que escenarios se simularon y si se incorporaron las lecciones aprendidas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ISO 22301 clausula 9.1</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Auditoria de Sitio Alterno</w:t>
            </w:r>
          </w:p>
        </w:tc>
        <w:tc>
          <w:tcPr>
            <w:tcW w:type="dxa" w:w="4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Evaluacion del sitio de recuperacion: capacidad, actualizacion de sistemas, conectividad, acceso del personal, contratos vigentes</w:t>
            </w:r>
          </w:p>
        </w:tc>
        <w:tc>
          <w:tcPr>
            <w:tcW w:type="dxa" w:w="2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ISO 22301 + Circulares de bancos centrales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Evaluacion de Proveedores Criticos</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Revision de la continuidad de los principales proveedores — especialmente proveedores cloud, telecomunicaciones y servicios tercerizados criticos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ISO 22301 clausula 8.6</w:t>
            </w:r>
          </w:p>
        </w:tc>
      </w:tr>
      <w:tr>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Programa de Concienciacion BCP</w:t>
            </w:r>
          </w:p>
        </w:tc>
        <w:tc>
          <w:tcPr>
            <w:tcW w:type="dxa" w:w="4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Evaluacion de la capacitacion del personal en los procedimientos de emergencia, listas de llamada actualizadas, y conocimiento de roles de crisis</w:t>
            </w:r>
          </w:p>
        </w:tc>
        <w:tc>
          <w:tcPr>
            <w:tcW w:type="dxa" w:w="27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ISO 22301 clausula 7.3</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75F6E" w:sz="1"/>
              <w:left w:val="single" w:color="075F6E" w:sz="1"/>
              <w:bottom w:val="single" w:color="075F6E" w:sz="1"/>
              <w:right w:val="single" w:color="075F6E" w:sz="1"/>
            </w:tcBorders>
            <w:shd w:fill="D4F1F5" w:val="clear"/>
            <w:tcMar>
              <w:top w:type="dxa" w:w="150"/>
              <w:left w:type="dxa" w:w="220"/>
              <w:bottom w:type="dxa" w:w="150"/>
              <w:right w:type="dxa" w:w="220"/>
            </w:tcMar>
          </w:tcPr>
          <w:p>
            <w:pPr>
              <w:spacing w:after="50" w:before="0"/>
            </w:pPr>
            <w:r>
              <w:rPr>
                <w:rFonts w:ascii="Arial" w:cs="Arial" w:eastAsia="Arial" w:hAnsi="Arial"/>
                <w:sz w:val="28"/>
                <w:szCs w:val="28"/>
              </w:rPr>
              <w:t xml:space="preserve">🔥  </w:t>
            </w:r>
            <w:r>
              <w:rPr>
                <w:rFonts w:ascii="Arial" w:cs="Arial" w:eastAsia="Arial" w:hAnsi="Arial"/>
                <w:b/>
                <w:bCs/>
                <w:color w:val="0A7B8C"/>
                <w:sz w:val="25"/>
                <w:szCs w:val="25"/>
              </w:rPr>
              <w:t xml:space="preserve">Agente FENIX</w:t>
            </w:r>
            <w:r>
              <w:rPr>
                <w:rFonts w:ascii="Arial" w:cs="Arial" w:eastAsia="Arial" w:hAnsi="Arial"/>
                <w:i/>
                <w:iCs/>
                <w:color w:val="4A4A4A"/>
                <w:sz w:val="19"/>
                <w:szCs w:val="19"/>
              </w:rPr>
              <w:t xml:space="preserve">  |  Especialista en Continuidad del Negocio y Recuperacion</w:t>
            </w:r>
          </w:p>
          <w:p>
            <w:pPr>
              <w:spacing w:after="80" w:before="0"/>
            </w:pPr>
            <w:r>
              <w:rPr>
                <w:rFonts w:ascii="Arial" w:cs="Arial" w:eastAsia="Arial" w:hAnsi="Arial"/>
                <w:b/>
                <w:bCs/>
                <w:color w:val="0F2D4A"/>
                <w:sz w:val="19"/>
                <w:szCs w:val="19"/>
              </w:rPr>
              <w:t xml:space="preserve">Rol: </w:t>
            </w:r>
            <w:r>
              <w:rPr>
                <w:rFonts w:ascii="Arial" w:cs="Arial" w:eastAsia="Arial" w:hAnsi="Arial"/>
                <w:color w:val="1A1A1A"/>
                <w:sz w:val="19"/>
                <w:szCs w:val="19"/>
              </w:rPr>
              <w:t xml:space="preserve">Experto en ISO 22301:2019, NIST SP 800-34 (contingency planning), regulaciones de banca central y mejores practicas de BCP/DRP. Nombre inspirado en el ave fenix que renace — simbolo de la recuperacion.</w:t>
            </w:r>
          </w:p>
          <w:p>
            <w:pPr>
              <w:pStyle w:val="ListParagraph"/>
              <w:numPr>
                <w:ilvl w:val="0"/>
                <w:numId w:val="2"/>
              </w:numPr>
              <w:spacing w:after="38" w:before="38"/>
            </w:pPr>
            <w:r>
              <w:rPr>
                <w:rFonts w:ascii="Arial" w:cs="Arial" w:eastAsia="Arial" w:hAnsi="Arial"/>
                <w:color w:val="1A1A1A"/>
                <w:sz w:val="19"/>
                <w:szCs w:val="19"/>
              </w:rPr>
              <w:t xml:space="preserve">Genera el programa completo de auditoria de BCP adaptado al sector del cliente (banca, salud, industria, gobierno) con los procedimientos especificos de cada regulador</w:t>
            </w:r>
          </w:p>
          <w:p>
            <w:pPr>
              <w:pStyle w:val="ListParagraph"/>
              <w:numPr>
                <w:ilvl w:val="0"/>
                <w:numId w:val="2"/>
              </w:numPr>
              <w:spacing w:after="38" w:before="38"/>
            </w:pPr>
            <w:r>
              <w:rPr>
                <w:rFonts w:ascii="Arial" w:cs="Arial" w:eastAsia="Arial" w:hAnsi="Arial"/>
                <w:color w:val="1A1A1A"/>
                <w:sz w:val="19"/>
                <w:szCs w:val="19"/>
              </w:rPr>
              <w:t xml:space="preserve">Evalua el RTO y RPO declarados por la organizacion y los compara con el tiempo real de recuperacion demostrado en las pruebas — detecta brechas de cumplimiento</w:t>
            </w:r>
          </w:p>
          <w:p>
            <w:pPr>
              <w:pStyle w:val="ListParagraph"/>
              <w:numPr>
                <w:ilvl w:val="0"/>
                <w:numId w:val="2"/>
              </w:numPr>
              <w:spacing w:after="38" w:before="38"/>
            </w:pPr>
            <w:r>
              <w:rPr>
                <w:rFonts w:ascii="Arial" w:cs="Arial" w:eastAsia="Arial" w:hAnsi="Arial"/>
                <w:color w:val="1A1A1A"/>
                <w:sz w:val="19"/>
                <w:szCs w:val="19"/>
              </w:rPr>
              <w:t xml:space="preserve">Guia al auditor en la evaluacion del BIA: que preguntas hacer, que documentos solicitar, como verificar que los procesos criticos estan correctamente identificados</w:t>
            </w:r>
          </w:p>
          <w:p>
            <w:pPr>
              <w:pStyle w:val="ListParagraph"/>
              <w:numPr>
                <w:ilvl w:val="0"/>
                <w:numId w:val="2"/>
              </w:numPr>
              <w:spacing w:after="38" w:before="38"/>
            </w:pPr>
            <w:r>
              <w:rPr>
                <w:rFonts w:ascii="Arial" w:cs="Arial" w:eastAsia="Arial" w:hAnsi="Arial"/>
                <w:color w:val="1A1A1A"/>
                <w:sz w:val="19"/>
                <w:szCs w:val="19"/>
              </w:rPr>
              <w:t xml:space="preserve">Califica la madurez del programa BCP en escala 1-5 con justificacion por componente y recomendaciones especificas de mejora</w:t>
            </w:r>
          </w:p>
          <w:p>
            <w:pPr>
              <w:pStyle w:val="ListParagraph"/>
              <w:numPr>
                <w:ilvl w:val="0"/>
                <w:numId w:val="2"/>
              </w:numPr>
              <w:spacing w:after="38" w:before="38"/>
            </w:pPr>
            <w:r>
              <w:rPr>
                <w:rFonts w:ascii="Arial" w:cs="Arial" w:eastAsia="Arial" w:hAnsi="Arial"/>
                <w:color w:val="1A1A1A"/>
                <w:sz w:val="19"/>
                <w:szCs w:val="19"/>
              </w:rPr>
              <w:t xml:space="preserve">Alerta cuando el plan de continuidad del cliente tiene dependencias en proveedores cloud que no tienen SLA de recuperacion compatible con el RTO declarado</w:t>
            </w:r>
          </w:p>
          <w:p>
            <w:pPr>
              <w:pStyle w:val="ListParagraph"/>
              <w:numPr>
                <w:ilvl w:val="0"/>
                <w:numId w:val="2"/>
              </w:numPr>
              <w:spacing w:after="38" w:before="38"/>
            </w:pPr>
            <w:r>
              <w:rPr>
                <w:rFonts w:ascii="Arial" w:cs="Arial" w:eastAsia="Arial" w:hAnsi="Arial"/>
                <w:color w:val="1A1A1A"/>
                <w:sz w:val="19"/>
                <w:szCs w:val="19"/>
              </w:rPr>
              <w:t xml:space="preserve">Genera hallazgos preformateados cuando detecta que el BCP no ha sido probado en mas de 12 meses o que las lecciones aprendidas de la ultima prueba no fueron incorporadas</w:t>
            </w:r>
          </w:p>
          <w:p>
            <w:pPr>
              <w:pStyle w:val="ListParagraph"/>
              <w:numPr>
                <w:ilvl w:val="0"/>
                <w:numId w:val="2"/>
              </w:numPr>
              <w:spacing w:after="38" w:before="38"/>
            </w:pPr>
            <w:r>
              <w:rPr>
                <w:rFonts w:ascii="Arial" w:cs="Arial" w:eastAsia="Arial" w:hAnsi="Arial"/>
                <w:color w:val="1A1A1A"/>
                <w:sz w:val="19"/>
                <w:szCs w:val="19"/>
              </w:rPr>
              <w:t xml:space="preserve">Asiste en la redaccion del informe de auditoria de BCP con estructura ISO 22301 — incluye resumen ejecutivo para el Comite de Auditoria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B8C" w:sz="1"/>
              <w:left w:val="single" w:color="0A7B8C" w:sz="1"/>
              <w:bottom w:val="single" w:color="0A7B8C" w:sz="1"/>
              <w:right w:val="single" w:color="0A7B8C" w:sz="1"/>
            </w:tcBorders>
            <w:shd w:fill="D4F1F5" w:val="clear"/>
            <w:tcMar>
              <w:top w:type="dxa" w:w="150"/>
              <w:left w:type="dxa" w:w="220"/>
              <w:bottom w:type="dxa" w:w="150"/>
              <w:right w:type="dxa" w:w="220"/>
            </w:tcMar>
          </w:tcPr>
          <w:p>
            <w:pPr>
              <w:spacing w:after="70" w:before="0"/>
            </w:pPr>
            <w:r>
              <w:rPr>
                <w:rFonts w:ascii="Arial" w:cs="Arial" w:eastAsia="Arial" w:hAnsi="Arial"/>
                <w:b/>
                <w:bCs/>
                <w:color w:val="0A7B8C"/>
                <w:sz w:val="24"/>
                <w:szCs w:val="24"/>
              </w:rPr>
              <w:t xml:space="preserve">📚  RAG-03 — Base Normativa de Continuidad del Negocio</w:t>
            </w:r>
          </w:p>
          <w:p>
            <w:pPr>
              <w:spacing w:after="50" w:before="0"/>
            </w:pPr>
            <w:r>
              <w:rPr>
                <w:rFonts w:ascii="Arial" w:cs="Arial" w:eastAsia="Arial" w:hAnsi="Arial"/>
                <w:b/>
                <w:bCs/>
                <w:color w:val="0F2D4A"/>
                <w:sz w:val="19"/>
                <w:szCs w:val="19"/>
              </w:rPr>
              <w:t xml:space="preserve">Alcance: </w:t>
            </w:r>
            <w:r>
              <w:rPr>
                <w:rFonts w:ascii="Arial" w:cs="Arial" w:eastAsia="Arial" w:hAnsi="Arial"/>
                <w:color w:val="1A1A1A"/>
                <w:sz w:val="19"/>
                <w:szCs w:val="19"/>
              </w:rPr>
              <w:t xml:space="preserve">Cubre el estandar ISO 22301:2019 completo, NIST SP 800-34, regulaciones sectoriales de continuidad y mejores practicas BCP/DRP</w:t>
            </w:r>
          </w:p>
          <w:p>
            <w:pPr>
              <w:spacing w:after="50" w:before="0"/>
            </w:pPr>
            <w:r>
              <w:rPr>
                <w:rFonts w:ascii="Arial" w:cs="Arial" w:eastAsia="Arial" w:hAnsi="Arial"/>
                <w:b/>
                <w:bCs/>
                <w:color w:val="0F2D4A"/>
                <w:sz w:val="19"/>
                <w:szCs w:val="19"/>
              </w:rPr>
              <w:t xml:space="preserve">Fuentes precargadas: </w:t>
            </w:r>
            <w:r>
              <w:rPr>
                <w:rFonts w:ascii="Arial" w:cs="Arial" w:eastAsia="Arial" w:hAnsi="Arial"/>
                <w:color w:val="1A1A1A"/>
                <w:sz w:val="19"/>
                <w:szCs w:val="19"/>
              </w:rPr>
              <w:t xml:space="preserve">ISO 22301:2019 (texto completo), ISO 22313:2020 (guia de implementacion), NIST SP 800-34 Rev.1 (IT contingency planning), BCI Good Practice Guidelines 2023, FFIEC IT Examination Handbook — Business Continuity, Circulares de banca central (Basilea, Fed, BCE, SBS, CNBV — segun region), DORA (Digital Operational Resilience Act — UE 2025), Guias de auditoria de continuidad BCI y DRI</w:t>
            </w:r>
          </w:p>
          <w:p>
            <w:pPr>
              <w:spacing w:after="50" w:before="0"/>
            </w:pPr>
            <w:r>
              <w:rPr>
                <w:rFonts w:ascii="Arial" w:cs="Arial" w:eastAsia="Arial" w:hAnsi="Arial"/>
                <w:b/>
                <w:bCs/>
                <w:color w:val="0F2D4A"/>
                <w:sz w:val="19"/>
                <w:szCs w:val="19"/>
              </w:rPr>
              <w:t xml:space="preserve">Estrategia de chunks: </w:t>
            </w:r>
            <w:r>
              <w:rPr>
                <w:rFonts w:ascii="Arial" w:cs="Arial" w:eastAsia="Arial" w:hAnsi="Arial"/>
                <w:color w:val="1A1A1A"/>
                <w:sz w:val="19"/>
                <w:szCs w:val="19"/>
              </w:rPr>
              <w:t xml:space="preserve">Chunks de 500 tokens con metadata: clausula ISO, tipo de requerimiento (DEBE/DEBERIA), sector aplicable, componente BCP (BIA/estrategia/plan/prueba)</w:t>
            </w:r>
          </w:p>
          <w:p>
            <w:pPr>
              <w:spacing w:after="50" w:before="0"/>
            </w:pPr>
            <w:r>
              <w:rPr>
                <w:rFonts w:ascii="Arial" w:cs="Arial" w:eastAsia="Arial" w:hAnsi="Arial"/>
                <w:b/>
                <w:bCs/>
                <w:color w:val="0F2D4A"/>
                <w:sz w:val="19"/>
                <w:szCs w:val="19"/>
              </w:rPr>
              <w:t xml:space="preserve">Modelo de embedding: </w:t>
            </w:r>
            <w:r>
              <w:rPr>
                <w:rFonts w:ascii="Arial" w:cs="Arial" w:eastAsia="Arial" w:hAnsi="Arial"/>
                <w:color w:val="1A1A1A"/>
                <w:sz w:val="19"/>
                <w:szCs w:val="19"/>
              </w:rPr>
              <w:t xml:space="preserve">text-embedding-3-large. Indexado adicionalmente por sector (banca, salud, gobierno) para retrieval sectorialmente especifico</w:t>
            </w:r>
          </w:p>
          <w:p>
            <w:r>
              <w:rPr>
                <w:rFonts w:ascii="Arial" w:cs="Arial" w:eastAsia="Arial" w:hAnsi="Arial"/>
                <w:b/>
                <w:bCs/>
                <w:color w:val="0F2D4A"/>
                <w:sz w:val="19"/>
                <w:szCs w:val="19"/>
              </w:rPr>
              <w:t xml:space="preserve">Logica de consulta: </w:t>
            </w:r>
            <w:r>
              <w:rPr>
                <w:rFonts w:ascii="Arial" w:cs="Arial" w:eastAsia="Arial" w:hAnsi="Arial"/>
                <w:color w:val="1A1A1A"/>
                <w:sz w:val="19"/>
                <w:szCs w:val="19"/>
              </w:rPr>
              <w:t xml:space="preserve">Busqueda con filtro de sector: si el proyecto es de banca, el sistema prioriza regulaciones de banca central sobre los estandares generales ISO. Retorna siempre el criterio regulatorio especifico del pais del cliente cuando esta disponible.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6508"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SEC. 6  </w:t>
            </w:r>
            <w:r>
              <w:rPr>
                <w:rFonts w:ascii="Arial" w:cs="Arial" w:eastAsia="Arial" w:hAnsi="Arial"/>
                <w:b/>
                <w:bCs/>
                <w:color w:val="FFFFFF"/>
                <w:sz w:val="32"/>
                <w:szCs w:val="32"/>
              </w:rPr>
              <w:t xml:space="preserve">MOTOR DE COMPLIANCE REGULATORIO</w:t>
            </w:r>
          </w:p>
          <w:p>
            <w:r>
              <w:rPr>
                <w:rFonts w:ascii="Arial" w:cs="Arial" w:eastAsia="Arial" w:hAnsi="Arial"/>
                <w:i/>
                <w:iCs/>
                <w:color w:val="BBD4EE"/>
                <w:sz w:val="19"/>
                <w:szCs w:val="19"/>
              </w:rPr>
              <w:t xml:space="preserve">Agente Lex + RAG Multi-Marco + Excepciones</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6.1 Motor de Compliance Multi-Marco</w:t>
      </w:r>
    </w:p>
    <w:p>
      <w:pPr>
        <w:spacing w:after="80" w:before="55"/>
        <w:jc w:val="both"/>
      </w:pPr>
      <w:r>
        <w:rPr>
          <w:rFonts w:ascii="Arial" w:cs="Arial" w:eastAsia="Arial" w:hAnsi="Arial"/>
          <w:color w:val="1A1A1A"/>
          <w:sz w:val="21"/>
          <w:szCs w:val="21"/>
        </w:rPr>
        <w:t xml:space="preserve">El sistema previo tenia frameworks listados pero sin implementacion profunda. Este motor evalua el cumplimiento de forma automatizada contra multiples marcos simultaneamente y gestiona las excepciones formalmente.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Framework</w:t>
            </w:r>
          </w:p>
        </w:tc>
        <w:tc>
          <w:tcPr>
            <w:tcW w:type="dxa" w:w="42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Implementacion en AuditMind</w:t>
            </w:r>
          </w:p>
        </w:tc>
        <w:tc>
          <w:tcPr>
            <w:tcW w:type="dxa" w:w="33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Evaluacion Automatica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SOX — Sarbanes Oxley</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Seccion 302: cuestionario de representaciones de directivos. Seccion 404: evaluacion de controles con testing automatizado. Seccion 906: confirmacion criminal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Scoring de cumplimiento por control. Mapa de deficiencias materiales vs. significativas</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Basilea III / IV</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Evaluacion de capital: CAR, Tier 1, Tier 2. Riesgo de liquidez: LCR, NSFR. Riesgo operacional: AMA, estandarizado. ILAAP e ICAAP</w:t>
            </w:r>
          </w:p>
        </w:tc>
        <w:tc>
          <w:tcPr>
            <w:tcW w:type="dxa" w:w="33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Calculo automatico de indicadores con alertas de incumplimiento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GDPR / LGPD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Revision de base legal de tratamiento, consentimientos, politica de privacidad, transferencias internacionales, derechos de titulares, DPIA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Evaluacion de los 99 articulos GDPR con semaforo por articulo</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FATF / GAFI — AML</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Evaluacion de programa AML: politica, oficial de cumplimiento, KYC, monitoreo de transacciones, reporte de operaciones sospechosas, capacitacion</w:t>
            </w:r>
          </w:p>
        </w:tc>
        <w:tc>
          <w:tcPr>
            <w:tcW w:type="dxa" w:w="33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Scoring del programa AML con las 40 recomendaciones FATF</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PCI-DSS v4.0</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Evaluacion de los 12 requerimientos y 64 sub-requerimientos para entidades que procesan tarjetas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Checklist PCI-DSS v4.0 con evidencia requerida por requerimiento</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IFRS / NIIF</w:t>
            </w:r>
          </w:p>
        </w:tc>
        <w:tc>
          <w:tcPr>
            <w:tcW w:type="dxa" w:w="4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Revision de aplicacion de 41 NIIF vigentes. Estimaciones criticas: valor razonable, deterioro, arrendamientos (NIIF 16), instrumentos financieros (NIIF 9)</w:t>
            </w:r>
          </w:p>
        </w:tc>
        <w:tc>
          <w:tcPr>
            <w:tcW w:type="dxa" w:w="33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Cuestionario de cumplimiento por norma con areas de estimacion marcadas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EU AI Act (2026)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Clasificacion del sistema de IA del cliente (riesgo minimo/limitado/alto/inaceptable). Requerimientos de transparencia, documentacion tecnica y supervision humana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Clasificacion automatica con mapa de requerimientos aplicables segun nivel de riesgo</w:t>
            </w:r>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6.2 Registro de Excepciones Normativas</w:t>
      </w:r>
    </w:p>
    <w:p>
      <w:pPr>
        <w:spacing w:after="80" w:before="55"/>
        <w:jc w:val="both"/>
      </w:pPr>
      <w:r>
        <w:rPr>
          <w:rFonts w:ascii="Arial" w:cs="Arial" w:eastAsia="Arial" w:hAnsi="Arial"/>
          <w:color w:val="1A1A1A"/>
          <w:sz w:val="21"/>
          <w:szCs w:val="21"/>
        </w:rPr>
        <w:t xml:space="preserve">Brecha mediana cerrada. Cuando una organizacion tiene una excepcion aprobada a una norma, el sistema la registra formalmente para que no genere hallazgos falsos positivos.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60"/>
              <w:left w:type="dxa" w:w="220"/>
              <w:bottom w:type="dxa" w:w="160"/>
              <w:right w:type="dxa" w:w="220"/>
            </w:tcMar>
          </w:tcPr>
          <w:p>
            <w:pPr>
              <w:spacing w:after="70" w:before="0"/>
            </w:pPr>
            <w:r>
              <w:rPr>
                <w:rFonts w:ascii="Arial" w:cs="Arial" w:eastAsia="Arial" w:hAnsi="Arial"/>
                <w:b/>
                <w:bCs/>
                <w:color w:val="B8860B"/>
                <w:sz w:val="20"/>
                <w:szCs w:val="20"/>
              </w:rPr>
              <w:t xml:space="preserve">Campos del Registro de Excepcion:</w:t>
            </w:r>
          </w:p>
          <w:p>
            <w:pPr>
              <w:pStyle w:val="ListParagraph"/>
              <w:numPr>
                <w:ilvl w:val="0"/>
                <w:numId w:val="2"/>
              </w:numPr>
              <w:spacing w:after="45" w:before="45"/>
            </w:pPr>
            <w:r>
              <w:rPr>
                <w:rFonts w:ascii="Arial" w:cs="Arial" w:eastAsia="Arial" w:hAnsi="Arial"/>
                <w:color w:val="1A1A1A"/>
                <w:sz w:val="20"/>
                <w:szCs w:val="20"/>
              </w:rPr>
              <w:t xml:space="preserve">Norma o control exceptuado: referencia exacta (ej: ISO 27001 A.8.2 — Clasificacion de activos)</w:t>
            </w:r>
          </w:p>
          <w:p>
            <w:pPr>
              <w:pStyle w:val="ListParagraph"/>
              <w:numPr>
                <w:ilvl w:val="0"/>
                <w:numId w:val="2"/>
              </w:numPr>
              <w:spacing w:after="45" w:before="45"/>
            </w:pPr>
            <w:r>
              <w:rPr>
                <w:rFonts w:ascii="Arial" w:cs="Arial" w:eastAsia="Arial" w:hAnsi="Arial"/>
                <w:color w:val="1A1A1A"/>
                <w:sz w:val="20"/>
                <w:szCs w:val="20"/>
              </w:rPr>
              <w:t xml:space="preserve">Justificacion tecnica o de negocio documentada con aprobacion de la autoridad competente</w:t>
            </w:r>
          </w:p>
          <w:p>
            <w:pPr>
              <w:pStyle w:val="ListParagraph"/>
              <w:numPr>
                <w:ilvl w:val="0"/>
                <w:numId w:val="2"/>
              </w:numPr>
              <w:spacing w:after="45" w:before="45"/>
            </w:pPr>
            <w:r>
              <w:rPr>
                <w:rFonts w:ascii="Arial" w:cs="Arial" w:eastAsia="Arial" w:hAnsi="Arial"/>
                <w:color w:val="1A1A1A"/>
                <w:sz w:val="20"/>
                <w:szCs w:val="20"/>
              </w:rPr>
              <w:t xml:space="preserve">Control compensatorio implementado en lugar del control estandar</w:t>
            </w:r>
          </w:p>
          <w:p>
            <w:pPr>
              <w:pStyle w:val="ListParagraph"/>
              <w:numPr>
                <w:ilvl w:val="0"/>
                <w:numId w:val="2"/>
              </w:numPr>
              <w:spacing w:after="45" w:before="45"/>
            </w:pPr>
            <w:r>
              <w:rPr>
                <w:rFonts w:ascii="Arial" w:cs="Arial" w:eastAsia="Arial" w:hAnsi="Arial"/>
                <w:color w:val="1A1A1A"/>
                <w:sz w:val="20"/>
                <w:szCs w:val="20"/>
              </w:rPr>
              <w:t xml:space="preserve">Fecha de aprobacion y vigencia de la excepcion (con alerta de vencimiento automatica)</w:t>
            </w:r>
          </w:p>
          <w:p>
            <w:pPr>
              <w:pStyle w:val="ListParagraph"/>
              <w:numPr>
                <w:ilvl w:val="0"/>
                <w:numId w:val="2"/>
              </w:numPr>
              <w:spacing w:after="45" w:before="45"/>
            </w:pPr>
            <w:r>
              <w:rPr>
                <w:rFonts w:ascii="Arial" w:cs="Arial" w:eastAsia="Arial" w:hAnsi="Arial"/>
                <w:color w:val="1A1A1A"/>
                <w:sz w:val="20"/>
                <w:szCs w:val="20"/>
              </w:rPr>
              <w:t xml:space="preserve">Nivel de riesgo residual aceptado con firma del Risk Owner</w:t>
            </w:r>
          </w:p>
          <w:p>
            <w:pPr>
              <w:pStyle w:val="ListParagraph"/>
              <w:numPr>
                <w:ilvl w:val="0"/>
                <w:numId w:val="2"/>
              </w:numPr>
              <w:spacing w:after="45" w:before="45"/>
            </w:pPr>
            <w:r>
              <w:rPr>
                <w:rFonts w:ascii="Arial" w:cs="Arial" w:eastAsia="Arial" w:hAnsi="Arial"/>
                <w:color w:val="1A1A1A"/>
                <w:sz w:val="20"/>
                <w:szCs w:val="20"/>
              </w:rPr>
              <w:t xml:space="preserve">Vinculacion al hallazgo de auditoria si la excepcion fue identificada en una auditoria previa</w:t>
            </w:r>
          </w:p>
          <w:p>
            <w:pPr>
              <w:spacing w:after="60" w:before="0"/>
            </w:pPr>
            <w:r>
              <w:t xml:space="preserve"/>
            </w:r>
          </w:p>
          <w:p>
            <w:r>
              <w:rPr>
                <w:rFonts w:ascii="Arial" w:cs="Arial" w:eastAsia="Arial" w:hAnsi="Arial"/>
                <w:b/>
                <w:bCs/>
                <w:color w:val="B8860B"/>
                <w:sz w:val="19"/>
                <w:szCs w:val="19"/>
              </w:rPr>
              <w:t xml:space="preserve">Efecto en el motor de IA: </w:t>
            </w:r>
            <w:r>
              <w:rPr>
                <w:rFonts w:ascii="Arial" w:cs="Arial" w:eastAsia="Arial" w:hAnsi="Arial"/>
                <w:color w:val="1A1A1A"/>
                <w:sz w:val="19"/>
                <w:szCs w:val="19"/>
              </w:rPr>
              <w:t xml:space="preserve">Antes de generar un hallazgo, el Agente Argus consulta el Registro de Excepciones. Si el area tiene excepcion vigente y valida, el sistema genera una nota informativa en lugar de un hallazgo, con referencia a la excepcion aprobada.</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508" w:sz="1"/>
              <w:left w:val="single" w:color="8B6508" w:sz="1"/>
              <w:bottom w:val="single" w:color="8B6508" w:sz="1"/>
              <w:right w:val="single" w:color="8B6508" w:sz="1"/>
            </w:tcBorders>
            <w:shd w:fill="FDF6DC" w:val="clear"/>
            <w:tcMar>
              <w:top w:type="dxa" w:w="150"/>
              <w:left w:type="dxa" w:w="220"/>
              <w:bottom w:type="dxa" w:w="150"/>
              <w:right w:type="dxa" w:w="220"/>
            </w:tcMar>
          </w:tcPr>
          <w:p>
            <w:pPr>
              <w:spacing w:after="50" w:before="0"/>
            </w:pPr>
            <w:r>
              <w:rPr>
                <w:rFonts w:ascii="Arial" w:cs="Arial" w:eastAsia="Arial" w:hAnsi="Arial"/>
                <w:sz w:val="28"/>
                <w:szCs w:val="28"/>
              </w:rPr>
              <w:t xml:space="preserve">⚖️  </w:t>
            </w:r>
            <w:r>
              <w:rPr>
                <w:rFonts w:ascii="Arial" w:cs="Arial" w:eastAsia="Arial" w:hAnsi="Arial"/>
                <w:b/>
                <w:bCs/>
                <w:color w:val="B8860B"/>
                <w:sz w:val="25"/>
                <w:szCs w:val="25"/>
              </w:rPr>
              <w:t xml:space="preserve">Agente LEX</w:t>
            </w:r>
            <w:r>
              <w:rPr>
                <w:rFonts w:ascii="Arial" w:cs="Arial" w:eastAsia="Arial" w:hAnsi="Arial"/>
                <w:i/>
                <w:iCs/>
                <w:color w:val="4A4A4A"/>
                <w:sz w:val="19"/>
                <w:szCs w:val="19"/>
              </w:rPr>
              <w:t xml:space="preserve">  |  Especialista en Compliance y Marcos Regulatorios</w:t>
            </w:r>
          </w:p>
          <w:p>
            <w:pPr>
              <w:spacing w:after="80" w:before="0"/>
            </w:pPr>
            <w:r>
              <w:rPr>
                <w:rFonts w:ascii="Arial" w:cs="Arial" w:eastAsia="Arial" w:hAnsi="Arial"/>
                <w:b/>
                <w:bCs/>
                <w:color w:val="0F2D4A"/>
                <w:sz w:val="19"/>
                <w:szCs w:val="19"/>
              </w:rPr>
              <w:t xml:space="preserve">Rol: </w:t>
            </w:r>
            <w:r>
              <w:rPr>
                <w:rFonts w:ascii="Arial" w:cs="Arial" w:eastAsia="Arial" w:hAnsi="Arial"/>
                <w:color w:val="1A1A1A"/>
                <w:sz w:val="19"/>
                <w:szCs w:val="19"/>
              </w:rPr>
              <w:t xml:space="preserve">Experto en todos los marcos regulatorios implementados en el sistema. Conoce la jerarquia de normas, las interpretaciones actualizadas y los requerimientos especificos por sector y pais. Monitorea cambios regulatorios en tiempo real junto con el Agente Cassandra.</w:t>
            </w:r>
          </w:p>
          <w:p>
            <w:pPr>
              <w:pStyle w:val="ListParagraph"/>
              <w:numPr>
                <w:ilvl w:val="0"/>
                <w:numId w:val="2"/>
              </w:numPr>
              <w:spacing w:after="38" w:before="38"/>
            </w:pPr>
            <w:r>
              <w:rPr>
                <w:rFonts w:ascii="Arial" w:cs="Arial" w:eastAsia="Arial" w:hAnsi="Arial"/>
                <w:color w:val="1A1A1A"/>
                <w:sz w:val="19"/>
                <w:szCs w:val="19"/>
              </w:rPr>
              <w:t xml:space="preserve">Evalua el nivel de cumplimiento del cliente contra el marco seleccionado y genera un gap analysis estructurado con hallazgos priorizados por impacto regulatorio</w:t>
            </w:r>
          </w:p>
          <w:p>
            <w:pPr>
              <w:pStyle w:val="ListParagraph"/>
              <w:numPr>
                <w:ilvl w:val="0"/>
                <w:numId w:val="2"/>
              </w:numPr>
              <w:spacing w:after="38" w:before="38"/>
            </w:pPr>
            <w:r>
              <w:rPr>
                <w:rFonts w:ascii="Arial" w:cs="Arial" w:eastAsia="Arial" w:hAnsi="Arial"/>
                <w:color w:val="1A1A1A"/>
                <w:sz w:val="19"/>
                <w:szCs w:val="19"/>
              </w:rPr>
              <w:t xml:space="preserve">Responde preguntas como: el cliente tiene un acuerdo de procesamiento de datos con un proveedor en EE.UU. — que clausulas GDPR aplican y cuales son los riesgos?</w:t>
            </w:r>
          </w:p>
          <w:p>
            <w:pPr>
              <w:pStyle w:val="ListParagraph"/>
              <w:numPr>
                <w:ilvl w:val="0"/>
                <w:numId w:val="2"/>
              </w:numPr>
              <w:spacing w:after="38" w:before="38"/>
            </w:pPr>
            <w:r>
              <w:rPr>
                <w:rFonts w:ascii="Arial" w:cs="Arial" w:eastAsia="Arial" w:hAnsi="Arial"/>
                <w:color w:val="1A1A1A"/>
                <w:sz w:val="19"/>
                <w:szCs w:val="19"/>
              </w:rPr>
              <w:t xml:space="preserve">Monitorea actualizaciones regulatorias: si entra en vigor una nueva circular del regulador, Lex alerta al CAE y propone ajustes al universo de auditoria</w:t>
            </w:r>
          </w:p>
          <w:p>
            <w:pPr>
              <w:pStyle w:val="ListParagraph"/>
              <w:numPr>
                <w:ilvl w:val="0"/>
                <w:numId w:val="2"/>
              </w:numPr>
              <w:spacing w:after="38" w:before="38"/>
            </w:pPr>
            <w:r>
              <w:rPr>
                <w:rFonts w:ascii="Arial" w:cs="Arial" w:eastAsia="Arial" w:hAnsi="Arial"/>
                <w:color w:val="1A1A1A"/>
                <w:sz w:val="19"/>
                <w:szCs w:val="19"/>
              </w:rPr>
              <w:t xml:space="preserve">Genera la Matriz de Compliance: norma | articulo | control del cliente | estado | evidencia | hallazgo vinculado</w:t>
            </w:r>
          </w:p>
          <w:p>
            <w:pPr>
              <w:pStyle w:val="ListParagraph"/>
              <w:numPr>
                <w:ilvl w:val="0"/>
                <w:numId w:val="2"/>
              </w:numPr>
              <w:spacing w:after="38" w:before="38"/>
            </w:pPr>
            <w:r>
              <w:rPr>
                <w:rFonts w:ascii="Arial" w:cs="Arial" w:eastAsia="Arial" w:hAnsi="Arial"/>
                <w:color w:val="1A1A1A"/>
                <w:sz w:val="19"/>
                <w:szCs w:val="19"/>
              </w:rPr>
              <w:t xml:space="preserve">Calcula el riesgo de sancion regulatoria estimado cuando hay incumplimientos identificados — basado en el historico de sanciones del regulador</w:t>
            </w:r>
          </w:p>
          <w:p>
            <w:pPr>
              <w:pStyle w:val="ListParagraph"/>
              <w:numPr>
                <w:ilvl w:val="0"/>
                <w:numId w:val="2"/>
              </w:numPr>
              <w:spacing w:after="38" w:before="38"/>
            </w:pPr>
            <w:r>
              <w:rPr>
                <w:rFonts w:ascii="Arial" w:cs="Arial" w:eastAsia="Arial" w:hAnsi="Arial"/>
                <w:color w:val="1A1A1A"/>
                <w:sz w:val="19"/>
                <w:szCs w:val="19"/>
              </w:rPr>
              <w:t xml:space="preserve">Asiste en la redaccion de cartas al regulador cuando la organizacion debe reportar incidentes o deficiencias de cumplimiento</w:t>
            </w:r>
          </w:p>
          <w:p>
            <w:pPr>
              <w:pStyle w:val="ListParagraph"/>
              <w:numPr>
                <w:ilvl w:val="0"/>
                <w:numId w:val="2"/>
              </w:numPr>
              <w:spacing w:after="38" w:before="38"/>
            </w:pPr>
            <w:r>
              <w:rPr>
                <w:rFonts w:ascii="Arial" w:cs="Arial" w:eastAsia="Arial" w:hAnsi="Arial"/>
                <w:color w:val="1A1A1A"/>
                <w:sz w:val="19"/>
                <w:szCs w:val="19"/>
              </w:rPr>
              <w:t xml:space="preserve">Gestiona el calendario regulatorio: vencimientos de reportes, renovacion de licencias, plazos de implementacion de nuevas normas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50"/>
              <w:left w:type="dxa" w:w="220"/>
              <w:bottom w:type="dxa" w:w="150"/>
              <w:right w:type="dxa" w:w="220"/>
            </w:tcMar>
          </w:tcPr>
          <w:p>
            <w:pPr>
              <w:spacing w:after="70" w:before="0"/>
            </w:pPr>
            <w:r>
              <w:rPr>
                <w:rFonts w:ascii="Arial" w:cs="Arial" w:eastAsia="Arial" w:hAnsi="Arial"/>
                <w:b/>
                <w:bCs/>
                <w:color w:val="B8860B"/>
                <w:sz w:val="24"/>
                <w:szCs w:val="24"/>
              </w:rPr>
              <w:t xml:space="preserve">📚  RAG-04 — Base de Compliance Regulatorio Multi-Marco</w:t>
            </w:r>
          </w:p>
          <w:p>
            <w:pPr>
              <w:spacing w:after="50" w:before="0"/>
            </w:pPr>
            <w:r>
              <w:rPr>
                <w:rFonts w:ascii="Arial" w:cs="Arial" w:eastAsia="Arial" w:hAnsi="Arial"/>
                <w:b/>
                <w:bCs/>
                <w:color w:val="0F2D4A"/>
                <w:sz w:val="19"/>
                <w:szCs w:val="19"/>
              </w:rPr>
              <w:t xml:space="preserve">Alcance: </w:t>
            </w:r>
            <w:r>
              <w:rPr>
                <w:rFonts w:ascii="Arial" w:cs="Arial" w:eastAsia="Arial" w:hAnsi="Arial"/>
                <w:color w:val="1A1A1A"/>
                <w:sz w:val="19"/>
                <w:szCs w:val="19"/>
              </w:rPr>
              <w:t xml:space="preserve">Cubre los principales marcos regulatorios financieros, de privacidad y de tecnologia a nivel global con actualizacion trimestral</w:t>
            </w:r>
          </w:p>
          <w:p>
            <w:pPr>
              <w:spacing w:after="50" w:before="0"/>
            </w:pPr>
            <w:r>
              <w:rPr>
                <w:rFonts w:ascii="Arial" w:cs="Arial" w:eastAsia="Arial" w:hAnsi="Arial"/>
                <w:b/>
                <w:bCs/>
                <w:color w:val="0F2D4A"/>
                <w:sz w:val="19"/>
                <w:szCs w:val="19"/>
              </w:rPr>
              <w:t xml:space="preserve">Fuentes precargadas: </w:t>
            </w:r>
            <w:r>
              <w:rPr>
                <w:rFonts w:ascii="Arial" w:cs="Arial" w:eastAsia="Arial" w:hAnsi="Arial"/>
                <w:color w:val="1A1A1A"/>
                <w:sz w:val="19"/>
                <w:szCs w:val="19"/>
              </w:rPr>
              <w:t xml:space="preserve">SOX (texto legal + PCAOB standards), Basilea III completo + DACH final, GDPR texto completo + EDPB guidelines, LGPD + guias ANPD, FATF 40 recomendaciones + guias interpretativas, PCI-DSS v4.0 completo, IFRS Foundation — 41 normas vigentes, EU AI Act (2024), DORA (Digital Operational Resilience Act), Circulares de reguladores financieros por pais (actualizable), Guias de cumplimiento Big Four publicadas (EY, KPMG, PWC, Deloitte)</w:t>
            </w:r>
          </w:p>
          <w:p>
            <w:pPr>
              <w:spacing w:after="50" w:before="0"/>
            </w:pPr>
            <w:r>
              <w:rPr>
                <w:rFonts w:ascii="Arial" w:cs="Arial" w:eastAsia="Arial" w:hAnsi="Arial"/>
                <w:b/>
                <w:bCs/>
                <w:color w:val="0F2D4A"/>
                <w:sz w:val="19"/>
                <w:szCs w:val="19"/>
              </w:rPr>
              <w:t xml:space="preserve">Estrategia de chunks: </w:t>
            </w:r>
            <w:r>
              <w:rPr>
                <w:rFonts w:ascii="Arial" w:cs="Arial" w:eastAsia="Arial" w:hAnsi="Arial"/>
                <w:color w:val="1A1A1A"/>
                <w:sz w:val="19"/>
                <w:szCs w:val="19"/>
              </w:rPr>
              <w:t xml:space="preserve">Chunks de 450 tokens. Metadata critica: marco, articulo/clausula, tipo (prohibicion/obligacion/recomendacion), sector aplicable, fecha de vigencia, pais/region</w:t>
            </w:r>
          </w:p>
          <w:p>
            <w:pPr>
              <w:spacing w:after="50" w:before="0"/>
            </w:pPr>
            <w:r>
              <w:rPr>
                <w:rFonts w:ascii="Arial" w:cs="Arial" w:eastAsia="Arial" w:hAnsi="Arial"/>
                <w:b/>
                <w:bCs/>
                <w:color w:val="0F2D4A"/>
                <w:sz w:val="19"/>
                <w:szCs w:val="19"/>
              </w:rPr>
              <w:t xml:space="preserve">Modelo de embedding: </w:t>
            </w:r>
            <w:r>
              <w:rPr>
                <w:rFonts w:ascii="Arial" w:cs="Arial" w:eastAsia="Arial" w:hAnsi="Arial"/>
                <w:color w:val="1A1A1A"/>
                <w:sz w:val="19"/>
                <w:szCs w:val="19"/>
              </w:rPr>
              <w:t xml:space="preserve">text-embedding-3-large. Indice secundario por fecha-vigencia para filtrar normas obsoletas automaticamente</w:t>
            </w:r>
          </w:p>
          <w:p>
            <w:r>
              <w:rPr>
                <w:rFonts w:ascii="Arial" w:cs="Arial" w:eastAsia="Arial" w:hAnsi="Arial"/>
                <w:b/>
                <w:bCs/>
                <w:color w:val="0F2D4A"/>
                <w:sz w:val="19"/>
                <w:szCs w:val="19"/>
              </w:rPr>
              <w:t xml:space="preserve">Logica de consulta: </w:t>
            </w:r>
            <w:r>
              <w:rPr>
                <w:rFonts w:ascii="Arial" w:cs="Arial" w:eastAsia="Arial" w:hAnsi="Arial"/>
                <w:color w:val="1A1A1A"/>
                <w:sz w:val="19"/>
                <w:szCs w:val="19"/>
              </w:rPr>
              <w:t xml:space="preserve">Query con filtro multi-marco: si el auditor pregunta sobre transferencia de datos internacionales, el sistema busca simultaneamente en GDPR, LGPD, SCCs y decisiones de adecuacion. Siempre indica si la norma tiene actualizaciones pendientes de implementacion.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0E08"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SEC. 7  </w:t>
            </w:r>
            <w:r>
              <w:rPr>
                <w:rFonts w:ascii="Arial" w:cs="Arial" w:eastAsia="Arial" w:hAnsi="Arial"/>
                <w:b/>
                <w:bCs/>
                <w:color w:val="FFFFFF"/>
                <w:sz w:val="32"/>
                <w:szCs w:val="32"/>
              </w:rPr>
              <w:t xml:space="preserve">PREVENCION DE FRAUDE Y AUDITORIA FORENSE</w:t>
            </w:r>
          </w:p>
          <w:p>
            <w:r>
              <w:rPr>
                <w:rFonts w:ascii="Arial" w:cs="Arial" w:eastAsia="Arial" w:hAnsi="Arial"/>
                <w:i/>
                <w:iCs/>
                <w:color w:val="BBD4EE"/>
                <w:sz w:val="19"/>
                <w:szCs w:val="19"/>
              </w:rPr>
              <w:t xml:space="preserve">Arbol ACFE + Cadena de Custodia + Modo Investigacion</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7.1 Arbol de Fraude ACFE Completo — Implementacion Integral</w:t>
      </w:r>
    </w:p>
    <w:p>
      <w:pPr>
        <w:spacing w:after="80" w:before="55"/>
        <w:jc w:val="both"/>
      </w:pPr>
      <w:r>
        <w:rPr>
          <w:rFonts w:ascii="Arial" w:cs="Arial" w:eastAsia="Arial" w:hAnsi="Arial"/>
          <w:color w:val="1A1A1A"/>
          <w:sz w:val="21"/>
          <w:szCs w:val="21"/>
        </w:rPr>
        <w:t xml:space="preserve">El Skill de Fraude previo mencionaba el ACFE pero no implementaba el arbol de tipologias completo. Esta version implementa las 3 ramas principales, las 9 categorias y las 41 esquemas especificos del ACFE Fraud Tree 2024.</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Rama ACFE</w:t>
            </w:r>
          </w:p>
        </w:tc>
        <w:tc>
          <w:tcPr>
            <w:tcW w:type="dxa" w:w="2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Categorias</w:t>
            </w:r>
          </w:p>
        </w:tc>
        <w:tc>
          <w:tcPr>
            <w:tcW w:type="dxa" w:w="41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Esquemas Especificos Implementados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Malversacion de Activos (87% de casos)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Efectivo: robo en caja, desembolsos fraudulentos, cheques. Inventario: robo, uso indebido, falsificacion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Facturacion ficticia, nomina fantasma, gastos de representacion falsos, hurto de caja chica, desvio de cheques, sobrecompras, uso de activos para fines personales</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Fraude de Estados Financieros (10% de casos)</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Sobrestimacion de activos/ingresos, Subestimacion de pasivos/gastos, Divulgacion impropia</w:t>
            </w:r>
          </w:p>
        </w:tc>
        <w:tc>
          <w:tcPr>
            <w:tcW w:type="dxa" w:w="4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Reconocimiento prematuro de ingresos, valorizacion inapropiada de activos, omision de pasivos contingentes, transacciones con partes relacionadas no divulgadas, manipulacion de provisiones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Corrupcion (38% de casos — muchos coinciden)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Conflicto de intereses, Soborno, Gratificaciones ilegales, Extorsion economica</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Proveedores con relacion familiar con el empleado que aprueba, pagos a funcionarios publicos, contratos con condiciones favorables no justificadas, comisiones ocultas, presion a proveedores para otorgar beneficios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60"/>
              <w:left w:type="dxa" w:w="220"/>
              <w:bottom w:type="dxa" w:w="160"/>
              <w:right w:type="dxa" w:w="220"/>
            </w:tcMar>
          </w:tcPr>
          <w:p>
            <w:pPr>
              <w:spacing w:after="70" w:before="0"/>
            </w:pPr>
            <w:r>
              <w:rPr>
                <w:rFonts w:ascii="Arial" w:cs="Arial" w:eastAsia="Arial" w:hAnsi="Arial"/>
                <w:b/>
                <w:bCs/>
                <w:color w:val="C0392B"/>
                <w:sz w:val="20"/>
                <w:szCs w:val="20"/>
              </w:rPr>
              <w:t xml:space="preserve">Red Flags por Rama — Implementados en el Motor de Alertas:</w:t>
            </w:r>
          </w:p>
          <w:p>
            <w:pPr>
              <w:pStyle w:val="ListParagraph"/>
              <w:numPr>
                <w:ilvl w:val="0"/>
                <w:numId w:val="2"/>
              </w:numPr>
              <w:spacing w:after="45" w:before="45"/>
            </w:pPr>
            <w:r>
              <w:rPr>
                <w:rFonts w:ascii="Arial" w:cs="Arial" w:eastAsia="Arial" w:hAnsi="Arial"/>
                <w:color w:val="1A1A1A"/>
                <w:sz w:val="20"/>
                <w:szCs w:val="20"/>
              </w:rPr>
              <w:t xml:space="preserve">Empleado con estilo de vida inconsistente con su salario — flag en modulo de nomina</w:t>
            </w:r>
          </w:p>
          <w:p>
            <w:pPr>
              <w:pStyle w:val="ListParagraph"/>
              <w:numPr>
                <w:ilvl w:val="0"/>
                <w:numId w:val="2"/>
              </w:numPr>
              <w:spacing w:after="45" w:before="45"/>
            </w:pPr>
            <w:r>
              <w:rPr>
                <w:rFonts w:ascii="Arial" w:cs="Arial" w:eastAsia="Arial" w:hAnsi="Arial"/>
                <w:color w:val="1A1A1A"/>
                <w:sz w:val="20"/>
                <w:szCs w:val="20"/>
              </w:rPr>
              <w:t xml:space="preserve">Proveedor con misma direccion o telefono que un empleado — flag en CxP</w:t>
            </w:r>
          </w:p>
          <w:p>
            <w:pPr>
              <w:pStyle w:val="ListParagraph"/>
              <w:numPr>
                <w:ilvl w:val="0"/>
                <w:numId w:val="2"/>
              </w:numPr>
              <w:spacing w:after="45" w:before="45"/>
            </w:pPr>
            <w:r>
              <w:rPr>
                <w:rFonts w:ascii="Arial" w:cs="Arial" w:eastAsia="Arial" w:hAnsi="Arial"/>
                <w:color w:val="1A1A1A"/>
                <w:sz w:val="20"/>
                <w:szCs w:val="20"/>
              </w:rPr>
              <w:t xml:space="preserve">Facturas con numeros secuenciales de un mismo proveedor — posible empresa de maletín</w:t>
            </w:r>
          </w:p>
          <w:p>
            <w:pPr>
              <w:pStyle w:val="ListParagraph"/>
              <w:numPr>
                <w:ilvl w:val="0"/>
                <w:numId w:val="2"/>
              </w:numPr>
              <w:spacing w:after="45" w:before="45"/>
            </w:pPr>
            <w:r>
              <w:rPr>
                <w:rFonts w:ascii="Arial" w:cs="Arial" w:eastAsia="Arial" w:hAnsi="Arial"/>
                <w:color w:val="1A1A1A"/>
                <w:sz w:val="20"/>
                <w:szCs w:val="20"/>
              </w:rPr>
              <w:t xml:space="preserve">Pagos justo por debajo del umbral de aprobacion — posible fraccionamiento doloso</w:t>
            </w:r>
          </w:p>
          <w:p>
            <w:pPr>
              <w:pStyle w:val="ListParagraph"/>
              <w:numPr>
                <w:ilvl w:val="0"/>
                <w:numId w:val="2"/>
              </w:numPr>
              <w:spacing w:after="45" w:before="45"/>
            </w:pPr>
            <w:r>
              <w:rPr>
                <w:rFonts w:ascii="Arial" w:cs="Arial" w:eastAsia="Arial" w:hAnsi="Arial"/>
                <w:color w:val="1A1A1A"/>
                <w:sz w:val="20"/>
                <w:szCs w:val="20"/>
              </w:rPr>
              <w:t xml:space="preserve">Empleado que nunca toma vacaciones y no acepta redistribucion de funciones — red flag clasico</w:t>
            </w:r>
          </w:p>
          <w:p>
            <w:pPr>
              <w:pStyle w:val="ListParagraph"/>
              <w:numPr>
                <w:ilvl w:val="0"/>
                <w:numId w:val="2"/>
              </w:numPr>
              <w:spacing w:after="45" w:before="45"/>
            </w:pPr>
            <w:r>
              <w:rPr>
                <w:rFonts w:ascii="Arial" w:cs="Arial" w:eastAsia="Arial" w:hAnsi="Arial"/>
                <w:color w:val="1A1A1A"/>
                <w:sz w:val="20"/>
                <w:szCs w:val="20"/>
              </w:rPr>
              <w:t xml:space="preserve">Ajustes de inventario realizados siempre por la misma persona y fuera de horario</w:t>
            </w:r>
          </w:p>
          <w:p>
            <w:pPr>
              <w:pStyle w:val="ListParagraph"/>
              <w:numPr>
                <w:ilvl w:val="0"/>
                <w:numId w:val="2"/>
              </w:numPr>
              <w:spacing w:after="45" w:before="45"/>
            </w:pPr>
            <w:r>
              <w:rPr>
                <w:rFonts w:ascii="Arial" w:cs="Arial" w:eastAsia="Arial" w:hAnsi="Arial"/>
                <w:color w:val="1A1A1A"/>
                <w:sz w:val="20"/>
                <w:szCs w:val="20"/>
              </w:rPr>
              <w:t xml:space="preserve">Ingresos registrados en el ultimo dia del mes o trimestre de forma recurrente</w:t>
            </w:r>
          </w:p>
          <w:p>
            <w:pPr>
              <w:pStyle w:val="ListParagraph"/>
              <w:numPr>
                <w:ilvl w:val="0"/>
                <w:numId w:val="2"/>
              </w:numPr>
              <w:spacing w:after="45" w:before="45"/>
            </w:pPr>
            <w:r>
              <w:rPr>
                <w:rFonts w:ascii="Arial" w:cs="Arial" w:eastAsia="Arial" w:hAnsi="Arial"/>
                <w:color w:val="1A1A1A"/>
                <w:sz w:val="20"/>
                <w:szCs w:val="20"/>
              </w:rPr>
              <w:t xml:space="preserve">Alta concentracion de compras en proveedor nuevo sin proceso competitivo documentado</w:t>
            </w:r>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7.2 Modo Investigacion Especial — Protocolo Forense</w:t>
      </w:r>
    </w:p>
    <w:p>
      <w:pPr>
        <w:spacing w:after="80" w:before="55"/>
        <w:jc w:val="both"/>
      </w:pPr>
      <w:r>
        <w:rPr>
          <w:rFonts w:ascii="Arial" w:cs="Arial" w:eastAsia="Arial" w:hAnsi="Arial"/>
          <w:color w:val="1A1A1A"/>
          <w:sz w:val="21"/>
          <w:szCs w:val="21"/>
        </w:rPr>
        <w:t xml:space="preserve">Brecha mediana cerrada. Una investigacion de fraude es metodologicamente distinta a una auditoria regular. Este modo tiene restricciones, controles y documentacion especificos.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60"/>
                    <w:left w:type="dxa" w:w="220"/>
                    <w:bottom w:type="dxa" w:w="160"/>
                    <w:right w:type="dxa" w:w="220"/>
                  </w:tcMar>
                </w:tcPr>
                <w:p>
                  <w:pPr>
                    <w:spacing w:after="80" w:before="0"/>
                  </w:pPr>
                  <w:r>
                    <w:rPr>
                      <w:rFonts w:ascii="Arial" w:cs="Arial" w:eastAsia="Arial" w:hAnsi="Arial"/>
                      <w:b/>
                      <w:bCs/>
                      <w:color w:val="C0392B"/>
                      <w:sz w:val="20"/>
                      <w:szCs w:val="20"/>
                    </w:rPr>
                    <w:t xml:space="preserve">Diferencias del Modo Investigacion</w:t>
                  </w:r>
                </w:p>
                <w:p>
                  <w:pPr>
                    <w:pStyle w:val="ListParagraph"/>
                    <w:numPr>
                      <w:ilvl w:val="0"/>
                      <w:numId w:val="2"/>
                    </w:numPr>
                    <w:spacing w:after="45" w:before="45"/>
                  </w:pPr>
                  <w:r>
                    <w:rPr>
                      <w:rFonts w:ascii="Arial" w:cs="Arial" w:eastAsia="Arial" w:hAnsi="Arial"/>
                      <w:color w:val="1A1A1A"/>
                      <w:sz w:val="20"/>
                      <w:szCs w:val="20"/>
                    </w:rPr>
                    <w:t xml:space="preserve">Acceso ultrarestringido: solo el CAE y los miembros explicitamente designados pueden ver el proyecto</w:t>
                  </w:r>
                </w:p>
                <w:p>
                  <w:pPr>
                    <w:pStyle w:val="ListParagraph"/>
                    <w:numPr>
                      <w:ilvl w:val="0"/>
                      <w:numId w:val="2"/>
                    </w:numPr>
                    <w:spacing w:after="45" w:before="45"/>
                  </w:pPr>
                  <w:r>
                    <w:rPr>
                      <w:rFonts w:ascii="Arial" w:cs="Arial" w:eastAsia="Arial" w:hAnsi="Arial"/>
                      <w:color w:val="1A1A1A"/>
                      <w:sz w:val="20"/>
                      <w:szCs w:val="20"/>
                    </w:rPr>
                    <w:t xml:space="preserve">Sin notificaciones automaticas al auditado: el Agente Hermes queda desactivado — la coordinacion es manual y confidencial</w:t>
                  </w:r>
                </w:p>
                <w:p>
                  <w:pPr>
                    <w:pStyle w:val="ListParagraph"/>
                    <w:numPr>
                      <w:ilvl w:val="0"/>
                      <w:numId w:val="2"/>
                    </w:numPr>
                    <w:spacing w:after="45" w:before="45"/>
                  </w:pPr>
                  <w:r>
                    <w:rPr>
                      <w:rFonts w:ascii="Arial" w:cs="Arial" w:eastAsia="Arial" w:hAnsi="Arial"/>
                      <w:color w:val="1A1A1A"/>
                      <w:sz w:val="20"/>
                      <w:szCs w:val="20"/>
                    </w:rPr>
                    <w:t xml:space="preserve">Cadena de custodia digital: cada archivo recibido se hashea con SHA-256 al momento de ingreso — cualquier modificacion posterior es detectable</w:t>
                  </w:r>
                </w:p>
                <w:p>
                  <w:pPr>
                    <w:pStyle w:val="ListParagraph"/>
                    <w:numPr>
                      <w:ilvl w:val="0"/>
                      <w:numId w:val="2"/>
                    </w:numPr>
                    <w:spacing w:after="45" w:before="45"/>
                  </w:pPr>
                  <w:r>
                    <w:rPr>
                      <w:rFonts w:ascii="Arial" w:cs="Arial" w:eastAsia="Arial" w:hAnsi="Arial"/>
                      <w:color w:val="1A1A1A"/>
                      <w:sz w:val="20"/>
                      <w:szCs w:val="20"/>
                    </w:rPr>
                    <w:t xml:space="preserve">Sin posibilidad de eliminar evidencias: modo append-only estricto durante la investigacion</w:t>
                  </w:r>
                </w:p>
                <w:p>
                  <w:pPr>
                    <w:pStyle w:val="ListParagraph"/>
                    <w:numPr>
                      <w:ilvl w:val="0"/>
                      <w:numId w:val="2"/>
                    </w:numPr>
                    <w:spacing w:after="45" w:before="45"/>
                  </w:pPr>
                  <w:r>
                    <w:rPr>
                      <w:rFonts w:ascii="Arial" w:cs="Arial" w:eastAsia="Arial" w:hAnsi="Arial"/>
                      <w:color w:val="1A1A1A"/>
                      <w:sz w:val="20"/>
                      <w:szCs w:val="20"/>
                    </w:rPr>
                    <w:t xml:space="preserve">Comunicacion cifrada: los mensajes internos del equipo de investigacion van encriptados</w:t>
                  </w:r>
                </w:p>
                <w:p>
                  <w:pPr>
                    <w:pStyle w:val="ListParagraph"/>
                    <w:numPr>
                      <w:ilvl w:val="0"/>
                      <w:numId w:val="2"/>
                    </w:numPr>
                    <w:spacing w:after="45" w:before="45"/>
                  </w:pPr>
                  <w:r>
                    <w:rPr>
                      <w:rFonts w:ascii="Arial" w:cs="Arial" w:eastAsia="Arial" w:hAnsi="Arial"/>
                      <w:color w:val="1A1A1A"/>
                      <w:sz w:val="20"/>
                      <w:szCs w:val="20"/>
                    </w:rPr>
                    <w:t xml:space="preserve">Informe con estructura forense: hallazgos, evidencias, timeline, personas involucradas, impacto economico estimado</w:t>
                  </w:r>
                </w:p>
              </w:tc>
            </w:tr>
          </w:tbl>
          <w:p/>
        </w:tc>
        <w:tc>
          <w:tcPr>
            <w:tcW w:type="dxa" w:w="240"/>
            <w:tcBorders>
              <w:top w:val="none" w:color="FFFFFF" w:sz="0"/>
              <w:left w:val="none" w:color="FFFFFF" w:sz="0"/>
              <w:bottom w:val="none" w:color="FFFFFF" w:sz="0"/>
              <w:right w:val="none" w:color="FFFFFF" w:sz="0"/>
            </w:tcBorders>
          </w:tcPr>
          <w:p>
            <w:pPr>
              <w:spacing w:after="120" w:before="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60"/>
                    <w:left w:type="dxa" w:w="220"/>
                    <w:bottom w:type="dxa" w:w="160"/>
                    <w:right w:type="dxa" w:w="220"/>
                  </w:tcMar>
                </w:tcPr>
                <w:p>
                  <w:pPr>
                    <w:spacing w:after="80" w:before="0"/>
                  </w:pPr>
                  <w:r>
                    <w:rPr>
                      <w:rFonts w:ascii="Arial" w:cs="Arial" w:eastAsia="Arial" w:hAnsi="Arial"/>
                      <w:b/>
                      <w:bCs/>
                      <w:color w:val="C0392B"/>
                      <w:sz w:val="20"/>
                      <w:szCs w:val="20"/>
                    </w:rPr>
                    <w:t xml:space="preserve">Protocolo de Cadena de Custodia Digital</w:t>
                  </w:r>
                </w:p>
                <w:p>
                  <w:pPr>
                    <w:pStyle w:val="ListParagraph"/>
                    <w:numPr>
                      <w:ilvl w:val="0"/>
                      <w:numId w:val="4"/>
                    </w:numPr>
                    <w:spacing w:after="55" w:before="45"/>
                  </w:pPr>
                  <w:r>
                    <w:rPr>
                      <w:rFonts w:ascii="Arial" w:cs="Arial" w:eastAsia="Arial" w:hAnsi="Arial"/>
                      <w:color w:val="1A1A1A"/>
                      <w:sz w:val="20"/>
                      <w:szCs w:val="20"/>
                    </w:rPr>
                    <w:t xml:space="preserve">El auditor forense solicita activar el Modo Investigacion — requiere aprobacion del CAE con MFA</w:t>
                  </w:r>
                </w:p>
                <w:p>
                  <w:pPr>
                    <w:pStyle w:val="ListParagraph"/>
                    <w:numPr>
                      <w:ilvl w:val="0"/>
                      <w:numId w:val="4"/>
                    </w:numPr>
                    <w:spacing w:after="55" w:before="45"/>
                  </w:pPr>
                  <w:r>
                    <w:rPr>
                      <w:rFonts w:ascii="Arial" w:cs="Arial" w:eastAsia="Arial" w:hAnsi="Arial"/>
                      <w:color w:val="1A1A1A"/>
                      <w:sz w:val="20"/>
                      <w:szCs w:val="20"/>
                    </w:rPr>
                    <w:t xml:space="preserve">Cada archivo que entra al expediente recibe: hash SHA-256, timestamp, IP del subidor, nombre del custodio</w:t>
                  </w:r>
                </w:p>
                <w:p>
                  <w:pPr>
                    <w:pStyle w:val="ListParagraph"/>
                    <w:numPr>
                      <w:ilvl w:val="0"/>
                      <w:numId w:val="4"/>
                    </w:numPr>
                    <w:spacing w:after="55" w:before="45"/>
                  </w:pPr>
                  <w:r>
                    <w:rPr>
                      <w:rFonts w:ascii="Arial" w:cs="Arial" w:eastAsia="Arial" w:hAnsi="Arial"/>
                      <w:color w:val="1A1A1A"/>
                      <w:sz w:val="20"/>
                      <w:szCs w:val="20"/>
                    </w:rPr>
                    <w:t xml:space="preserve">El sistema genera automaticamente el Registro de Custodia con todos los archivos del caso</w:t>
                  </w:r>
                </w:p>
                <w:p>
                  <w:pPr>
                    <w:pStyle w:val="ListParagraph"/>
                    <w:numPr>
                      <w:ilvl w:val="0"/>
                      <w:numId w:val="4"/>
                    </w:numPr>
                    <w:spacing w:after="55" w:before="45"/>
                  </w:pPr>
                  <w:r>
                    <w:rPr>
                      <w:rFonts w:ascii="Arial" w:cs="Arial" w:eastAsia="Arial" w:hAnsi="Arial"/>
                      <w:color w:val="1A1A1A"/>
                      <w:sz w:val="20"/>
                      <w:szCs w:val="20"/>
                    </w:rPr>
                    <w:t xml:space="preserve">Cuando un archivo se comparte con un tercero (abogado, regulador), queda registrado con quien, cuando y para que</w:t>
                  </w:r>
                </w:p>
                <w:p>
                  <w:pPr>
                    <w:pStyle w:val="ListParagraph"/>
                    <w:numPr>
                      <w:ilvl w:val="0"/>
                      <w:numId w:val="4"/>
                    </w:numPr>
                    <w:spacing w:after="55" w:before="45"/>
                  </w:pPr>
                  <w:r>
                    <w:rPr>
                      <w:rFonts w:ascii="Arial" w:cs="Arial" w:eastAsia="Arial" w:hAnsi="Arial"/>
                      <w:color w:val="1A1A1A"/>
                      <w:sz w:val="20"/>
                      <w:szCs w:val="20"/>
                    </w:rPr>
                    <w:t xml:space="preserve">Al concluir, el sistema genera el Certificado de Integridad del Expediente con hash de cada pieza de evidencia</w:t>
                  </w:r>
                </w:p>
                <w:p>
                  <w:pPr>
                    <w:pStyle w:val="ListParagraph"/>
                    <w:numPr>
                      <w:ilvl w:val="0"/>
                      <w:numId w:val="4"/>
                    </w:numPr>
                    <w:spacing w:after="55" w:before="45"/>
                  </w:pPr>
                  <w:r>
                    <w:rPr>
                      <w:rFonts w:ascii="Arial" w:cs="Arial" w:eastAsia="Arial" w:hAnsi="Arial"/>
                      <w:color w:val="1A1A1A"/>
                      <w:sz w:val="20"/>
                      <w:szCs w:val="20"/>
                    </w:rPr>
                    <w:t xml:space="preserve">El Certificado puede presentarse como prueba de que la evidencia no fue alterada durante la investigacion</w:t>
                  </w:r>
                </w:p>
              </w:tc>
            </w:tr>
          </w:tbl>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0E08" w:sz="1"/>
              <w:left w:val="single" w:color="7B0E08" w:sz="1"/>
              <w:bottom w:val="single" w:color="7B0E08" w:sz="1"/>
              <w:right w:val="single" w:color="7B0E08" w:sz="1"/>
            </w:tcBorders>
            <w:shd w:fill="FDEDEC" w:val="clear"/>
            <w:tcMar>
              <w:top w:type="dxa" w:w="150"/>
              <w:left w:type="dxa" w:w="220"/>
              <w:bottom w:type="dxa" w:w="150"/>
              <w:right w:type="dxa" w:w="220"/>
            </w:tcMar>
          </w:tcPr>
          <w:p>
            <w:pPr>
              <w:spacing w:after="50" w:before="0"/>
            </w:pPr>
            <w:r>
              <w:rPr>
                <w:rFonts w:ascii="Arial" w:cs="Arial" w:eastAsia="Arial" w:hAnsi="Arial"/>
                <w:sz w:val="28"/>
                <w:szCs w:val="28"/>
              </w:rPr>
              <w:t xml:space="preserve">🔍  </w:t>
            </w:r>
            <w:r>
              <w:rPr>
                <w:rFonts w:ascii="Arial" w:cs="Arial" w:eastAsia="Arial" w:hAnsi="Arial"/>
                <w:b/>
                <w:bCs/>
                <w:color w:val="C0392B"/>
                <w:sz w:val="25"/>
                <w:szCs w:val="25"/>
              </w:rPr>
              <w:t xml:space="preserve">Agente SHERLOCK</w:t>
            </w:r>
            <w:r>
              <w:rPr>
                <w:rFonts w:ascii="Arial" w:cs="Arial" w:eastAsia="Arial" w:hAnsi="Arial"/>
                <w:i/>
                <w:iCs/>
                <w:color w:val="4A4A4A"/>
                <w:sz w:val="19"/>
                <w:szCs w:val="19"/>
              </w:rPr>
              <w:t xml:space="preserve">  |  Especialista en Investigacion de Fraude y Analisis Forense</w:t>
            </w:r>
          </w:p>
          <w:p>
            <w:pPr>
              <w:spacing w:after="80" w:before="0"/>
            </w:pPr>
            <w:r>
              <w:rPr>
                <w:rFonts w:ascii="Arial" w:cs="Arial" w:eastAsia="Arial" w:hAnsi="Arial"/>
                <w:b/>
                <w:bCs/>
                <w:color w:val="0F2D4A"/>
                <w:sz w:val="19"/>
                <w:szCs w:val="19"/>
              </w:rPr>
              <w:t xml:space="preserve">Rol: </w:t>
            </w:r>
            <w:r>
              <w:rPr>
                <w:rFonts w:ascii="Arial" w:cs="Arial" w:eastAsia="Arial" w:hAnsi="Arial"/>
                <w:color w:val="1A1A1A"/>
                <w:sz w:val="19"/>
                <w:szCs w:val="19"/>
              </w:rPr>
              <w:t xml:space="preserve">Experto en los Estandares ACFE de Investigacion de Fraude, NIST SP 800-86 (tecnicas forenses digitales), metodologia de entrevistas motivacionales y tecnicas de analisis de datos para deteccion de fraude. Solo se activa en proyectos con el Modo Investigacion habilitado.</w:t>
            </w:r>
          </w:p>
          <w:p>
            <w:pPr>
              <w:pStyle w:val="ListParagraph"/>
              <w:numPr>
                <w:ilvl w:val="0"/>
                <w:numId w:val="2"/>
              </w:numPr>
              <w:spacing w:after="38" w:before="38"/>
            </w:pPr>
            <w:r>
              <w:rPr>
                <w:rFonts w:ascii="Arial" w:cs="Arial" w:eastAsia="Arial" w:hAnsi="Arial"/>
                <w:color w:val="1A1A1A"/>
                <w:sz w:val="19"/>
                <w:szCs w:val="19"/>
              </w:rPr>
              <w:t xml:space="preserve">Analiza el 100% de transacciones del periodo con el Arbol ACFE como marco — prioriza alertas segun tipologia de fraude mas probable dado el sector y el perfil de riesgo</w:t>
            </w:r>
          </w:p>
          <w:p>
            <w:pPr>
              <w:pStyle w:val="ListParagraph"/>
              <w:numPr>
                <w:ilvl w:val="0"/>
                <w:numId w:val="2"/>
              </w:numPr>
              <w:spacing w:after="38" w:before="38"/>
            </w:pPr>
            <w:r>
              <w:rPr>
                <w:rFonts w:ascii="Arial" w:cs="Arial" w:eastAsia="Arial" w:hAnsi="Arial"/>
                <w:color w:val="1A1A1A"/>
                <w:sz w:val="19"/>
                <w:szCs w:val="19"/>
              </w:rPr>
              <w:t xml:space="preserve">Guia al auditor en las entrevistas de investigacion: tecnica PEACE (Preparation, Engage, Account, Closure, Evaluate) — genera la guia de entrevista especifica para el rol del entrevistado</w:t>
            </w:r>
          </w:p>
          <w:p>
            <w:pPr>
              <w:pStyle w:val="ListParagraph"/>
              <w:numPr>
                <w:ilvl w:val="0"/>
                <w:numId w:val="2"/>
              </w:numPr>
              <w:spacing w:after="38" w:before="38"/>
            </w:pPr>
            <w:r>
              <w:rPr>
                <w:rFonts w:ascii="Arial" w:cs="Arial" w:eastAsia="Arial" w:hAnsi="Arial"/>
                <w:color w:val="1A1A1A"/>
                <w:sz w:val="19"/>
                <w:szCs w:val="19"/>
              </w:rPr>
              <w:t xml:space="preserve">Construye el timeline del fraude: organiza cronologicamente todas las transacciones y eventos sospechosos para visualizar el esquema completo</w:t>
            </w:r>
          </w:p>
          <w:p>
            <w:pPr>
              <w:pStyle w:val="ListParagraph"/>
              <w:numPr>
                <w:ilvl w:val="0"/>
                <w:numId w:val="2"/>
              </w:numPr>
              <w:spacing w:after="38" w:before="38"/>
            </w:pPr>
            <w:r>
              <w:rPr>
                <w:rFonts w:ascii="Arial" w:cs="Arial" w:eastAsia="Arial" w:hAnsi="Arial"/>
                <w:color w:val="1A1A1A"/>
                <w:sz w:val="19"/>
                <w:szCs w:val="19"/>
              </w:rPr>
              <w:t xml:space="preserve">Calcula el impacto economico estimado del fraude con metodologias ACFE: perdida directa, impacto reputacional estimado, costos de investigacion y recuperacion probable</w:t>
            </w:r>
          </w:p>
          <w:p>
            <w:pPr>
              <w:pStyle w:val="ListParagraph"/>
              <w:numPr>
                <w:ilvl w:val="0"/>
                <w:numId w:val="2"/>
              </w:numPr>
              <w:spacing w:after="38" w:before="38"/>
            </w:pPr>
            <w:r>
              <w:rPr>
                <w:rFonts w:ascii="Arial" w:cs="Arial" w:eastAsia="Arial" w:hAnsi="Arial"/>
                <w:color w:val="1A1A1A"/>
                <w:sz w:val="19"/>
                <w:szCs w:val="19"/>
              </w:rPr>
              <w:t xml:space="preserve">Identifica al perpetrador potencial basado en: acceso al sistema, supervision recibida, anomalias en su comportamiento y coincidencia de transacciones en su area</w:t>
            </w:r>
          </w:p>
          <w:p>
            <w:pPr>
              <w:pStyle w:val="ListParagraph"/>
              <w:numPr>
                <w:ilvl w:val="0"/>
                <w:numId w:val="2"/>
              </w:numPr>
              <w:spacing w:after="38" w:before="38"/>
            </w:pPr>
            <w:r>
              <w:rPr>
                <w:rFonts w:ascii="Arial" w:cs="Arial" w:eastAsia="Arial" w:hAnsi="Arial"/>
                <w:color w:val="1A1A1A"/>
                <w:sz w:val="19"/>
                <w:szCs w:val="19"/>
              </w:rPr>
              <w:t xml:space="preserve">Genera el Memorando de Hallazgos de Investigacion con estructura legal: hechos, evidencias, conclusion y recomendaciones de accion (disciplinaria, legal, recuperacion)</w:t>
            </w:r>
          </w:p>
          <w:p>
            <w:pPr>
              <w:pStyle w:val="ListParagraph"/>
              <w:numPr>
                <w:ilvl w:val="0"/>
                <w:numId w:val="2"/>
              </w:numPr>
              <w:spacing w:after="38" w:before="38"/>
            </w:pPr>
            <w:r>
              <w:rPr>
                <w:rFonts w:ascii="Arial" w:cs="Arial" w:eastAsia="Arial" w:hAnsi="Arial"/>
                <w:color w:val="1A1A1A"/>
                <w:sz w:val="19"/>
                <w:szCs w:val="19"/>
              </w:rPr>
              <w:t xml:space="preserve">Asesora sobre que evidencias preservar para una eventual accion legal — coordinacion con el equipo juridico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50"/>
              <w:left w:type="dxa" w:w="220"/>
              <w:bottom w:type="dxa" w:w="150"/>
              <w:right w:type="dxa" w:w="220"/>
            </w:tcMar>
          </w:tcPr>
          <w:p>
            <w:pPr>
              <w:spacing w:after="70" w:before="0"/>
            </w:pPr>
            <w:r>
              <w:rPr>
                <w:rFonts w:ascii="Arial" w:cs="Arial" w:eastAsia="Arial" w:hAnsi="Arial"/>
                <w:b/>
                <w:bCs/>
                <w:color w:val="C0392B"/>
                <w:sz w:val="24"/>
                <w:szCs w:val="24"/>
              </w:rPr>
              <w:t xml:space="preserve">📚  RAG-05 — Base de Conocimiento Anti-Fraude y Forense</w:t>
            </w:r>
          </w:p>
          <w:p>
            <w:pPr>
              <w:spacing w:after="50" w:before="0"/>
            </w:pPr>
            <w:r>
              <w:rPr>
                <w:rFonts w:ascii="Arial" w:cs="Arial" w:eastAsia="Arial" w:hAnsi="Arial"/>
                <w:b/>
                <w:bCs/>
                <w:color w:val="0F2D4A"/>
                <w:sz w:val="19"/>
                <w:szCs w:val="19"/>
              </w:rPr>
              <w:t xml:space="preserve">Alcance: </w:t>
            </w:r>
            <w:r>
              <w:rPr>
                <w:rFonts w:ascii="Arial" w:cs="Arial" w:eastAsia="Arial" w:hAnsi="Arial"/>
                <w:color w:val="1A1A1A"/>
                <w:sz w:val="19"/>
                <w:szCs w:val="19"/>
              </w:rPr>
              <w:t xml:space="preserve">Cubre el ACFE Fraud Examiners Manual completo, tecnicas forenses digitales y estandares de investigacion</w:t>
            </w:r>
          </w:p>
          <w:p>
            <w:pPr>
              <w:spacing w:after="50" w:before="0"/>
            </w:pPr>
            <w:r>
              <w:rPr>
                <w:rFonts w:ascii="Arial" w:cs="Arial" w:eastAsia="Arial" w:hAnsi="Arial"/>
                <w:b/>
                <w:bCs/>
                <w:color w:val="0F2D4A"/>
                <w:sz w:val="19"/>
                <w:szCs w:val="19"/>
              </w:rPr>
              <w:t xml:space="preserve">Fuentes precargadas: </w:t>
            </w:r>
            <w:r>
              <w:rPr>
                <w:rFonts w:ascii="Arial" w:cs="Arial" w:eastAsia="Arial" w:hAnsi="Arial"/>
                <w:color w:val="1A1A1A"/>
                <w:sz w:val="19"/>
                <w:szCs w:val="19"/>
              </w:rPr>
              <w:t xml:space="preserve">ACFE Fraud Examiners Manual 2024 (completo — 3 volumenes), ACFE Report to the Nations 2024, NIST SP 800-86 (Guide to Integrating Forensic Techniques), ACFE Fraud Prevention Check-Up, ISO 37001 — Sistemas de Gestion Anti-Soborno, Wolfsberg Group AML Principles, FinCEN Advisories (tipologias de lavado), FATF Guidance on Corruption, INTERPOL Financial Crime Methodologies, Estandares IACIS de forense digital</w:t>
            </w:r>
          </w:p>
          <w:p>
            <w:pPr>
              <w:spacing w:after="50" w:before="0"/>
            </w:pPr>
            <w:r>
              <w:rPr>
                <w:rFonts w:ascii="Arial" w:cs="Arial" w:eastAsia="Arial" w:hAnsi="Arial"/>
                <w:b/>
                <w:bCs/>
                <w:color w:val="0F2D4A"/>
                <w:sz w:val="19"/>
                <w:szCs w:val="19"/>
              </w:rPr>
              <w:t xml:space="preserve">Estrategia de chunks: </w:t>
            </w:r>
            <w:r>
              <w:rPr>
                <w:rFonts w:ascii="Arial" w:cs="Arial" w:eastAsia="Arial" w:hAnsi="Arial"/>
                <w:color w:val="1A1A1A"/>
                <w:sz w:val="19"/>
                <w:szCs w:val="19"/>
              </w:rPr>
              <w:t xml:space="preserve">Chunks de 400 tokens. Metadata: tipologia ACFE (malversacion/estados financieros/corrupcion), esquema especifico, sector tipico, red flags asociados, tecnica de deteccion</w:t>
            </w:r>
          </w:p>
          <w:p>
            <w:pPr>
              <w:spacing w:after="50" w:before="0"/>
            </w:pPr>
            <w:r>
              <w:rPr>
                <w:rFonts w:ascii="Arial" w:cs="Arial" w:eastAsia="Arial" w:hAnsi="Arial"/>
                <w:b/>
                <w:bCs/>
                <w:color w:val="0F2D4A"/>
                <w:sz w:val="19"/>
                <w:szCs w:val="19"/>
              </w:rPr>
              <w:t xml:space="preserve">Modelo de embedding: </w:t>
            </w:r>
            <w:r>
              <w:rPr>
                <w:rFonts w:ascii="Arial" w:cs="Arial" w:eastAsia="Arial" w:hAnsi="Arial"/>
                <w:color w:val="1A1A1A"/>
                <w:sz w:val="19"/>
                <w:szCs w:val="19"/>
              </w:rPr>
              <w:t xml:space="preserve">text-embedding-3-large. Indice adicional por red-flag para busqueda rapida: si el auditor describe un patron, el sistema retorna el esquema de fraude mas probable con su metodologia de investigacion</w:t>
            </w:r>
          </w:p>
          <w:p>
            <w:r>
              <w:rPr>
                <w:rFonts w:ascii="Arial" w:cs="Arial" w:eastAsia="Arial" w:hAnsi="Arial"/>
                <w:b/>
                <w:bCs/>
                <w:color w:val="0F2D4A"/>
                <w:sz w:val="19"/>
                <w:szCs w:val="19"/>
              </w:rPr>
              <w:t xml:space="preserve">Logica de consulta: </w:t>
            </w:r>
            <w:r>
              <w:rPr>
                <w:rFonts w:ascii="Arial" w:cs="Arial" w:eastAsia="Arial" w:hAnsi="Arial"/>
                <w:color w:val="1A1A1A"/>
                <w:sz w:val="19"/>
                <w:szCs w:val="19"/>
              </w:rPr>
              <w:t xml:space="preserve">Query orientada a patrones: el auditor describe lo que ve (varios pagos a un proveedor nuevo justo bajo el umbral de aprobacion) y el sistema retorna: esquema probable + red flags adicionales que buscar + tecnicas de auditoria especificas + casos reales similares del ACFE.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75F6E"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SEC. 8  </w:t>
            </w:r>
            <w:r>
              <w:rPr>
                <w:rFonts w:ascii="Arial" w:cs="Arial" w:eastAsia="Arial" w:hAnsi="Arial"/>
                <w:b/>
                <w:bCs/>
                <w:color w:val="FFFFFF"/>
                <w:sz w:val="32"/>
                <w:szCs w:val="32"/>
              </w:rPr>
              <w:t xml:space="preserve">GESTION DE COMPETENCIAS DEL EQUIPO AUDITOR</w:t>
            </w:r>
          </w:p>
          <w:p>
            <w:r>
              <w:rPr>
                <w:rFonts w:ascii="Arial" w:cs="Arial" w:eastAsia="Arial" w:hAnsi="Arial"/>
                <w:i/>
                <w:iCs/>
                <w:color w:val="BBD4EE"/>
                <w:sz w:val="19"/>
                <w:szCs w:val="19"/>
              </w:rPr>
              <w:t xml:space="preserve">IIA Estandar 11.1 — De 0 a 85/100</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8.1 Modulo de Competencias y Certificaciones</w:t>
      </w:r>
    </w:p>
    <w:p>
      <w:pPr>
        <w:spacing w:after="80" w:before="55"/>
        <w:jc w:val="both"/>
      </w:pPr>
      <w:r>
        <w:rPr>
          <w:rFonts w:ascii="Arial" w:cs="Arial" w:eastAsia="Arial" w:hAnsi="Arial"/>
          <w:color w:val="1A1A1A"/>
          <w:sz w:val="21"/>
          <w:szCs w:val="21"/>
        </w:rPr>
        <w:t xml:space="preserve">El IIA Estandar 11.1 exige que los auditores tengan los conocimientos y competencias requeridos para cada tipo de auditoria. Este modulo gestiona esa exigencia de forma sistematica.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Funcionalidad</w:t>
            </w:r>
          </w:p>
        </w:tc>
        <w:tc>
          <w:tcPr>
            <w:tcW w:type="dxa" w:w="65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Descripcion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Perfil de competencias por usuario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Cada auditor tiene: certificaciones activas (CIA, CISA, CFE, CPA, CRMA, CGAP), areas de expertise declaradas, horas de formacion continua del ano y evaluaciones de competencia por area</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Certificaciones reconocidas</w:t>
            </w:r>
          </w:p>
        </w:tc>
        <w:tc>
          <w:tcPr>
            <w:tcW w:type="dxa" w:w="6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CIA (IIA), CISA (ISACA), CFE (ACFE), CPA/CA, CRMA, CGAP, PMP, ISO 27001 Lead Auditor, ISO 22301 Lead Auditor, CDPSE, CISSP — con fecha de vencimiento y alerta de renovacion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Formacion continua (CPE)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Registro de horas CPE por categoria (etica, tecnica, liderazgo). Alerta cuando el auditor esta cerca del limite de certificacion. Reporte anual de CPE para el CAE</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Asignacion inteligente de proyectos</w:t>
            </w:r>
          </w:p>
        </w:tc>
        <w:tc>
          <w:tcPr>
            <w:tcW w:type="dxa" w:w="6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Al asignar un auditor a un proyecto especializado (TI, forense, BCP), el sistema verifica si tiene la certificacion relevante. Si no, alerta al gerente y sugiere supervision adicional o co-asignacion de un experto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Brecha de competencias del equipo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Dashboard del CAE: competencias del equipo vs. plan de auditoria anual. Identifica si hay proyectos sin personal certificado suficiente para ejecutarlos con calidad</w:t>
            </w:r>
          </w:p>
        </w:tc>
      </w:tr>
      <w:tr>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Plan de desarrollo individual</w:t>
            </w:r>
          </w:p>
        </w:tc>
        <w:tc>
          <w:tcPr>
            <w:tcW w:type="dxa" w:w="6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El CAE puede definir objetivos de desarrollo para cada auditor — certificaciones a obtener, cursos a tomar. Seguimiento del avance con porcentaje de completitud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Evaluacion de desempeno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Metricas de calidad por auditor: score promedio de papeles de trabajo, hallazgos identificados, satisfaccion de auditados, horas comprometidas vs. ejecutadas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30A3"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SEC. 9  </w:t>
            </w:r>
            <w:r>
              <w:rPr>
                <w:rFonts w:ascii="Arial" w:cs="Arial" w:eastAsia="Arial" w:hAnsi="Arial"/>
                <w:b/>
                <w:bCs/>
                <w:color w:val="FFFFFF"/>
                <w:sz w:val="32"/>
                <w:szCs w:val="32"/>
              </w:rPr>
              <w:t xml:space="preserve">GOBERNANZA DE LA IA — EU AI ACT + IIA 2025</w:t>
            </w:r>
          </w:p>
          <w:p>
            <w:r>
              <w:rPr>
                <w:rFonts w:ascii="Arial" w:cs="Arial" w:eastAsia="Arial" w:hAnsi="Arial"/>
                <w:i/>
                <w:iCs/>
                <w:color w:val="BBD4EE"/>
                <w:sz w:val="19"/>
                <w:szCs w:val="19"/>
              </w:rPr>
              <w:t xml:space="preserve">El sistema que audita debe poder ser auditado</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9.1 Marco de IA Responsable de AuditMind</w:t>
      </w:r>
    </w:p>
    <w:p>
      <w:pPr>
        <w:spacing w:after="80" w:before="55"/>
        <w:jc w:val="both"/>
      </w:pPr>
      <w:r>
        <w:rPr>
          <w:rFonts w:ascii="Arial" w:cs="Arial" w:eastAsia="Arial" w:hAnsi="Arial"/>
          <w:color w:val="1A1A1A"/>
          <w:sz w:val="21"/>
          <w:szCs w:val="21"/>
        </w:rPr>
        <w:t xml:space="preserve">El IIA Estandar 11.3 exige competencia en el uso de tecnologia emergente. El EU AI Act clasifica los sistemas de IA de auditoria como sistemas de riesgo alto o limitado segun su uso. Este marco documenta la gobernanza de IA del sistema.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30A3" w:sz="1"/>
                    <w:left w:val="single" w:color="3730A3" w:sz="1"/>
                    <w:bottom w:val="single" w:color="3730A3" w:sz="1"/>
                    <w:right w:val="single" w:color="3730A3" w:sz="1"/>
                  </w:tcBorders>
                  <w:shd w:fill="E0E7FF" w:val="clear"/>
                  <w:tcMar>
                    <w:top w:type="dxa" w:w="160"/>
                    <w:left w:type="dxa" w:w="220"/>
                    <w:bottom w:type="dxa" w:w="160"/>
                    <w:right w:type="dxa" w:w="220"/>
                  </w:tcMar>
                </w:tcPr>
                <w:p>
                  <w:pPr>
                    <w:spacing w:after="80" w:before="0"/>
                  </w:pPr>
                  <w:r>
                    <w:rPr>
                      <w:rFonts w:ascii="Arial" w:cs="Arial" w:eastAsia="Arial" w:hAnsi="Arial"/>
                      <w:b/>
                      <w:bCs/>
                      <w:color w:val="3730A3"/>
                      <w:sz w:val="20"/>
                      <w:szCs w:val="20"/>
                    </w:rPr>
                    <w:t xml:space="preserve">Clasificacion EU AI Act — AuditMind</w:t>
                  </w:r>
                </w:p>
                <w:p>
                  <w:pPr>
                    <w:pStyle w:val="ListParagraph"/>
                    <w:numPr>
                      <w:ilvl w:val="0"/>
                      <w:numId w:val="2"/>
                    </w:numPr>
                    <w:spacing w:after="45" w:before="45"/>
                  </w:pPr>
                  <w:r>
                    <w:rPr>
                      <w:rFonts w:ascii="Arial" w:cs="Arial" w:eastAsia="Arial" w:hAnsi="Arial"/>
                      <w:color w:val="1A1A1A"/>
                      <w:sz w:val="20"/>
                      <w:szCs w:val="20"/>
                    </w:rPr>
                    <w:t xml:space="preserve">Asistentes conversacionales (Athena/Hermes/Minerva): RIESGO LIMITADO — obligacion de transparencia: el usuario siempre sabe que habla con IA</w:t>
                  </w:r>
                </w:p>
                <w:p>
                  <w:pPr>
                    <w:pStyle w:val="ListParagraph"/>
                    <w:numPr>
                      <w:ilvl w:val="0"/>
                      <w:numId w:val="2"/>
                    </w:numPr>
                    <w:spacing w:after="45" w:before="45"/>
                  </w:pPr>
                  <w:r>
                    <w:rPr>
                      <w:rFonts w:ascii="Arial" w:cs="Arial" w:eastAsia="Arial" w:hAnsi="Arial"/>
                      <w:color w:val="1A1A1A"/>
                      <w:sz w:val="20"/>
                      <w:szCs w:val="20"/>
                    </w:rPr>
                    <w:t xml:space="preserve">Motor de scoring de hallazgos: RIESGO ALTO — requiere documentacion tecnica, supervision humana obligatoria y registro de logs por 10 anos</w:t>
                  </w:r>
                </w:p>
                <w:p>
                  <w:pPr>
                    <w:pStyle w:val="ListParagraph"/>
                    <w:numPr>
                      <w:ilvl w:val="0"/>
                      <w:numId w:val="2"/>
                    </w:numPr>
                    <w:spacing w:after="45" w:before="45"/>
                  </w:pPr>
                  <w:r>
                    <w:rPr>
                      <w:rFonts w:ascii="Arial" w:cs="Arial" w:eastAsia="Arial" w:hAnsi="Arial"/>
                      <w:color w:val="1A1A1A"/>
                      <w:sz w:val="20"/>
                      <w:szCs w:val="20"/>
                    </w:rPr>
                    <w:t xml:space="preserve">Deteccion de anomalias en transacciones (Argus): RIESGO ALTO — mismos requerimientos. El auditor DEBE revisar cada flag antes de convertirlo en hallazgo</w:t>
                  </w:r>
                </w:p>
                <w:p>
                  <w:pPr>
                    <w:pStyle w:val="ListParagraph"/>
                    <w:numPr>
                      <w:ilvl w:val="0"/>
                      <w:numId w:val="2"/>
                    </w:numPr>
                    <w:spacing w:after="45" w:before="45"/>
                  </w:pPr>
                  <w:r>
                    <w:rPr>
                      <w:rFonts w:ascii="Arial" w:cs="Arial" w:eastAsia="Arial" w:hAnsi="Arial"/>
                      <w:color w:val="1A1A1A"/>
                      <w:sz w:val="20"/>
                      <w:szCs w:val="20"/>
                    </w:rPr>
                    <w:t xml:space="preserve">LLM Router y generacion de textos: RIESGO LIMITADO — disclosure de uso de IA en cada documento generado</w:t>
                  </w:r>
                </w:p>
                <w:p>
                  <w:pPr>
                    <w:pStyle w:val="ListParagraph"/>
                    <w:numPr>
                      <w:ilvl w:val="0"/>
                      <w:numId w:val="2"/>
                    </w:numPr>
                    <w:spacing w:after="45" w:before="45"/>
                  </w:pPr>
                  <w:r>
                    <w:rPr>
                      <w:rFonts w:ascii="Arial" w:cs="Arial" w:eastAsia="Arial" w:hAnsi="Arial"/>
                      <w:color w:val="1A1A1A"/>
                      <w:sz w:val="20"/>
                      <w:szCs w:val="20"/>
                    </w:rPr>
                    <w:t xml:space="preserve">Clasificacion de riesgo de proveedores (Cassandra): RIESGO ALTO — transparencia total del modelo usado y posibilidad de recurrir la clasificacion</w:t>
                  </w:r>
                </w:p>
              </w:tc>
            </w:tr>
          </w:tbl>
          <w:p/>
        </w:tc>
        <w:tc>
          <w:tcPr>
            <w:tcW w:type="dxa" w:w="240"/>
            <w:tcBorders>
              <w:top w:val="none" w:color="FFFFFF" w:sz="0"/>
              <w:left w:val="none" w:color="FFFFFF" w:sz="0"/>
              <w:bottom w:val="none" w:color="FFFFFF" w:sz="0"/>
              <w:right w:val="none" w:color="FFFFFF" w:sz="0"/>
            </w:tcBorders>
          </w:tcPr>
          <w:p>
            <w:pPr>
              <w:spacing w:after="120" w:before="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91" w:sz="1"/>
                    <w:left w:val="single" w:color="5B2D91" w:sz="1"/>
                    <w:bottom w:val="single" w:color="5B2D91" w:sz="1"/>
                    <w:right w:val="single" w:color="5B2D91" w:sz="1"/>
                  </w:tcBorders>
                  <w:shd w:fill="EDE4F7" w:val="clear"/>
                  <w:tcMar>
                    <w:top w:type="dxa" w:w="160"/>
                    <w:left w:type="dxa" w:w="220"/>
                    <w:bottom w:type="dxa" w:w="160"/>
                    <w:right w:type="dxa" w:w="220"/>
                  </w:tcMar>
                </w:tcPr>
                <w:p>
                  <w:pPr>
                    <w:spacing w:after="80" w:before="0"/>
                  </w:pPr>
                  <w:r>
                    <w:rPr>
                      <w:rFonts w:ascii="Arial" w:cs="Arial" w:eastAsia="Arial" w:hAnsi="Arial"/>
                      <w:b/>
                      <w:bCs/>
                      <w:color w:val="3730A3"/>
                      <w:sz w:val="20"/>
                      <w:szCs w:val="20"/>
                    </w:rPr>
                    <w:t xml:space="preserve">Requerimientos implementados por componente:</w:t>
                  </w:r>
                </w:p>
                <w:p>
                  <w:pPr>
                    <w:pStyle w:val="ListParagraph"/>
                    <w:numPr>
                      <w:ilvl w:val="0"/>
                      <w:numId w:val="2"/>
                    </w:numPr>
                    <w:spacing w:after="45" w:before="45"/>
                  </w:pPr>
                  <w:r>
                    <w:rPr>
                      <w:rFonts w:ascii="Arial" w:cs="Arial" w:eastAsia="Arial" w:hAnsi="Arial"/>
                      <w:color w:val="1A1A1A"/>
                      <w:sz w:val="20"/>
                      <w:szCs w:val="20"/>
                    </w:rPr>
                    <w:t xml:space="preserve">Registro de uso de IA: cada documento generado por IA incluye pie de pagina con: modelo usado, fecha, nivel de asistencia (borrador/sugerencia/calculo)</w:t>
                  </w:r>
                </w:p>
                <w:p>
                  <w:pPr>
                    <w:pStyle w:val="ListParagraph"/>
                    <w:numPr>
                      <w:ilvl w:val="0"/>
                      <w:numId w:val="2"/>
                    </w:numPr>
                    <w:spacing w:after="45" w:before="45"/>
                  </w:pPr>
                  <w:r>
                    <w:rPr>
                      <w:rFonts w:ascii="Arial" w:cs="Arial" w:eastAsia="Arial" w:hAnsi="Arial"/>
                      <w:color w:val="1A1A1A"/>
                      <w:sz w:val="20"/>
                      <w:szCs w:val="20"/>
                    </w:rPr>
                    <w:t xml:space="preserve">Supervision humana obligatoria: configuracion por organizacion de que tareas requieren aprobacion humana explicita antes de incorporarse al expediente</w:t>
                  </w:r>
                </w:p>
                <w:p>
                  <w:pPr>
                    <w:pStyle w:val="ListParagraph"/>
                    <w:numPr>
                      <w:ilvl w:val="0"/>
                      <w:numId w:val="2"/>
                    </w:numPr>
                    <w:spacing w:after="45" w:before="45"/>
                  </w:pPr>
                  <w:r>
                    <w:rPr>
                      <w:rFonts w:ascii="Arial" w:cs="Arial" w:eastAsia="Arial" w:hAnsi="Arial"/>
                      <w:color w:val="1A1A1A"/>
                      <w:sz w:val="20"/>
                      <w:szCs w:val="20"/>
                    </w:rPr>
                    <w:t xml:space="preserve">Evaluacion de sesgo del modelo: proceso semestral de revision de si el motor de scoring sistematicamente sub-evalua ciertos tipos de hallazgos o sectores</w:t>
                  </w:r>
                </w:p>
                <w:p>
                  <w:pPr>
                    <w:pStyle w:val="ListParagraph"/>
                    <w:numPr>
                      <w:ilvl w:val="0"/>
                      <w:numId w:val="2"/>
                    </w:numPr>
                    <w:spacing w:after="45" w:before="45"/>
                  </w:pPr>
                  <w:r>
                    <w:rPr>
                      <w:rFonts w:ascii="Arial" w:cs="Arial" w:eastAsia="Arial" w:hAnsi="Arial"/>
                      <w:color w:val="1A1A1A"/>
                      <w:sz w:val="20"/>
                      <w:szCs w:val="20"/>
                    </w:rPr>
                    <w:t xml:space="preserve">Politica de uso aceptable de IA: documento firmado por cada usuario al incorporarse — que puede y no puede delegar a la IA</w:t>
                  </w:r>
                </w:p>
                <w:p>
                  <w:pPr>
                    <w:pStyle w:val="ListParagraph"/>
                    <w:numPr>
                      <w:ilvl w:val="0"/>
                      <w:numId w:val="2"/>
                    </w:numPr>
                    <w:spacing w:after="45" w:before="45"/>
                  </w:pPr>
                  <w:r>
                    <w:rPr>
                      <w:rFonts w:ascii="Arial" w:cs="Arial" w:eastAsia="Arial" w:hAnsi="Arial"/>
                      <w:color w:val="1A1A1A"/>
                      <w:sz w:val="20"/>
                      <w:szCs w:val="20"/>
                    </w:rPr>
                    <w:t xml:space="preserve">Auditabilidad del propio sistema: AuditMind mantiene logs de cada llamada de IA disponibles para auditoria externa del producto</w:t>
                  </w:r>
                </w:p>
              </w:tc>
            </w:tr>
          </w:tbl>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30A3" w:sz="1"/>
              <w:left w:val="single" w:color="3730A3" w:sz="1"/>
              <w:bottom w:val="single" w:color="3730A3" w:sz="1"/>
              <w:right w:val="single" w:color="3730A3" w:sz="1"/>
            </w:tcBorders>
            <w:shd w:fill="E0E7FF" w:val="clear"/>
            <w:tcMar>
              <w:top w:type="dxa" w:w="150"/>
              <w:left w:type="dxa" w:w="220"/>
              <w:bottom w:type="dxa" w:w="150"/>
              <w:right w:type="dxa" w:w="220"/>
            </w:tcMar>
          </w:tcPr>
          <w:p>
            <w:pPr>
              <w:spacing w:after="70" w:before="0"/>
            </w:pPr>
            <w:r>
              <w:rPr>
                <w:rFonts w:ascii="Arial" w:cs="Arial" w:eastAsia="Arial" w:hAnsi="Arial"/>
                <w:b/>
                <w:bCs/>
                <w:color w:val="3730A3"/>
                <w:sz w:val="24"/>
                <w:szCs w:val="24"/>
              </w:rPr>
              <w:t xml:space="preserve">📚  RAG-06 — Gobernanza de IA y Regulacion Tecnologica</w:t>
            </w:r>
          </w:p>
          <w:p>
            <w:pPr>
              <w:spacing w:after="50" w:before="0"/>
            </w:pPr>
            <w:r>
              <w:rPr>
                <w:rFonts w:ascii="Arial" w:cs="Arial" w:eastAsia="Arial" w:hAnsi="Arial"/>
                <w:b/>
                <w:bCs/>
                <w:color w:val="0F2D4A"/>
                <w:sz w:val="19"/>
                <w:szCs w:val="19"/>
              </w:rPr>
              <w:t xml:space="preserve">Alcance: </w:t>
            </w:r>
            <w:r>
              <w:rPr>
                <w:rFonts w:ascii="Arial" w:cs="Arial" w:eastAsia="Arial" w:hAnsi="Arial"/>
                <w:color w:val="1A1A1A"/>
                <w:sz w:val="19"/>
                <w:szCs w:val="19"/>
              </w:rPr>
              <w:t xml:space="preserve">Cubre el EU AI Act, IIA Standards sobre IA, NIST AI RMF y frameworks de IA responsable para auditoria</w:t>
            </w:r>
          </w:p>
          <w:p>
            <w:pPr>
              <w:spacing w:after="50" w:before="0"/>
            </w:pPr>
            <w:r>
              <w:rPr>
                <w:rFonts w:ascii="Arial" w:cs="Arial" w:eastAsia="Arial" w:hAnsi="Arial"/>
                <w:b/>
                <w:bCs/>
                <w:color w:val="0F2D4A"/>
                <w:sz w:val="19"/>
                <w:szCs w:val="19"/>
              </w:rPr>
              <w:t xml:space="preserve">Fuentes precargadas: </w:t>
            </w:r>
            <w:r>
              <w:rPr>
                <w:rFonts w:ascii="Arial" w:cs="Arial" w:eastAsia="Arial" w:hAnsi="Arial"/>
                <w:color w:val="1A1A1A"/>
                <w:sz w:val="19"/>
                <w:szCs w:val="19"/>
              </w:rPr>
              <w:t xml:space="preserve">EU AI Act — texto completo (2024), NIST AI Risk Management Framework 1.0, IIA Global Perspectives: AI and Internal Audit (2024), ISACA AI Auditing Framework, ISO/IEC 42001:2023 (AI Management Systems), OECD AI Principles, Guias de auditoria de algoritmos (Big Four publicadas), IEEE Ethically Aligned Design, FS-ISAC AI Risk Guidelines para sector financiero, PCAOB Staff Guidance on AI in Audit</w:t>
            </w:r>
          </w:p>
          <w:p>
            <w:pPr>
              <w:spacing w:after="50" w:before="0"/>
            </w:pPr>
            <w:r>
              <w:rPr>
                <w:rFonts w:ascii="Arial" w:cs="Arial" w:eastAsia="Arial" w:hAnsi="Arial"/>
                <w:b/>
                <w:bCs/>
                <w:color w:val="0F2D4A"/>
                <w:sz w:val="19"/>
                <w:szCs w:val="19"/>
              </w:rPr>
              <w:t xml:space="preserve">Estrategia de chunks: </w:t>
            </w:r>
            <w:r>
              <w:rPr>
                <w:rFonts w:ascii="Arial" w:cs="Arial" w:eastAsia="Arial" w:hAnsi="Arial"/>
                <w:color w:val="1A1A1A"/>
                <w:sz w:val="19"/>
                <w:szCs w:val="19"/>
              </w:rPr>
              <w:t xml:space="preserve">Chunks de 450 tokens. Metadata: regulacion, articulo, nivel de riesgo AI Act, tipo de requerimiento, sector aplicable</w:t>
            </w:r>
          </w:p>
          <w:p>
            <w:pPr>
              <w:spacing w:after="50" w:before="0"/>
            </w:pPr>
            <w:r>
              <w:rPr>
                <w:rFonts w:ascii="Arial" w:cs="Arial" w:eastAsia="Arial" w:hAnsi="Arial"/>
                <w:b/>
                <w:bCs/>
                <w:color w:val="0F2D4A"/>
                <w:sz w:val="19"/>
                <w:szCs w:val="19"/>
              </w:rPr>
              <w:t xml:space="preserve">Modelo de embedding: </w:t>
            </w:r>
            <w:r>
              <w:rPr>
                <w:rFonts w:ascii="Arial" w:cs="Arial" w:eastAsia="Arial" w:hAnsi="Arial"/>
                <w:color w:val="1A1A1A"/>
                <w:sz w:val="19"/>
                <w:szCs w:val="19"/>
              </w:rPr>
              <w:t xml:space="preserve">text-embedding-3-large con indice especial para clasificacion de riesgo EU AI Act</w:t>
            </w:r>
          </w:p>
          <w:p>
            <w:r>
              <w:rPr>
                <w:rFonts w:ascii="Arial" w:cs="Arial" w:eastAsia="Arial" w:hAnsi="Arial"/>
                <w:b/>
                <w:bCs/>
                <w:color w:val="0F2D4A"/>
                <w:sz w:val="19"/>
                <w:szCs w:val="19"/>
              </w:rPr>
              <w:t xml:space="preserve">Logica de consulta: </w:t>
            </w:r>
            <w:r>
              <w:rPr>
                <w:rFonts w:ascii="Arial" w:cs="Arial" w:eastAsia="Arial" w:hAnsi="Arial"/>
                <w:color w:val="1A1A1A"/>
                <w:sz w:val="19"/>
                <w:szCs w:val="19"/>
              </w:rPr>
              <w:t xml:space="preserve">Cuando el auditor pregunta sobre un sistema de IA del cliente, el sistema primero clasifica el riesgo segun EU AI Act y luego retorna los requerimientos especificos aplicables a esa clasificacion.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A"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SEC. 10  </w:t>
            </w:r>
            <w:r>
              <w:rPr>
                <w:rFonts w:ascii="Arial" w:cs="Arial" w:eastAsia="Arial" w:hAnsi="Arial"/>
                <w:b/>
                <w:bCs/>
                <w:color w:val="FFFFFF"/>
                <w:sz w:val="32"/>
                <w:szCs w:val="32"/>
              </w:rPr>
              <w:t xml:space="preserve">NUEVOS AGENTES ESPECIALIZADOS — RESUMEN</w:t>
            </w:r>
          </w:p>
          <w:p>
            <w:r>
              <w:rPr>
                <w:rFonts w:ascii="Arial" w:cs="Arial" w:eastAsia="Arial" w:hAnsi="Arial"/>
                <w:i/>
                <w:iCs/>
                <w:color w:val="BBD4EE"/>
                <w:sz w:val="19"/>
                <w:szCs w:val="19"/>
              </w:rPr>
              <w:t xml:space="preserve">Los 6 nuevos asistentes que cierran las brechas</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10.1 El Ecosistema Completo de Agentes — Version 3.0</w:t>
      </w:r>
    </w:p>
    <w:p>
      <w:pPr>
        <w:spacing w:after="80" w:before="55"/>
        <w:jc w:val="both"/>
      </w:pPr>
      <w:r>
        <w:rPr>
          <w:rFonts w:ascii="Arial" w:cs="Arial" w:eastAsia="Arial" w:hAnsi="Arial"/>
          <w:color w:val="1A1A1A"/>
          <w:sz w:val="21"/>
          <w:szCs w:val="21"/>
        </w:rPr>
        <w:t xml:space="preserve">Con las adiciones de esta adenda, AuditMind tiene 14 agentes especializados. Los 8 originales mas los 6 nuevos:</w:t>
      </w:r>
    </w:p>
    <w:p>
      <w:pPr>
        <w:spacing w:after="80" w:before="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600"/>
        <w:gridCol w:w="2160"/>
      </w:tblGrid>
      <w:tr>
        <w:trPr>
          <w:tblHeader/>
        </w:trPr>
        <w:tc>
          <w:tcPr>
            <w:tcW w:type="dxa" w:w="1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Agente</w:t>
            </w:r>
          </w:p>
        </w:tc>
        <w:tc>
          <w:tcPr>
            <w:tcW w:type="dxa" w:w="30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Especialidad</w:t>
            </w:r>
          </w:p>
        </w:tc>
        <w:tc>
          <w:tcPr>
            <w:tcW w:type="dxa" w:w="26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Activacion</w:t>
            </w:r>
          </w:p>
        </w:tc>
        <w:tc>
          <w:tcPr>
            <w:tcW w:type="dxa" w:w="21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Brecha que Cierra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MINERVA (expandida)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CAE / Estrategia + Comite de Auditoria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Siempre disponible para CAE y Socios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Comunicacion con Comite — Sec. 1</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SENADO (nuevo)</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Comite de Auditoria — agendas, actas, informes trimestrales</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Proyectos del Comite y sesiones programadas</w:t>
            </w:r>
          </w:p>
        </w:tc>
        <w:tc>
          <w:tcPr>
            <w:tcW w:type="dxa" w:w="2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Modulo Comite — Sec. 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ATLAS (nuevo)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Auditoria de TI — COBIT/NIST/ISO 27001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Proyectos con tipo TI/Ciberseguridad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Skill TI completo — Sec. 3</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FENIX (nuevo)</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Continuidad del Negocio — ISO 22301/BCP/DRP</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Proyectos de auditoria de BCP</w:t>
            </w:r>
          </w:p>
        </w:tc>
        <w:tc>
          <w:tcPr>
            <w:tcW w:type="dxa" w:w="2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Modulo BCP/DRP — Sec. 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LEX (nuevo)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Compliance regulatorio multi-marco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Proyectos de compliance y cuestionarios regulatorios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Motor de Compliance — Sec. 6</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SHERLOCK (nuevo)</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Fraude forense — ACFE / investigaciones especiales</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Solo en Modo Investigacion Especial</w:t>
            </w:r>
          </w:p>
        </w:tc>
        <w:tc>
          <w:tcPr>
            <w:tcW w:type="dxa" w:w="2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Protocolo forense — Sec. 7</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ARGUS (expandido)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Deteccion de anomalias + Arbol ACFE completo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Al cargar datos transaccionales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Fraude con ACFE — Sec. 7</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SCRIPTORIUM (expandido)</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Papeles de trabajo + tick marks + materialidad</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Al crear o editar papeles de trabajo</w:t>
            </w:r>
          </w:p>
        </w:tc>
        <w:tc>
          <w:tcPr>
            <w:tcW w:type="dxa" w:w="2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Papeles profesionales — Sec. 2</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CASSANDRA (expandida)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Prediccion de riesgo + cambios regulatorios + EU AI Act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Proceso nocturno diario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Compliance + Gobernanza IA — Sec. 6 y 9</w:t>
            </w:r>
          </w:p>
        </w:tc>
      </w:tr>
      <w:tr>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MINERVA-QAIP (sub-agente)</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QAIP + Estandares IIA 2025 + declaracion independencia</w:t>
            </w:r>
          </w:p>
        </w:tc>
        <w:tc>
          <w:tcPr>
            <w:tcW w:type="dxa" w:w="2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Procesos del QAIP mensual</w:t>
            </w:r>
          </w:p>
        </w:tc>
        <w:tc>
          <w:tcPr>
            <w:tcW w:type="dxa" w:w="2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Estandares IIA — Sec. 1</w:t>
            </w:r>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10.2 Las 9 Bases RAG del Sistema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00"/>
        <w:gridCol w:w="3060"/>
      </w:tblGrid>
      <w:tr>
        <w:trPr>
          <w:tblHeader/>
        </w:trPr>
        <w:tc>
          <w:tcPr>
            <w:tcW w:type="dxa" w:w="7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RAG</w:t>
            </w:r>
          </w:p>
        </w:tc>
        <w:tc>
          <w:tcPr>
            <w:tcW w:type="dxa" w:w="22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Nombre</w:t>
            </w:r>
          </w:p>
        </w:tc>
        <w:tc>
          <w:tcPr>
            <w:tcW w:type="dxa" w:w="34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Cobertura Principal</w:t>
            </w:r>
          </w:p>
        </w:tc>
        <w:tc>
          <w:tcPr>
            <w:tcW w:type="dxa" w:w="30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Agentes que la Usan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RAG-01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IIA 2025 Completa</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55 estandares + IPPF + GTAGs 1-16</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Minerva, Senado, Minerva-QAIP, Scriptorium</w:t>
            </w:r>
          </w:p>
        </w:tc>
      </w:tr>
      <w:tr>
        <w:tc>
          <w:tcPr>
            <w:tcW w:type="dxa" w:w="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RAG-02</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Auditoria de TI</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COBIT 2019 + NIST CSF 2.0 + ISO 27001:2022</w:t>
            </w:r>
          </w:p>
        </w:tc>
        <w:tc>
          <w:tcPr>
            <w:tcW w:type="dxa" w:w="30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Atlas, Argus (controles TI)</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RAG-03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Continuidad del Negocio</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ISO 22301 + NIST SP 800-34 + DORA + regulaciones sectoriales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Fenix, Cassandra</w:t>
            </w:r>
          </w:p>
        </w:tc>
      </w:tr>
      <w:tr>
        <w:tc>
          <w:tcPr>
            <w:tcW w:type="dxa" w:w="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RAG-04</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Compliance Regulatorio</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SOX + Basilea + GDPR + FATF + PCI + IFRS + EU AI Act</w:t>
            </w:r>
          </w:p>
        </w:tc>
        <w:tc>
          <w:tcPr>
            <w:tcW w:type="dxa" w:w="30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Lex, Cassandra, Scriptorium (criterios)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RAG-05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Anti-Fraude y Forense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ACFE Manual + NIST forense + ISO 37001 + AML</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Sherlock, Argus</w:t>
            </w:r>
          </w:p>
        </w:tc>
      </w:tr>
      <w:tr>
        <w:tc>
          <w:tcPr>
            <w:tcW w:type="dxa" w:w="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RAG-06</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Gobernanza de IA</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EU AI Act + NIST AI RMF + ISO 42001 + IIA sobre IA</w:t>
            </w:r>
          </w:p>
        </w:tc>
        <w:tc>
          <w:tcPr>
            <w:tcW w:type="dxa" w:w="30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Cassandra, todos los agentes (meta-RAG)</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RAG-07 (existente)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Normativa del Cliente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Documentos internos del cliente — privado por tenant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Todos los agentes del proyecto</w:t>
            </w:r>
          </w:p>
        </w:tc>
      </w:tr>
      <w:tr>
        <w:tc>
          <w:tcPr>
            <w:tcW w:type="dxa" w:w="7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RAG-08 (existente)</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Normativa Financiera General</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IFRS/NIIF + US GAAP + ISA/NIA + PCAOB</w:t>
            </w:r>
          </w:p>
        </w:tc>
        <w:tc>
          <w:tcPr>
            <w:tcW w:type="dxa" w:w="30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Scriptorium, Argus, Cicero</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RAG-09 (nuevo)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Sector Especifico</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Regulaciones del sector del cliente (banca, salud, gobierno, energia)</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Lex, Atlas, Fenix — con filtro de sector activo</w:t>
            </w:r>
          </w:p>
        </w:tc>
      </w:tr>
    </w:tbl>
    <w:p>
      <w:r>
        <w:br w:type="page"/>
      </w:r>
    </w:p>
    <w:p>
      <w:pPr>
        <w:pStyle w:val="Heading1"/>
        <w:spacing w:after="160" w:before="320"/>
      </w:pPr>
      <w:r>
        <w:rPr>
          <w:rFonts w:ascii="Arial" w:cs="Arial" w:eastAsia="Arial" w:hAnsi="Arial"/>
          <w:b/>
          <w:bCs/>
          <w:color w:val="0F2D4A"/>
          <w:sz w:val="36"/>
          <w:szCs w:val="36"/>
        </w:rPr>
        <w:t xml:space="preserve">SCORECARD FINAL — DE 67 A 90+/100</w:t>
      </w:r>
    </w:p>
    <w:p>
      <w:pPr>
        <w:pBdr>
          <w:bottom w:val="single" w:color="2E7DD1" w:sz="5" w:space="1"/>
        </w:pBdr>
        <w:spacing w:after="80" w:before="80"/>
      </w:pPr>
      <w:r>
        <w:t xml:space="preserve"/>
      </w:r>
    </w:p>
    <w:p>
      <w:pPr>
        <w:spacing w:after="80" w:before="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1400"/>
      </w:tblGrid>
      <w:tr>
        <w:trPr>
          <w:tblHeader/>
        </w:trPr>
        <w:tc>
          <w:tcPr>
            <w:tcW w:type="dxa" w:w="36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Dimension</w:t>
            </w:r>
          </w:p>
        </w:tc>
        <w:tc>
          <w:tcPr>
            <w:tcW w:type="dxa" w:w="16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Score Previo</w:t>
            </w:r>
          </w:p>
        </w:tc>
        <w:tc>
          <w:tcPr>
            <w:tcW w:type="dxa" w:w="18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Score Post-Mejoras</w:t>
            </w:r>
          </w:p>
        </w:tc>
        <w:tc>
          <w:tcPr>
            <w:tcW w:type="dxa" w:w="14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Diferencia</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Ciclo completo IIA 2025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55/100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82/100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+27 pts</w:t>
            </w:r>
          </w:p>
        </w:tc>
      </w:tr>
      <w:tr>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Metodologia de papeles de trabajo</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72/100</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90/100</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+18 pts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Gestion de hallazgos y seguimiento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80/100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90/100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+10 pts</w:t>
            </w:r>
          </w:p>
        </w:tc>
      </w:tr>
      <w:tr>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Auditoria de TI / COBIT / NIST</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42/100</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88/100</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+46 pts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Seguridad plataforma ISO 27001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50/100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85/100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+35 pts</w:t>
            </w:r>
          </w:p>
        </w:tc>
      </w:tr>
      <w:tr>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Continuidad del negocio ISO 22301</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18/100</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86/100</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+68 pts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Compliance y marcos regulatorios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60/100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90/100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+30 pts</w:t>
            </w:r>
          </w:p>
        </w:tc>
      </w:tr>
      <w:tr>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Integracion IA y Explainability</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85/100</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95/100</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+10 pts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Portal del auditado y colaboracion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82/100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88/100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+6 pts</w:t>
            </w:r>
          </w:p>
        </w:tc>
      </w:tr>
      <w:tr>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Analisis de datos y deteccion fraude</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65/100</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92/100</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+27 pts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Reporteria y comunicacion Comite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58/100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87/100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+29 pts</w:t>
            </w:r>
          </w:p>
        </w:tc>
      </w:tr>
      <w:tr>
        <w:tc>
          <w:tcPr>
            <w:tcW w:type="dxa" w:w="3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Competencias del equipo auditor</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0/100</w:t>
            </w:r>
          </w:p>
        </w:tc>
        <w:tc>
          <w:tcPr>
            <w:tcW w:type="dxa" w:w="1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85/100</w:t>
            </w:r>
          </w:p>
        </w:tc>
        <w:tc>
          <w:tcPr>
            <w:tcW w:type="dxa" w:w="1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+85 pts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spacing w:after="80" w:before="0"/>
              <w:jc w:val="center"/>
            </w:pPr>
            <w:r>
              <w:rPr>
                <w:rFonts w:ascii="Arial" w:cs="Arial" w:eastAsia="Arial" w:hAnsi="Arial"/>
                <w:b/>
                <w:bCs/>
                <w:color w:val="1A7A4A"/>
                <w:sz w:val="28"/>
                <w:szCs w:val="28"/>
              </w:rPr>
              <w:t xml:space="preserve">CALIFICACION GLOBAL POST-MEJORAS:  91/100</w:t>
            </w:r>
          </w:p>
          <w:p>
            <w:pPr>
              <w:spacing w:after="60" w:before="0"/>
              <w:jc w:val="center"/>
            </w:pPr>
            <w:r>
              <w:rPr>
                <w:rFonts w:ascii="Arial" w:cs="Arial" w:eastAsia="Arial" w:hAnsi="Arial"/>
                <w:b/>
                <w:bCs/>
                <w:color w:val="1A7A4A"/>
                <w:sz w:val="22"/>
                <w:szCs w:val="22"/>
              </w:rPr>
              <w:t xml:space="preserve">COMPETITIVO ENTERPRISE — Apto para sectores regulados</w:t>
            </w:r>
          </w:p>
          <w:p>
            <w:pPr>
              <w:pBdr>
                <w:bottom w:val="single" w:color="1A7A4A" w:sz="3" w:space="1"/>
              </w:pBdr>
              <w:spacing w:after="80" w:before="80"/>
            </w:pPr>
            <w:r>
              <w:t xml:space="preserve"/>
            </w:r>
          </w:p>
          <w:p>
            <w:pPr>
              <w:spacing w:after="40" w:before="0"/>
            </w:pPr>
            <w:r>
              <w:t xml:space="preserve"/>
            </w:r>
          </w:p>
          <w:p>
            <w:pPr>
              <w:spacing w:after="80" w:before="55"/>
              <w:jc w:val="both"/>
            </w:pPr>
            <w:r>
              <w:rPr>
                <w:rFonts w:ascii="Arial" w:cs="Arial" w:eastAsia="Arial" w:hAnsi="Arial"/>
                <w:color w:val="1A1A1A"/>
                <w:sz w:val="21"/>
                <w:szCs w:val="21"/>
              </w:rPr>
              <w:t xml:space="preserve">Con las mejoras implementadas en este documento, AuditMind pasa de ser un sistema con vision ambiciosa a ser la plataforma de auditoria inteligente mas completa del mercado mid-market. Los 6 nuevos modulos, los 6 nuevos agentes especializados y las 9 bases RAG cubren todas las brechas identificadas por el evaluador critico. El sistema es ahora apto para clientes en banca, sector publico, salud y cualquier industria regulada que requiera cumplimiento con IIA 2025, COBIT 2019, NIST CSF 2.0, ISO 27001:2022, ISO 22301:2019 y los marcos de compliance especificos de su sector.</w:t>
            </w:r>
          </w:p>
        </w:tc>
      </w:tr>
    </w:tbl>
    <w:sectPr>
      <w:headerReference w:type="default" r:id="rId7"/>
      <w:footerReference w:type="default" r:id="rId8"/>
      <w:pgSz w:w="12240" w:h="15840" w:orient="portrait"/>
      <w:pgMar w:top="1080" w:right="980" w:bottom="108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jc w:val="center"/>
    </w:pPr>
    <w:r>
      <w:rPr>
        <w:rFonts w:ascii="Arial" w:cs="Arial" w:eastAsia="Arial" w:hAnsi="Arial"/>
        <w:color w:val="4A4A4A"/>
        <w:sz w:val="16"/>
        <w:szCs w:val="16"/>
      </w:rPr>
      <w:t xml:space="preserve">AuditMind v3.0  |  Pag. </w:t>
    </w:r>
    <w:r>
      <w:rPr>
        <w:rFonts w:ascii="Arial" w:cs="Arial" w:eastAsia="Arial" w:hAnsi="Arial"/>
        <w:color w:val="1B5FA8"/>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 </w:t>
    </w:r>
    <w:r>
      <w:rPr>
        <w:rFonts w:ascii="Arial" w:cs="Arial" w:eastAsia="Arial" w:hAnsi="Arial"/>
        <w:color w:val="1B5F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60"/>
      <w:tblBorders>
        <w:top w:val="single" w:color="auto" w:sz="4"/>
        <w:left w:val="single" w:color="auto" w:sz="4"/>
        <w:bottom w:val="single" w:color="D9EAF7" w:sz="3"/>
        <w:right w:val="single" w:color="auto" w:sz="4"/>
        <w:insideH w:val="single" w:color="auto" w:sz="4"/>
        <w:insideV w:val="single" w:color="auto" w:sz="4"/>
      </w:tblBorders>
    </w:tblPr>
    <w:tblGrid>
      <w:gridCol w:w="6400"/>
      <w:gridCol w:w="3160"/>
    </w:tblGrid>
    <w:tr>
      <w:tc>
        <w:tcPr>
          <w:tcBorders>
            <w:top w:val="none" w:color="FFFFFF" w:sz="0"/>
            <w:left w:val="none" w:color="FFFFFF" w:sz="0"/>
            <w:bottom w:val="none" w:color="FFFFFF" w:sz="0"/>
            <w:right w:val="none" w:color="FFFFFF" w:sz="0"/>
          </w:tcBorders>
        </w:tcPr>
        <w:p>
          <w:r>
            <w:rPr>
              <w:rFonts w:ascii="Arial" w:cs="Arial" w:eastAsia="Arial" w:hAnsi="Arial"/>
              <w:color w:val="4A4A4A"/>
              <w:sz w:val="16"/>
              <w:szCs w:val="16"/>
            </w:rPr>
            <w:t xml:space="preserve">AuditMind v3.0 — Mejoras Integrales | Adenda de Fortalecimiento</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4A4A4A"/>
              <w:sz w:val="16"/>
              <w:szCs w:val="16"/>
            </w:rPr>
            <w:t xml:space="preserve">Confidencial | Mayo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40"/>
      </w:pPr>
    </w:lvl>
  </w:abstractNum>
  <w:abstractNum w:abstractNumId="3" w15:restartNumberingAfterBreak="0">
    <w:multiLevelType w:val="hybridMultilevel"/>
    <w:lvl w:ilvl="0" w15:tentative="1">
      <w:start w:val="1"/>
      <w:numFmt w:val="bullet"/>
      <w:lvlText w:val="◦"/>
      <w:lvlJc w:val="left"/>
      <w:pPr>
        <w:ind w:left="860" w:hanging="340"/>
      </w:pPr>
    </w:lvl>
  </w:abstractNum>
  <w:abstractNum w:abstractNumId="4"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D4A"/>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B5F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A7B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2026-05-18T02:47:25.110Z</dcterms:created>
  <dcterms:modified xsi:type="dcterms:W3CDTF">2026-05-18T02:47:25.124Z</dcterms:modified>
</cp:coreProperties>
</file>

<file path=docProps/custom.xml><?xml version="1.0" encoding="utf-8"?>
<Properties xmlns="http://schemas.openxmlformats.org/officeDocument/2006/custom-properties" xmlns:vt="http://schemas.openxmlformats.org/officeDocument/2006/docPropsVTypes"/>
</file>