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30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2D4A" w:val="clear"/>
            <w:tcMar>
              <w:top w:type="dxa" w:w="320"/>
              <w:left w:type="dxa" w:w="380"/>
              <w:bottom w:type="dxa" w:w="320"/>
              <w:right w:type="dxa" w:w="380"/>
            </w:tcMar>
          </w:tcPr>
          <w:p>
            <w:pPr>
              <w:spacing w:after="7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99BBDD"/>
                <w:sz w:val="20"/>
                <w:szCs w:val="20"/>
              </w:rPr>
              <w:t xml:space="preserve">ESTRUCTURA COMERCIAL Y PRECIOS</w:t>
            </w:r>
          </w:p>
          <w:p>
            <w:pPr>
              <w:spacing w:after="8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68"/>
                <w:szCs w:val="68"/>
              </w:rPr>
              <w:t xml:space="preserve">AuditMind</w:t>
            </w:r>
          </w:p>
          <w:p>
            <w:pPr>
              <w:spacing w:after="60" w:before="0"/>
              <w:jc w:val="center"/>
            </w:pPr>
            <w:r>
              <w:rPr>
                <w:rFonts w:ascii="Arial" w:cs="Arial" w:eastAsia="Arial" w:hAnsi="Arial"/>
                <w:color w:val="88BBEE"/>
                <w:sz w:val="34"/>
                <w:szCs w:val="34"/>
              </w:rPr>
              <w:t xml:space="preserve">Intelligence Platform</w:t>
            </w:r>
          </w:p>
          <w:p>
            <w:pPr>
              <w:pBdr>
                <w:bottom w:val="single" w:color="44779A" w:sz="4" w:space="1"/>
              </w:pBdr>
              <w:spacing w:after="80" w:before="80"/>
            </w:pPr>
            <w:r>
              <w:t xml:space="preserve"/>
            </w:r>
          </w:p>
          <w:p>
            <w:pPr>
              <w:spacing w:after="5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Auditoria Interna  |  Auditoria Externa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BBDDEE"/>
                <w:sz w:val="19"/>
                <w:szCs w:val="19"/>
              </w:rPr>
              <w:t xml:space="preserve">8 planes  •  2 categorias  •  Tarifas para El Salvador 2026</w:t>
            </w:r>
          </w:p>
        </w:tc>
      </w:tr>
    </w:tbl>
    <w:p>
      <w:pPr>
        <w:spacing w:after="18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60"/>
        <w:gridCol w:w="240"/>
        <w:gridCol w:w="4560"/>
      </w:tblGrid>
      <w:tr>
        <w:tc>
          <w:tcPr>
            <w:tcW w:type="dxa" w:w="4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70"/>
            </w:tcMar>
          </w:tcPr>
          <w:tbl>
            <w:tblPr>
              <w:tblW w:type="dxa" w:w="936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9360"/>
            </w:tblGrid>
            <w:tr>
              <w:tc>
                <w:tcPr>
                  <w:tcBorders>
                    <w:top w:val="single" w:color="1E40AF" w:sz="1"/>
                    <w:left w:val="single" w:color="1E40AF" w:sz="1"/>
                    <w:bottom w:val="single" w:color="1E40AF" w:sz="1"/>
                    <w:right w:val="single" w:color="1E40AF" w:sz="1"/>
                  </w:tcBorders>
                  <w:shd w:fill="DBEAFE" w:val="clear"/>
                  <w:tcMar>
                    <w:top w:type="dxa" w:w="150"/>
                    <w:left w:type="dxa" w:w="210"/>
                    <w:bottom w:type="dxa" w:w="150"/>
                    <w:right w:type="dxa" w:w="210"/>
                  </w:tcMar>
                </w:tcPr>
                <w:p>
                  <w:pPr>
                    <w:spacing w:after="50" w:before="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1E40AF"/>
                      <w:sz w:val="22"/>
                      <w:szCs w:val="22"/>
                    </w:rPr>
                    <w:t xml:space="preserve">🏢  AUDITORIA INTERNA</w:t>
                  </w:r>
                </w:p>
                <w:p>
                  <w:pPr>
                    <w:spacing w:after="40" w:before="0"/>
                    <w:jc w:val="center"/>
                  </w:pPr>
                  <w:r>
                    <w:rPr>
                      <w:rFonts w:ascii="Arial" w:cs="Arial" w:eastAsia="Arial" w:hAnsi="Arial"/>
                      <w:color w:val="4A4A4A"/>
                      <w:sz w:val="18"/>
                      <w:szCs w:val="18"/>
                    </w:rPr>
                    <w:t xml:space="preserve">Para departamentos de auditoria interna</w:t>
                  </w:r>
                </w:p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1E40AF"/>
                      <w:sz w:val="17"/>
                      <w:szCs w:val="17"/>
                    </w:rPr>
                    <w:t xml:space="preserve">Starter · Professional · Enterprise · Elite</w:t>
                  </w:r>
                </w:p>
              </w:tc>
            </w:tr>
          </w:tbl>
          <w:p/>
        </w:tc>
        <w:tc>
          <w:tcPr>
            <w:tcW w:type="dxa" w:w="2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20" w:before="0"/>
            </w:pPr>
            <w:r>
              <w:t xml:space="preserve"/>
            </w:r>
          </w:p>
        </w:tc>
        <w:tc>
          <w:tcPr>
            <w:tcW w:type="dxa" w:w="4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70"/>
              <w:bottom w:type="dxa" w:w="0"/>
              <w:right w:type="dxa" w:w="0"/>
            </w:tcMar>
          </w:tcPr>
          <w:tbl>
            <w:tblPr>
              <w:tblW w:type="dxa" w:w="936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9360"/>
            </w:tblGrid>
            <w:tr>
              <w:tc>
                <w:tcPr>
                  <w:tcBorders>
                    <w:top w:val="single" w:color="BE185D" w:sz="1"/>
                    <w:left w:val="single" w:color="BE185D" w:sz="1"/>
                    <w:bottom w:val="single" w:color="BE185D" w:sz="1"/>
                    <w:right w:val="single" w:color="BE185D" w:sz="1"/>
                  </w:tcBorders>
                  <w:shd w:fill="FCE7F3" w:val="clear"/>
                  <w:tcMar>
                    <w:top w:type="dxa" w:w="150"/>
                    <w:left w:type="dxa" w:w="210"/>
                    <w:bottom w:type="dxa" w:w="150"/>
                    <w:right w:type="dxa" w:w="210"/>
                  </w:tcMar>
                </w:tcPr>
                <w:p>
                  <w:pPr>
                    <w:spacing w:after="50" w:before="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BE185D"/>
                      <w:sz w:val="22"/>
                      <w:szCs w:val="22"/>
                    </w:rPr>
                    <w:t xml:space="preserve">📋  AUDITORIA EXTERNA</w:t>
                  </w:r>
                </w:p>
                <w:p>
                  <w:pPr>
                    <w:spacing w:after="40" w:before="0"/>
                    <w:jc w:val="center"/>
                  </w:pPr>
                  <w:r>
                    <w:rPr>
                      <w:rFonts w:ascii="Arial" w:cs="Arial" w:eastAsia="Arial" w:hAnsi="Arial"/>
                      <w:color w:val="4A4A4A"/>
                      <w:sz w:val="18"/>
                      <w:szCs w:val="18"/>
                    </w:rPr>
                    <w:t xml:space="preserve">Para firmas y profesionales independientes</w:t>
                  </w:r>
                </w:p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BE185D"/>
                      <w:sz w:val="17"/>
                      <w:szCs w:val="17"/>
                    </w:rPr>
                    <w:t xml:space="preserve">Starter · Professional · Firma · Gran Firma</w:t>
                  </w:r>
                </w:p>
              </w:tc>
            </w:tr>
          </w:tbl>
          <w:p/>
        </w:tc>
      </w:tr>
    </w:tbl>
    <w:p>
      <w:pPr>
        <w:spacing w:after="12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B8860B" w:sz="1"/>
              <w:left w:val="single" w:color="B8860B" w:sz="1"/>
              <w:bottom w:val="single" w:color="B8860B" w:sz="1"/>
              <w:right w:val="single" w:color="B8860B" w:sz="1"/>
            </w:tcBorders>
            <w:shd w:fill="FDF6DC" w:val="clear"/>
            <w:tcMar>
              <w:top w:type="dxa" w:w="150"/>
              <w:left w:type="dxa" w:w="210"/>
              <w:bottom w:type="dxa" w:w="150"/>
              <w:right w:type="dxa" w:w="210"/>
            </w:tcMar>
          </w:tcPr>
          <w:p>
            <w:pPr>
              <w:spacing w:after="7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F2D4A"/>
                <w:sz w:val="21"/>
                <w:szCs w:val="21"/>
              </w:rPr>
              <w:t xml:space="preserve">Fundamentos del Modelo de Precios para El Salvador</w:t>
            </w:r>
          </w:p>
          <w:p>
            <w:pPr>
              <w:spacing w:after="75" w:before="50"/>
              <w:jc w:val="both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Los precios propuestos toman en cuenta tres factores: (1) el mercado salvadoreño donde los presupuestos de software son significativamente menores al mercado norteamericano, (2) la referencia competitiva internacional donde AuditBoard cobra $40,000-$150,000/año en enterprise y SmartSuite comienza en $12/usuario/mes, y (3) la propuesta de valor de AuditMind que ofrece capacidades de IA que ningún competidor local o regional tiene. El precio es en dolares americanos dado que El Salvador opera con USD como moneda oficial.</w:t>
            </w:r>
          </w:p>
        </w:tc>
      </w:tr>
    </w:tbl>
    <w:p>
      <w:r>
        <w:br w:type="page"/>
      </w:r>
    </w:p>
    <w:p>
      <w:pPr>
        <w:pStyle w:val="Heading1"/>
        <w:spacing w:after="150" w:before="300"/>
      </w:pPr>
      <w:r>
        <w:rPr>
          <w:rFonts w:ascii="Arial" w:cs="Arial" w:eastAsia="Arial" w:hAnsi="Arial"/>
          <w:b/>
          <w:bCs/>
          <w:color w:val="0F2D4A"/>
          <w:sz w:val="36"/>
          <w:szCs w:val="36"/>
        </w:rPr>
        <w:t xml:space="preserve">FILOSOFIA DE PROGRESION DE PLANES</w:t>
      </w:r>
    </w:p>
    <w:p>
      <w:pPr>
        <w:pBdr>
          <w:bottom w:val="single" w:color="2E7DD1" w:sz="5" w:space="1"/>
        </w:pBdr>
        <w:spacing w:after="80" w:before="80"/>
      </w:pPr>
      <w:r>
        <w:t xml:space="preserve"/>
      </w:r>
    </w:p>
    <w:p>
      <w:pPr>
        <w:spacing w:after="80" w:before="0"/>
      </w:pPr>
      <w:r>
        <w:t xml:space="preserve"/>
      </w:r>
    </w:p>
    <w:p>
      <w:pPr>
        <w:spacing w:after="75" w:before="50"/>
        <w:jc w:val="both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Cada plan agrega exactamente lo que el usuario necesitaria en esa etapa de madurez de su funcion de auditoria. La progresion no es arbitraria — cada nivel habilita un salto real en la calidad, velocidad y profundidad del trabajo de auditoria.</w:t>
      </w:r>
    </w:p>
    <w:p>
      <w:pPr>
        <w:spacing w:after="8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600"/>
        <w:gridCol w:w="3000"/>
        <w:gridCol w:w="2560"/>
      </w:tblGrid>
      <w:tr>
        <w:trPr>
          <w:tblHeader/>
        </w:trPr>
        <w:tc>
          <w:tcPr>
            <w:tcW w:type="dxa" w:w="1200"/>
            <w:tcBorders>
              <w:top w:val="single" w:color="2E7DD1" w:sz="1"/>
              <w:left w:val="single" w:color="2E7DD1" w:sz="1"/>
              <w:bottom w:val="single" w:color="2E7DD1" w:sz="1"/>
              <w:right w:val="single" w:color="2E7DD1" w:sz="1"/>
            </w:tcBorders>
            <w:shd w:fill="0F2D4A" w:val="clear"/>
            <w:tcMar>
              <w:top w:type="dxa" w:w="85"/>
              <w:left w:type="dxa" w:w="110"/>
              <w:bottom w:type="dxa" w:w="85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Nivel</w:t>
            </w:r>
          </w:p>
        </w:tc>
        <w:tc>
          <w:tcPr>
            <w:tcW w:type="dxa" w:w="2600"/>
            <w:tcBorders>
              <w:top w:val="single" w:color="2E7DD1" w:sz="1"/>
              <w:left w:val="single" w:color="2E7DD1" w:sz="1"/>
              <w:bottom w:val="single" w:color="2E7DD1" w:sz="1"/>
              <w:right w:val="single" w:color="2E7DD1" w:sz="1"/>
            </w:tcBorders>
            <w:shd w:fill="0F2D4A" w:val="clear"/>
            <w:tcMar>
              <w:top w:type="dxa" w:w="85"/>
              <w:left w:type="dxa" w:w="110"/>
              <w:bottom w:type="dxa" w:w="85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Perfil del Cliente</w:t>
            </w:r>
          </w:p>
        </w:tc>
        <w:tc>
          <w:tcPr>
            <w:tcW w:type="dxa" w:w="3000"/>
            <w:tcBorders>
              <w:top w:val="single" w:color="2E7DD1" w:sz="1"/>
              <w:left w:val="single" w:color="2E7DD1" w:sz="1"/>
              <w:bottom w:val="single" w:color="2E7DD1" w:sz="1"/>
              <w:right w:val="single" w:color="2E7DD1" w:sz="1"/>
            </w:tcBorders>
            <w:shd w:fill="0F2D4A" w:val="clear"/>
            <w:tcMar>
              <w:top w:type="dxa" w:w="85"/>
              <w:left w:type="dxa" w:w="110"/>
              <w:bottom w:type="dxa" w:w="85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Lo que Desbloquea</w:t>
            </w:r>
          </w:p>
        </w:tc>
        <w:tc>
          <w:tcPr>
            <w:tcW w:type="dxa" w:w="2560"/>
            <w:tcBorders>
              <w:top w:val="single" w:color="2E7DD1" w:sz="1"/>
              <w:left w:val="single" w:color="2E7DD1" w:sz="1"/>
              <w:bottom w:val="single" w:color="2E7DD1" w:sz="1"/>
              <w:right w:val="single" w:color="2E7DD1" w:sz="1"/>
            </w:tcBorders>
            <w:shd w:fill="0F2D4A" w:val="clear"/>
            <w:tcMar>
              <w:top w:type="dxa" w:w="85"/>
              <w:left w:type="dxa" w:w="110"/>
              <w:bottom w:type="dxa" w:w="85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Justificacion del Precio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STARTER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Auditoria incipiente o primer sistema. Equipos de 1-3 personas. Proceso manual previo en Excel/Word.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Ciclo de auditoria documentado digitalmente. Papeles de trabajo electronicos. Hallazgos trazables. Fin del Excel.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Sustituye hojas de calculo — ahorro de tiempo justifica el costo en la primera semana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PROFESSIONAL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Funcion establecida. 4-10 auditores. Quieren eficiencia y reducir tiempo de documentacion.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Todo lo anterior + IA para redactar hallazgos, asistente Athena, analytics de datos, portal del auditado funcional.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La IA ahorra 40-60% del tiempo de documentacion. ROI en semanas no meses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ENTERPRISE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Funcion madura. 10-25 auditores. Multiples tipos de auditoria. CAE reporta a Comite.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Todo lo anterior + todos los agentes IA, RAG normativo completo, QAIP, modulo Comite, Skills especializados.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Equivalente funcional a TeamMate+ que cuesta $30,000+/año — a una fraccion del precio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ELITE / GRAN FIRMA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Organizacion grande o firma con multiples clientes simultaneos. Necesita personalización y soporte dedicado.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Todo lo anterior + multi-entidad, API completa, SLA garantizado, onboarding dedicado, entrenamiento personalizado.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Precio justificado por ahorros en consultores, software legado y horas de auditoria</w:t>
            </w:r>
          </w:p>
        </w:tc>
      </w:tr>
    </w:tbl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2D4A" w:val="clear"/>
            <w:tcMar>
              <w:top w:type="dxa" w:w="200"/>
              <w:left w:type="dxa" w:w="280"/>
              <w:bottom w:type="dxa" w:w="200"/>
              <w:right w:type="dxa" w:w="280"/>
            </w:tcMar>
          </w:tcPr>
          <w:p>
            <w:pPr>
              <w:spacing w:after="60" w:before="0"/>
              <w:jc w:val="center"/>
            </w:pPr>
            <w:r>
              <w:rPr>
                <w:rFonts w:ascii="Arial" w:cs="Arial" w:eastAsia="Arial" w:hAnsi="Arial"/>
                <w:sz w:val="32"/>
                <w:szCs w:val="32"/>
              </w:rPr>
              <w:t xml:space="preserve">🏢</w:t>
            </w:r>
            <w:r>
              <w:rPr>
                <w:rFonts w:ascii="Arial" w:cs="Arial" w:eastAsia="Arial" w:hAnsi="Arial"/>
                <w:b/>
                <w:bCs/>
                <w:color w:val="FFFFFF"/>
                <w:sz w:val="34"/>
                <w:szCs w:val="34"/>
              </w:rPr>
              <w:t xml:space="preserve">  CATEGORIA A — AUDITORIA INTERNA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BBD4EE"/>
                <w:sz w:val="19"/>
                <w:szCs w:val="19"/>
              </w:rPr>
              <w:t xml:space="preserve">Para departamentos de auditoria interna de organizaciones privadas, publicas y mixtas</w:t>
            </w:r>
          </w:p>
        </w:tc>
      </w:tr>
    </w:tbl>
    <w:p>
      <w:pPr>
        <w:spacing w:after="12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1E40AF" w:sz="1"/>
              <w:left w:val="single" w:color="1E40AF" w:sz="1"/>
              <w:bottom w:val="single" w:color="1E40AF" w:sz="1"/>
              <w:right w:val="single" w:color="1E40AF" w:sz="1"/>
            </w:tcBorders>
            <w:shd w:fill="DBEAFE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tbl>
            <w:tblPr>
              <w:tblW w:type="dxa" w:w="892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5200"/>
              <w:gridCol w:w="3720"/>
            </w:tblGrid>
            <w:tr>
              <w:tc>
                <w:tcPr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40" w:before="0"/>
                  </w:pPr>
                  <w:r>
                    <w:rPr>
                      <w:rFonts w:ascii="Arial" w:cs="Arial" w:eastAsia="Arial" w:hAnsi="Arial"/>
                      <w:sz w:val="26"/>
                      <w:szCs w:val="26"/>
                    </w:rPr>
                    <w:t xml:space="preserve">🥉  </w:t>
                  </w:r>
                  <w:r>
                    <w:rPr>
                      <w:rFonts w:ascii="Arial" w:cs="Arial" w:eastAsia="Arial" w:hAnsi="Arial"/>
                      <w:b/>
                      <w:bCs/>
                      <w:color w:val="1E40AF"/>
                      <w:sz w:val="28"/>
                      <w:szCs w:val="28"/>
                    </w:rPr>
                    <w:t xml:space="preserve">IA Starter</w:t>
                  </w:r>
                </w:p>
                <w:p>
                  <w:r>
                    <w:rPr>
                      <w:rFonts w:ascii="Arial" w:cs="Arial" w:eastAsia="Arial" w:hAnsi="Arial"/>
                      <w:i/>
                      <w:iCs/>
                      <w:color w:val="4A4A4A"/>
                      <w:sz w:val="19"/>
                      <w:szCs w:val="19"/>
                    </w:rPr>
                    <w:t xml:space="preserve">El primer paso para dejar atras el Excel</w:t>
                  </w:r>
                </w:p>
              </w:tc>
              <w:tc>
                <w:tcPr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1E40AF" w:val="clear"/>
                  <w:tcMar>
                    <w:top w:type="dxa" w:w="60"/>
                    <w:left w:type="dxa" w:w="120"/>
                    <w:bottom w:type="dxa" w:w="60"/>
                    <w:right w:type="dxa" w:w="120"/>
                  </w:tcMar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38"/>
                      <w:szCs w:val="38"/>
                    </w:rPr>
                    <w:t xml:space="preserve">$89/mes</w:t>
                  </w:r>
                </w:p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color w:val="DDEEEE"/>
                      <w:sz w:val="17"/>
                      <w:szCs w:val="17"/>
                    </w:rPr>
                    <w:t xml:space="preserve">Hasta 3 usuarios | Facturacion anual</w:t>
                  </w:r>
                </w:p>
              </w:tc>
            </w:tr>
          </w:tbl>
          <w:p>
            <w:pPr>
              <w:spacing w:after="80" w:before="0"/>
            </w:pPr>
            <w:r>
              <w:t xml:space="preserve"/>
            </w:r>
          </w:p>
          <w:tbl>
            <w:tblPr>
              <w:tblW w:type="dxa" w:w="892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2860"/>
              <w:gridCol w:w="160"/>
              <w:gridCol w:w="2860"/>
              <w:gridCol w:w="160"/>
              <w:gridCol w:w="2840"/>
            </w:tblGrid>
            <w:tr>
              <w:tc>
                <w:tcPr>
                  <w:tcBorders>
                    <w:top w:val="single" w:color="1E40AF" w:sz="1"/>
                    <w:left w:val="single" w:color="1E40AF" w:sz="1"/>
                    <w:bottom w:val="single" w:color="1E40AF" w:sz="1"/>
                    <w:right w:val="single" w:color="1E40AF" w:sz="1"/>
                  </w:tcBorders>
                  <w:shd w:fill="FFFFFF" w:val="clear"/>
                  <w:tcMar>
                    <w:top w:type="dxa" w:w="70"/>
                    <w:left w:type="dxa" w:w="100"/>
                    <w:bottom w:type="dxa" w:w="70"/>
                    <w:right w:type="dxa" w:w="100"/>
                  </w:tcMar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0F2D4A"/>
                      <w:sz w:val="18"/>
                      <w:szCs w:val="18"/>
                    </w:rPr>
                    <w:t xml:space="preserve">👥 Usuarios</w:t>
                  </w:r>
                </w:p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1E40AF"/>
                      <w:sz w:val="20"/>
                      <w:szCs w:val="20"/>
                    </w:rPr>
                    <w:t xml:space="preserve">Hasta 3 auditores</w:t>
                  </w:r>
                </w:p>
              </w:tc>
              <w:tc>
                <w:tcPr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</w:tcPr>
                <w:p>
                  <w:pPr>
                    <w:spacing w:after="120" w:before="0"/>
                  </w:pPr>
                  <w:r>
                    <w:t xml:space="preserve"/>
                  </w:r>
                </w:p>
              </w:tc>
              <w:tc>
                <w:tcPr>
                  <w:tcBorders>
                    <w:top w:val="single" w:color="1E40AF" w:sz="1"/>
                    <w:left w:val="single" w:color="1E40AF" w:sz="1"/>
                    <w:bottom w:val="single" w:color="1E40AF" w:sz="1"/>
                    <w:right w:val="single" w:color="1E40AF" w:sz="1"/>
                  </w:tcBorders>
                  <w:shd w:fill="FFFFFF" w:val="clear"/>
                  <w:tcMar>
                    <w:top w:type="dxa" w:w="70"/>
                    <w:left w:type="dxa" w:w="100"/>
                    <w:bottom w:type="dxa" w:w="70"/>
                    <w:right w:type="dxa" w:w="100"/>
                  </w:tcMar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0F2D4A"/>
                      <w:sz w:val="18"/>
                      <w:szCs w:val="18"/>
                    </w:rPr>
                    <w:t xml:space="preserve">💾 Storage</w:t>
                  </w:r>
                </w:p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1E40AF"/>
                      <w:sz w:val="20"/>
                      <w:szCs w:val="20"/>
                    </w:rPr>
                    <w:t xml:space="preserve">10 GB</w:t>
                  </w:r>
                </w:p>
              </w:tc>
              <w:tc>
                <w:tcPr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</w:tcPr>
                <w:p>
                  <w:pPr>
                    <w:spacing w:after="120" w:before="0"/>
                  </w:pPr>
                  <w:r>
                    <w:t xml:space="preserve"/>
                  </w:r>
                </w:p>
              </w:tc>
              <w:tc>
                <w:tcPr>
                  <w:tcBorders>
                    <w:top w:val="single" w:color="1E40AF" w:sz="1"/>
                    <w:left w:val="single" w:color="1E40AF" w:sz="1"/>
                    <w:bottom w:val="single" w:color="1E40AF" w:sz="1"/>
                    <w:right w:val="single" w:color="1E40AF" w:sz="1"/>
                  </w:tcBorders>
                  <w:shd w:fill="FFFFFF" w:val="clear"/>
                  <w:tcMar>
                    <w:top w:type="dxa" w:w="70"/>
                    <w:left w:type="dxa" w:w="100"/>
                    <w:bottom w:type="dxa" w:w="70"/>
                    <w:right w:type="dxa" w:w="100"/>
                  </w:tcMar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0F2D4A"/>
                      <w:sz w:val="18"/>
                      <w:szCs w:val="18"/>
                    </w:rPr>
                    <w:t xml:space="preserve">🤖 Tokens IA/mes</w:t>
                  </w:r>
                </w:p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1E40AF"/>
                      <w:sz w:val="20"/>
                      <w:szCs w:val="20"/>
                    </w:rPr>
                    <w:t xml:space="preserve">500,000</w:t>
                  </w:r>
                </w:p>
              </w:tc>
            </w:tr>
          </w:tbl>
          <w:p>
            <w:pPr>
              <w:spacing w:after="80" w:before="0"/>
            </w:pPr>
            <w:r>
              <w:t xml:space="preserve"/>
            </w:r>
          </w:p>
          <w:p>
            <w:pPr>
              <w:spacing w:after="50" w:before="0"/>
            </w:pPr>
            <w:r>
              <w:rPr>
                <w:rFonts w:ascii="Arial" w:cs="Arial" w:eastAsia="Arial" w:hAnsi="Arial"/>
                <w:b/>
                <w:bCs/>
                <w:color w:val="1E40AF"/>
                <w:sz w:val="19"/>
                <w:szCs w:val="19"/>
              </w:rPr>
              <w:t xml:space="preserve">✅ Incluye: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6" w:before="36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Universo de auditoria: catalogo de entidades auditables con categorias y responsables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6" w:before="36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Planificacion anual basica: plan de auditorias con fechas y asignacion de equipo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6" w:before="36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Ejecucion: papeles de trabajo electronicos con tipos PT-PL, PT-EC, PT-PS, PT-HF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6" w:before="36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Sistema de indices estandarizados (A-1, B-1, C-1...) para organizar el expediente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6" w:before="36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Hallazgos: registro con campos completos (condicion, criterio, causa, efecto, recomendacion)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6" w:before="36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Score de calidad de hallazgos — semaforo que bloquea hallazgos incompletos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6" w:before="36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Seguimiento post-auditoria: estado de implementacion de recomendaciones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6" w:before="36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Portal del auditado basico: solicitudes PBC con tracking de estado y entrega de archivos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6" w:before="36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Reportes estandar: informe de proyecto en PDF y Excel de seguimiento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6" w:before="36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Dashboard esencial: KPIs basicos — cobertura plan, hallazgos por severidad, remediacion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6" w:before="36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Asistente Athena basico: responde preguntas sobre el uso del sistema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6" w:before="36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Soporte por email en espanol — respuesta en 48h habiles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6" w:before="36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Almacenamiento de evidencias: 10 GB (approx. 5,000 documentos)</w:t>
            </w:r>
          </w:p>
          <w:p>
            <w:pPr>
              <w:spacing w:after="70" w:before="0"/>
            </w:pPr>
            <w:r>
              <w:t xml:space="preserve"/>
            </w:r>
          </w:p>
          <w:p>
            <w:pPr>
              <w:spacing w:after="30" w:before="0"/>
            </w:pPr>
            <w:r>
              <w:rPr>
                <w:rFonts w:ascii="Arial" w:cs="Arial" w:eastAsia="Arial" w:hAnsi="Arial"/>
                <w:b/>
                <w:bCs/>
                <w:color w:val="1E40AF"/>
                <w:sz w:val="19"/>
                <w:szCs w:val="19"/>
              </w:rPr>
              <w:t xml:space="preserve">⭐ Lo que lo hace unico: </w:t>
            </w:r>
            <w:r>
              <w:rPr>
                <w:rFonts w:ascii="Arial" w:cs="Arial" w:eastAsia="Arial" w:hAnsi="Arial"/>
                <w:i/>
                <w:iCs/>
                <w:color w:val="1A1A1A"/>
                <w:sz w:val="19"/>
                <w:szCs w:val="19"/>
              </w:rPr>
              <w:t xml:space="preserve">Elimina el Excel de auditoria definitivamente. El auditor tiene un expediente digital, trazable y organizado desde el primer dia sin curva de aprendizaje.</w:t>
            </w:r>
          </w:p>
        </w:tc>
      </w:tr>
    </w:tbl>
    <w:p>
      <w:pPr>
        <w:spacing w:after="8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0F766E" w:sz="1"/>
              <w:left w:val="single" w:color="0F766E" w:sz="1"/>
              <w:bottom w:val="single" w:color="0F766E" w:sz="1"/>
              <w:right w:val="single" w:color="0F766E" w:sz="1"/>
            </w:tcBorders>
            <w:shd w:fill="CCFBF1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tbl>
            <w:tblPr>
              <w:tblW w:type="dxa" w:w="892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5200"/>
              <w:gridCol w:w="3720"/>
            </w:tblGrid>
            <w:tr>
              <w:tc>
                <w:tcPr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40" w:before="0"/>
                  </w:pPr>
                  <w:r>
                    <w:rPr>
                      <w:rFonts w:ascii="Arial" w:cs="Arial" w:eastAsia="Arial" w:hAnsi="Arial"/>
                      <w:sz w:val="26"/>
                      <w:szCs w:val="26"/>
                    </w:rPr>
                    <w:t xml:space="preserve">🥈  </w:t>
                  </w:r>
                  <w:r>
                    <w:rPr>
                      <w:rFonts w:ascii="Arial" w:cs="Arial" w:eastAsia="Arial" w:hAnsi="Arial"/>
                      <w:b/>
                      <w:bCs/>
                      <w:color w:val="0F766E"/>
                      <w:sz w:val="28"/>
                      <w:szCs w:val="28"/>
                    </w:rPr>
                    <w:t xml:space="preserve">IA Professional</w:t>
                  </w:r>
                </w:p>
                <w:p>
                  <w:r>
                    <w:rPr>
                      <w:rFonts w:ascii="Arial" w:cs="Arial" w:eastAsia="Arial" w:hAnsi="Arial"/>
                      <w:i/>
                      <w:iCs/>
                      <w:color w:val="4A4A4A"/>
                      <w:sz w:val="19"/>
                      <w:szCs w:val="19"/>
                    </w:rPr>
                    <w:t xml:space="preserve">Cuando la IA empieza a trabajar para ti</w:t>
                  </w:r>
                </w:p>
              </w:tc>
              <w:tc>
                <w:tcPr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0F766E" w:val="clear"/>
                  <w:tcMar>
                    <w:top w:type="dxa" w:w="60"/>
                    <w:left w:type="dxa" w:w="120"/>
                    <w:bottom w:type="dxa" w:w="60"/>
                    <w:right w:type="dxa" w:w="120"/>
                  </w:tcMar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38"/>
                      <w:szCs w:val="38"/>
                    </w:rPr>
                    <w:t xml:space="preserve">$249/mes</w:t>
                  </w:r>
                </w:p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color w:val="DDEEEE"/>
                      <w:sz w:val="17"/>
                      <w:szCs w:val="17"/>
                    </w:rPr>
                    <w:t xml:space="preserve">Hasta 8 usuarios | Facturacion anual</w:t>
                  </w:r>
                </w:p>
              </w:tc>
            </w:tr>
          </w:tbl>
          <w:p>
            <w:pPr>
              <w:spacing w:after="80" w:before="0"/>
            </w:pPr>
            <w:r>
              <w:t xml:space="preserve"/>
            </w:r>
          </w:p>
          <w:tbl>
            <w:tblPr>
              <w:tblW w:type="dxa" w:w="892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2860"/>
              <w:gridCol w:w="160"/>
              <w:gridCol w:w="2860"/>
              <w:gridCol w:w="160"/>
              <w:gridCol w:w="2840"/>
            </w:tblGrid>
            <w:tr>
              <w:tc>
                <w:tcPr>
                  <w:tcBorders>
                    <w:top w:val="single" w:color="0F766E" w:sz="1"/>
                    <w:left w:val="single" w:color="0F766E" w:sz="1"/>
                    <w:bottom w:val="single" w:color="0F766E" w:sz="1"/>
                    <w:right w:val="single" w:color="0F766E" w:sz="1"/>
                  </w:tcBorders>
                  <w:shd w:fill="FFFFFF" w:val="clear"/>
                  <w:tcMar>
                    <w:top w:type="dxa" w:w="70"/>
                    <w:left w:type="dxa" w:w="100"/>
                    <w:bottom w:type="dxa" w:w="70"/>
                    <w:right w:type="dxa" w:w="100"/>
                  </w:tcMar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0F2D4A"/>
                      <w:sz w:val="18"/>
                      <w:szCs w:val="18"/>
                    </w:rPr>
                    <w:t xml:space="preserve">👥 Usuarios</w:t>
                  </w:r>
                </w:p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0F766E"/>
                      <w:sz w:val="20"/>
                      <w:szCs w:val="20"/>
                    </w:rPr>
                    <w:t xml:space="preserve">Hasta 8 auditores + auditados ilimitados</w:t>
                  </w:r>
                </w:p>
              </w:tc>
              <w:tc>
                <w:tcPr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</w:tcPr>
                <w:p>
                  <w:pPr>
                    <w:spacing w:after="120" w:before="0"/>
                  </w:pPr>
                  <w:r>
                    <w:t xml:space="preserve"/>
                  </w:r>
                </w:p>
              </w:tc>
              <w:tc>
                <w:tcPr>
                  <w:tcBorders>
                    <w:top w:val="single" w:color="0F766E" w:sz="1"/>
                    <w:left w:val="single" w:color="0F766E" w:sz="1"/>
                    <w:bottom w:val="single" w:color="0F766E" w:sz="1"/>
                    <w:right w:val="single" w:color="0F766E" w:sz="1"/>
                  </w:tcBorders>
                  <w:shd w:fill="FFFFFF" w:val="clear"/>
                  <w:tcMar>
                    <w:top w:type="dxa" w:w="70"/>
                    <w:left w:type="dxa" w:w="100"/>
                    <w:bottom w:type="dxa" w:w="70"/>
                    <w:right w:type="dxa" w:w="100"/>
                  </w:tcMar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0F2D4A"/>
                      <w:sz w:val="18"/>
                      <w:szCs w:val="18"/>
                    </w:rPr>
                    <w:t xml:space="preserve">💾 Storage</w:t>
                  </w:r>
                </w:p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0F766E"/>
                      <w:sz w:val="20"/>
                      <w:szCs w:val="20"/>
                    </w:rPr>
                    <w:t xml:space="preserve">50 GB</w:t>
                  </w:r>
                </w:p>
              </w:tc>
              <w:tc>
                <w:tcPr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</w:tcPr>
                <w:p>
                  <w:pPr>
                    <w:spacing w:after="120" w:before="0"/>
                  </w:pPr>
                  <w:r>
                    <w:t xml:space="preserve"/>
                  </w:r>
                </w:p>
              </w:tc>
              <w:tc>
                <w:tcPr>
                  <w:tcBorders>
                    <w:top w:val="single" w:color="0F766E" w:sz="1"/>
                    <w:left w:val="single" w:color="0F766E" w:sz="1"/>
                    <w:bottom w:val="single" w:color="0F766E" w:sz="1"/>
                    <w:right w:val="single" w:color="0F766E" w:sz="1"/>
                  </w:tcBorders>
                  <w:shd w:fill="FFFFFF" w:val="clear"/>
                  <w:tcMar>
                    <w:top w:type="dxa" w:w="70"/>
                    <w:left w:type="dxa" w:w="100"/>
                    <w:bottom w:type="dxa" w:w="70"/>
                    <w:right w:type="dxa" w:w="100"/>
                  </w:tcMar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0F2D4A"/>
                      <w:sz w:val="18"/>
                      <w:szCs w:val="18"/>
                    </w:rPr>
                    <w:t xml:space="preserve">🤖 Tokens IA/mes</w:t>
                  </w:r>
                </w:p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0F766E"/>
                      <w:sz w:val="20"/>
                      <w:szCs w:val="20"/>
                    </w:rPr>
                    <w:t xml:space="preserve">3,000,000</w:t>
                  </w:r>
                </w:p>
              </w:tc>
            </w:tr>
          </w:tbl>
          <w:p>
            <w:pPr>
              <w:spacing w:after="80" w:before="0"/>
            </w:pPr>
            <w:r>
              <w:t xml:space="preserve"/>
            </w:r>
          </w:p>
          <w:p>
            <w:pPr>
              <w:spacing w:after="50" w:before="0"/>
            </w:pPr>
            <w:r>
              <w:rPr>
                <w:rFonts w:ascii="Arial" w:cs="Arial" w:eastAsia="Arial" w:hAnsi="Arial"/>
                <w:b/>
                <w:bCs/>
                <w:color w:val="0F766E"/>
                <w:sz w:val="19"/>
                <w:szCs w:val="19"/>
              </w:rPr>
              <w:t xml:space="preserve">✅ Incluye: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6" w:before="36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Todo lo incluido en IA Starter, mas: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6" w:before="36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ASISTENTE ATHENA COMPLETO: conciencia del proyecto activo, sugerencias de procedimientos segun riesgo, alerta de papeles incompletos, dictado por voz para trabajo en campo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6" w:before="36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AGENTE SCRIPTORIUM: redaccion asistida de hallazgos — genera borrador completo, el auditor revisa y aprueba. Boton Mejorar con IA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6" w:before="36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AGENTE HERMES: gestion automatica de solicitudes PBC — recordatorios, alertas de vencimiento, escalamiento configurable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6" w:before="36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BASE RAG NORMATIVA DEL CLIENTE: sube tus manuales y politicas internas en PDF — la IA las usa para sugerir criterios en hallazgos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6" w:before="36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RAG GLOBAL PRECARGADO: ISA/NIA, COSO, IIA Standards 2025 — siempre disponibles para el asistente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6" w:before="36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PORTAL DEL AUDITADO COMPLETO: dashboard del auditado, chat por solicitud, carga de planes de accion, firma digital de actas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6" w:before="36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EVALUACION DE RIESGOS con motor de scoring automatico e historial de auditorias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6" w:before="36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ANALISIS DE DATOS basico: conecta con Excel/CSV, 20 procedimientos analiticos (CAATs) — duplicados, outliers, gaps en secuencias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6" w:before="36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CALCULADORA DE MATERIALIDAD segun NIA 320 — Materialidad Global, de Ejecucion y Umbral de Acumulacion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6" w:before="36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PLANTILLAS DINAMICAS: biblioteca de 20 plantillas que se adaptan al contexto del proyecto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6" w:before="36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Dashboard por rol: CAE, Gerente y Auditor con KPIs diferenciados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6" w:before="36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Exportacion multi-formato: PDF, Word, Excel para todos los reportes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6" w:before="36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Soporte por chat en espanol — respuesta en 24h habiles</w:t>
            </w:r>
          </w:p>
          <w:p>
            <w:pPr>
              <w:spacing w:after="70" w:before="0"/>
            </w:pPr>
            <w:r>
              <w:t xml:space="preserve"/>
            </w:r>
          </w:p>
          <w:p>
            <w:pPr>
              <w:spacing w:after="30" w:before="0"/>
            </w:pPr>
            <w:r>
              <w:rPr>
                <w:rFonts w:ascii="Arial" w:cs="Arial" w:eastAsia="Arial" w:hAnsi="Arial"/>
                <w:b/>
                <w:bCs/>
                <w:color w:val="0F766E"/>
                <w:sz w:val="19"/>
                <w:szCs w:val="19"/>
              </w:rPr>
              <w:t xml:space="preserve">⭐ Lo que lo hace unico: </w:t>
            </w:r>
            <w:r>
              <w:rPr>
                <w:rFonts w:ascii="Arial" w:cs="Arial" w:eastAsia="Arial" w:hAnsi="Arial"/>
                <w:i/>
                <w:iCs/>
                <w:color w:val="1A1A1A"/>
                <w:sz w:val="19"/>
                <w:szCs w:val="19"/>
              </w:rPr>
              <w:t xml:space="preserve">La IA redacta, sugiere y alerta. El auditor decide y aprueba. El tiempo de documentacion se reduce 50-60%. La calidad del expediente mejora porque el sistema no deja pasar hallazgos incompletos.</w:t>
            </w:r>
          </w:p>
        </w:tc>
      </w:tr>
    </w:tbl>
    <w:p>
      <w:pPr>
        <w:spacing w:after="8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6D28D9" w:sz="1"/>
              <w:left w:val="single" w:color="6D28D9" w:sz="1"/>
              <w:bottom w:val="single" w:color="6D28D9" w:sz="1"/>
              <w:right w:val="single" w:color="6D28D9" w:sz="1"/>
            </w:tcBorders>
            <w:shd w:fill="EDE9FE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tbl>
            <w:tblPr>
              <w:tblW w:type="dxa" w:w="892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8920"/>
            </w:tblGrid>
            <w:tr>
              <w:tc>
                <w:tcPr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6D28D9" w:val="clear"/>
                  <w:tcMar>
                    <w:top w:type="dxa" w:w="50"/>
                    <w:left w:type="dxa" w:w="0"/>
                    <w:bottom w:type="dxa" w:w="50"/>
                    <w:right w:type="dxa" w:w="0"/>
                  </w:tcMar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8"/>
                      <w:szCs w:val="18"/>
                    </w:rPr>
                    <w:t xml:space="preserve">★  MAS POPULAR — El 70% de clientes elige este plan  ★</w:t>
                  </w:r>
                </w:p>
              </w:tc>
            </w:tr>
          </w:tbl>
          <w:p>
            <w:pPr>
              <w:spacing w:after="60" w:before="0"/>
            </w:pPr>
            <w:r>
              <w:t xml:space="preserve"/>
            </w:r>
          </w:p>
          <w:tbl>
            <w:tblPr>
              <w:tblW w:type="dxa" w:w="892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5200"/>
              <w:gridCol w:w="3720"/>
            </w:tblGrid>
            <w:tr>
              <w:tc>
                <w:tcPr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40" w:before="0"/>
                  </w:pPr>
                  <w:r>
                    <w:rPr>
                      <w:rFonts w:ascii="Arial" w:cs="Arial" w:eastAsia="Arial" w:hAnsi="Arial"/>
                      <w:sz w:val="26"/>
                      <w:szCs w:val="26"/>
                    </w:rPr>
                    <w:t xml:space="preserve">🥇  </w:t>
                  </w:r>
                  <w:r>
                    <w:rPr>
                      <w:rFonts w:ascii="Arial" w:cs="Arial" w:eastAsia="Arial" w:hAnsi="Arial"/>
                      <w:b/>
                      <w:bCs/>
                      <w:color w:val="6D28D9"/>
                      <w:sz w:val="28"/>
                      <w:szCs w:val="28"/>
                    </w:rPr>
                    <w:t xml:space="preserve">IA Enterprise</w:t>
                  </w:r>
                </w:p>
                <w:p>
                  <w:r>
                    <w:rPr>
                      <w:rFonts w:ascii="Arial" w:cs="Arial" w:eastAsia="Arial" w:hAnsi="Arial"/>
                      <w:i/>
                      <w:iCs/>
                      <w:color w:val="4A4A4A"/>
                      <w:sz w:val="19"/>
                      <w:szCs w:val="19"/>
                    </w:rPr>
                    <w:t xml:space="preserve">La funcion de auditoria de clase mundial</w:t>
                  </w:r>
                </w:p>
              </w:tc>
              <w:tc>
                <w:tcPr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6D28D9" w:val="clear"/>
                  <w:tcMar>
                    <w:top w:type="dxa" w:w="60"/>
                    <w:left w:type="dxa" w:w="120"/>
                    <w:bottom w:type="dxa" w:w="60"/>
                    <w:right w:type="dxa" w:w="120"/>
                  </w:tcMar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38"/>
                      <w:szCs w:val="38"/>
                    </w:rPr>
                    <w:t xml:space="preserve">$549/mes</w:t>
                  </w:r>
                </w:p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color w:val="DDEEEE"/>
                      <w:sz w:val="17"/>
                      <w:szCs w:val="17"/>
                    </w:rPr>
                    <w:t xml:space="preserve">Hasta 20 usuarios | Facturacion anual</w:t>
                  </w:r>
                </w:p>
              </w:tc>
            </w:tr>
          </w:tbl>
          <w:p>
            <w:pPr>
              <w:spacing w:after="80" w:before="0"/>
            </w:pPr>
            <w:r>
              <w:t xml:space="preserve"/>
            </w:r>
          </w:p>
          <w:tbl>
            <w:tblPr>
              <w:tblW w:type="dxa" w:w="892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2860"/>
              <w:gridCol w:w="160"/>
              <w:gridCol w:w="2860"/>
              <w:gridCol w:w="160"/>
              <w:gridCol w:w="2840"/>
            </w:tblGrid>
            <w:tr>
              <w:tc>
                <w:tcPr>
                  <w:tcBorders>
                    <w:top w:val="single" w:color="6D28D9" w:sz="1"/>
                    <w:left w:val="single" w:color="6D28D9" w:sz="1"/>
                    <w:bottom w:val="single" w:color="6D28D9" w:sz="1"/>
                    <w:right w:val="single" w:color="6D28D9" w:sz="1"/>
                  </w:tcBorders>
                  <w:shd w:fill="FFFFFF" w:val="clear"/>
                  <w:tcMar>
                    <w:top w:type="dxa" w:w="70"/>
                    <w:left w:type="dxa" w:w="100"/>
                    <w:bottom w:type="dxa" w:w="70"/>
                    <w:right w:type="dxa" w:w="100"/>
                  </w:tcMar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0F2D4A"/>
                      <w:sz w:val="18"/>
                      <w:szCs w:val="18"/>
                    </w:rPr>
                    <w:t xml:space="preserve">👥 Usuarios</w:t>
                  </w:r>
                </w:p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6D28D9"/>
                      <w:sz w:val="20"/>
                      <w:szCs w:val="20"/>
                    </w:rPr>
                    <w:t xml:space="preserve">Hasta 20 auditores + ilimitados auditados</w:t>
                  </w:r>
                </w:p>
              </w:tc>
              <w:tc>
                <w:tcPr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</w:tcPr>
                <w:p>
                  <w:pPr>
                    <w:spacing w:after="120" w:before="0"/>
                  </w:pPr>
                  <w:r>
                    <w:t xml:space="preserve"/>
                  </w:r>
                </w:p>
              </w:tc>
              <w:tc>
                <w:tcPr>
                  <w:tcBorders>
                    <w:top w:val="single" w:color="6D28D9" w:sz="1"/>
                    <w:left w:val="single" w:color="6D28D9" w:sz="1"/>
                    <w:bottom w:val="single" w:color="6D28D9" w:sz="1"/>
                    <w:right w:val="single" w:color="6D28D9" w:sz="1"/>
                  </w:tcBorders>
                  <w:shd w:fill="FFFFFF" w:val="clear"/>
                  <w:tcMar>
                    <w:top w:type="dxa" w:w="70"/>
                    <w:left w:type="dxa" w:w="100"/>
                    <w:bottom w:type="dxa" w:w="70"/>
                    <w:right w:type="dxa" w:w="100"/>
                  </w:tcMar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0F2D4A"/>
                      <w:sz w:val="18"/>
                      <w:szCs w:val="18"/>
                    </w:rPr>
                    <w:t xml:space="preserve">💾 Storage</w:t>
                  </w:r>
                </w:p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6D28D9"/>
                      <w:sz w:val="20"/>
                      <w:szCs w:val="20"/>
                    </w:rPr>
                    <w:t xml:space="preserve">200 GB</w:t>
                  </w:r>
                </w:p>
              </w:tc>
              <w:tc>
                <w:tcPr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</w:tcPr>
                <w:p>
                  <w:pPr>
                    <w:spacing w:after="120" w:before="0"/>
                  </w:pPr>
                  <w:r>
                    <w:t xml:space="preserve"/>
                  </w:r>
                </w:p>
              </w:tc>
              <w:tc>
                <w:tcPr>
                  <w:tcBorders>
                    <w:top w:val="single" w:color="6D28D9" w:sz="1"/>
                    <w:left w:val="single" w:color="6D28D9" w:sz="1"/>
                    <w:bottom w:val="single" w:color="6D28D9" w:sz="1"/>
                    <w:right w:val="single" w:color="6D28D9" w:sz="1"/>
                  </w:tcBorders>
                  <w:shd w:fill="FFFFFF" w:val="clear"/>
                  <w:tcMar>
                    <w:top w:type="dxa" w:w="70"/>
                    <w:left w:type="dxa" w:w="100"/>
                    <w:bottom w:type="dxa" w:w="70"/>
                    <w:right w:type="dxa" w:w="100"/>
                  </w:tcMar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0F2D4A"/>
                      <w:sz w:val="18"/>
                      <w:szCs w:val="18"/>
                    </w:rPr>
                    <w:t xml:space="preserve">🤖 Tokens IA/mes</w:t>
                  </w:r>
                </w:p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6D28D9"/>
                      <w:sz w:val="20"/>
                      <w:szCs w:val="20"/>
                    </w:rPr>
                    <w:t xml:space="preserve">10,000,000</w:t>
                  </w:r>
                </w:p>
              </w:tc>
            </w:tr>
          </w:tbl>
          <w:p>
            <w:pPr>
              <w:spacing w:after="80" w:before="0"/>
            </w:pPr>
            <w:r>
              <w:t xml:space="preserve"/>
            </w:r>
          </w:p>
          <w:p>
            <w:pPr>
              <w:spacing w:after="50" w:before="0"/>
            </w:pPr>
            <w:r>
              <w:rPr>
                <w:rFonts w:ascii="Arial" w:cs="Arial" w:eastAsia="Arial" w:hAnsi="Arial"/>
                <w:b/>
                <w:bCs/>
                <w:color w:val="6D28D9"/>
                <w:sz w:val="19"/>
                <w:szCs w:val="19"/>
              </w:rPr>
              <w:t xml:space="preserve">✅ Incluye: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6" w:before="36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Todo lo incluido en IA Professional, mas: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6" w:before="36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TODOS LOS AGENTES IA: Minerva (CAE), Hermes (gerencia), Argus (anomalias), Cassandra (prediccion), Cicero (informes), Vulcano (ETL)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6" w:before="36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AGENTE ATLAS — AUDITORIA DE TI: COBIT 2019 completo (40 objetivos), NIST CSF 2.0 (6 funciones), ISO 27001:2022 (93 controles), GTAGs del IIA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6" w:before="36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AGENTE FENIX — CONTINUIDAD: ISO 22301, evaluacion de BCP/DRP, calificacion de madurez, RTO/RPO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6" w:before="36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AGENTE LEX — COMPLIANCE: SOX, Basilea, GDPR, FATF, IFRS, PCI-DSS — evaluacion de cumplimiento automatizada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6" w:before="36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ANALISIS DE DATOS AVANZADO: 100+ CAATs, conectores ERP (SAP, Oracle, Dynamics), analisis del 100% de transacciones, Ley de Benford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6" w:before="36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TRIANGULO DE RIESGO DE AUDITORIA (NIA 200): calculo automatico RI x RC x RD — enfoque y tamano de muestra recomendados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6" w:before="36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MODULO COMITE DE AUDITORIA: agenda, actas, informe trimestral, declaracion de independencia, Charter de Auditoria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6" w:before="36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QAIP — PROGRAMA DE ASEGURAMIENTO Y MEJORA: evaluacion de conformidad con 55 estandares IIA 2025, score de madurez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6" w:before="36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GRABADOR INTELIGENTE DE ENTREVISTAS: transcripcion, identificacion de hablantes, papel de trabajo automatico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6" w:before="36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SKILLS ESPECIALIZADOS: TI/Ciberseguridad, Analisis Financiero, Prevencion de Fraude (ACFE), Compliance Regulatorio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6" w:before="36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MODO INVESTIGACION ESPECIAL: cadena de custodia digital SHA-256, acceso restringido, protocolo forense ACFE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6" w:before="36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GESTION DE COMPETENCIAS del equipo: certificaciones CIA/CISA/CFE, CPE, asignacion inteligente por expertise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6" w:before="36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API REST completa para integraciones con sistemas internos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6" w:before="36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SSO con Azure AD / Okta / Google Workspace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6" w:before="36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Soporte prioritario — chat y videollamada — respuesta en 4h habiles</w:t>
            </w:r>
          </w:p>
          <w:p>
            <w:pPr>
              <w:spacing w:after="70" w:before="0"/>
            </w:pPr>
            <w:r>
              <w:t xml:space="preserve"/>
            </w:r>
          </w:p>
          <w:p>
            <w:pPr>
              <w:spacing w:after="30" w:before="0"/>
            </w:pPr>
            <w:r>
              <w:rPr>
                <w:rFonts w:ascii="Arial" w:cs="Arial" w:eastAsia="Arial" w:hAnsi="Arial"/>
                <w:b/>
                <w:bCs/>
                <w:color w:val="6D28D9"/>
                <w:sz w:val="19"/>
                <w:szCs w:val="19"/>
              </w:rPr>
              <w:t xml:space="preserve">⭐ Lo que lo hace unico: </w:t>
            </w:r>
            <w:r>
              <w:rPr>
                <w:rFonts w:ascii="Arial" w:cs="Arial" w:eastAsia="Arial" w:hAnsi="Arial"/>
                <w:i/>
                <w:iCs/>
                <w:color w:val="1A1A1A"/>
                <w:sz w:val="19"/>
                <w:szCs w:val="19"/>
              </w:rPr>
              <w:t xml:space="preserve">Equivalente funcional de TeamMate+ Enterprise + capacidades de IA que TeamMate+ no tiene. El CAE tiene visibilidad total, el equipo trabaja con asistencia cognitiva permanente, y el Comite de Auditoria tiene su propio portal.</w:t>
            </w:r>
          </w:p>
        </w:tc>
      </w:tr>
    </w:tbl>
    <w:p>
      <w:pPr>
        <w:spacing w:after="8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92400E" w:sz="1"/>
              <w:left w:val="single" w:color="92400E" w:sz="1"/>
              <w:bottom w:val="single" w:color="92400E" w:sz="1"/>
              <w:right w:val="single" w:color="92400E" w:sz="1"/>
            </w:tcBorders>
            <w:shd w:fill="FEF3C7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tbl>
            <w:tblPr>
              <w:tblW w:type="dxa" w:w="892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5200"/>
              <w:gridCol w:w="3720"/>
            </w:tblGrid>
            <w:tr>
              <w:tc>
                <w:tcPr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40" w:before="0"/>
                  </w:pPr>
                  <w:r>
                    <w:rPr>
                      <w:rFonts w:ascii="Arial" w:cs="Arial" w:eastAsia="Arial" w:hAnsi="Arial"/>
                      <w:sz w:val="26"/>
                      <w:szCs w:val="26"/>
                    </w:rPr>
                    <w:t xml:space="preserve">👑  </w:t>
                  </w:r>
                  <w:r>
                    <w:rPr>
                      <w:rFonts w:ascii="Arial" w:cs="Arial" w:eastAsia="Arial" w:hAnsi="Arial"/>
                      <w:b/>
                      <w:bCs/>
                      <w:color w:val="92400E"/>
                      <w:sz w:val="28"/>
                      <w:szCs w:val="28"/>
                    </w:rPr>
                    <w:t xml:space="preserve">IA Elite</w:t>
                  </w:r>
                </w:p>
                <w:p>
                  <w:r>
                    <w:rPr>
                      <w:rFonts w:ascii="Arial" w:cs="Arial" w:eastAsia="Arial" w:hAnsi="Arial"/>
                      <w:i/>
                      <w:iCs/>
                      <w:color w:val="4A4A4A"/>
                      <w:sz w:val="19"/>
                      <w:szCs w:val="19"/>
                    </w:rPr>
                    <w:t xml:space="preserve">Para organizaciones que no aceptan limites</w:t>
                  </w:r>
                </w:p>
              </w:tc>
              <w:tc>
                <w:tcPr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92400E" w:val="clear"/>
                  <w:tcMar>
                    <w:top w:type="dxa" w:w="60"/>
                    <w:left w:type="dxa" w:w="120"/>
                    <w:bottom w:type="dxa" w:w="60"/>
                    <w:right w:type="dxa" w:w="120"/>
                  </w:tcMar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38"/>
                      <w:szCs w:val="38"/>
                    </w:rPr>
                    <w:t xml:space="preserve">$1,199/mes</w:t>
                  </w:r>
                </w:p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color w:val="DDEEEE"/>
                      <w:sz w:val="17"/>
                      <w:szCs w:val="17"/>
                    </w:rPr>
                    <w:t xml:space="preserve">Usuarios ilimitados | Facturacion anual</w:t>
                  </w:r>
                </w:p>
              </w:tc>
            </w:tr>
          </w:tbl>
          <w:p>
            <w:pPr>
              <w:spacing w:after="80" w:before="0"/>
            </w:pPr>
            <w:r>
              <w:t xml:space="preserve"/>
            </w:r>
          </w:p>
          <w:tbl>
            <w:tblPr>
              <w:tblW w:type="dxa" w:w="892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2860"/>
              <w:gridCol w:w="160"/>
              <w:gridCol w:w="2860"/>
              <w:gridCol w:w="160"/>
              <w:gridCol w:w="2840"/>
            </w:tblGrid>
            <w:tr>
              <w:tc>
                <w:tcPr>
                  <w:tcBorders>
                    <w:top w:val="single" w:color="92400E" w:sz="1"/>
                    <w:left w:val="single" w:color="92400E" w:sz="1"/>
                    <w:bottom w:val="single" w:color="92400E" w:sz="1"/>
                    <w:right w:val="single" w:color="92400E" w:sz="1"/>
                  </w:tcBorders>
                  <w:shd w:fill="FFFFFF" w:val="clear"/>
                  <w:tcMar>
                    <w:top w:type="dxa" w:w="70"/>
                    <w:left w:type="dxa" w:w="100"/>
                    <w:bottom w:type="dxa" w:w="70"/>
                    <w:right w:type="dxa" w:w="100"/>
                  </w:tcMar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0F2D4A"/>
                      <w:sz w:val="18"/>
                      <w:szCs w:val="18"/>
                    </w:rPr>
                    <w:t xml:space="preserve">👥 Usuarios</w:t>
                  </w:r>
                </w:p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92400E"/>
                      <w:sz w:val="20"/>
                      <w:szCs w:val="20"/>
                    </w:rPr>
                    <w:t xml:space="preserve">Ilimitados</w:t>
                  </w:r>
                </w:p>
              </w:tc>
              <w:tc>
                <w:tcPr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</w:tcPr>
                <w:p>
                  <w:pPr>
                    <w:spacing w:after="120" w:before="0"/>
                  </w:pPr>
                  <w:r>
                    <w:t xml:space="preserve"/>
                  </w:r>
                </w:p>
              </w:tc>
              <w:tc>
                <w:tcPr>
                  <w:tcBorders>
                    <w:top w:val="single" w:color="92400E" w:sz="1"/>
                    <w:left w:val="single" w:color="92400E" w:sz="1"/>
                    <w:bottom w:val="single" w:color="92400E" w:sz="1"/>
                    <w:right w:val="single" w:color="92400E" w:sz="1"/>
                  </w:tcBorders>
                  <w:shd w:fill="FFFFFF" w:val="clear"/>
                  <w:tcMar>
                    <w:top w:type="dxa" w:w="70"/>
                    <w:left w:type="dxa" w:w="100"/>
                    <w:bottom w:type="dxa" w:w="70"/>
                    <w:right w:type="dxa" w:w="100"/>
                  </w:tcMar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0F2D4A"/>
                      <w:sz w:val="18"/>
                      <w:szCs w:val="18"/>
                    </w:rPr>
                    <w:t xml:space="preserve">💾 Storage</w:t>
                  </w:r>
                </w:p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92400E"/>
                      <w:sz w:val="20"/>
                      <w:szCs w:val="20"/>
                    </w:rPr>
                    <w:t xml:space="preserve">1 TB</w:t>
                  </w:r>
                </w:p>
              </w:tc>
              <w:tc>
                <w:tcPr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</w:tcPr>
                <w:p>
                  <w:pPr>
                    <w:spacing w:after="120" w:before="0"/>
                  </w:pPr>
                  <w:r>
                    <w:t xml:space="preserve"/>
                  </w:r>
                </w:p>
              </w:tc>
              <w:tc>
                <w:tcPr>
                  <w:tcBorders>
                    <w:top w:val="single" w:color="92400E" w:sz="1"/>
                    <w:left w:val="single" w:color="92400E" w:sz="1"/>
                    <w:bottom w:val="single" w:color="92400E" w:sz="1"/>
                    <w:right w:val="single" w:color="92400E" w:sz="1"/>
                  </w:tcBorders>
                  <w:shd w:fill="FFFFFF" w:val="clear"/>
                  <w:tcMar>
                    <w:top w:type="dxa" w:w="70"/>
                    <w:left w:type="dxa" w:w="100"/>
                    <w:bottom w:type="dxa" w:w="70"/>
                    <w:right w:type="dxa" w:w="100"/>
                  </w:tcMar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0F2D4A"/>
                      <w:sz w:val="18"/>
                      <w:szCs w:val="18"/>
                    </w:rPr>
                    <w:t xml:space="preserve">🤖 Tokens IA/mes</w:t>
                  </w:r>
                </w:p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92400E"/>
                      <w:sz w:val="20"/>
                      <w:szCs w:val="20"/>
                    </w:rPr>
                    <w:t xml:space="preserve">Ilimitados</w:t>
                  </w:r>
                </w:p>
              </w:tc>
            </w:tr>
          </w:tbl>
          <w:p>
            <w:pPr>
              <w:spacing w:after="80" w:before="0"/>
            </w:pPr>
            <w:r>
              <w:t xml:space="preserve"/>
            </w:r>
          </w:p>
          <w:p>
            <w:pPr>
              <w:spacing w:after="50" w:before="0"/>
            </w:pPr>
            <w:r>
              <w:rPr>
                <w:rFonts w:ascii="Arial" w:cs="Arial" w:eastAsia="Arial" w:hAnsi="Arial"/>
                <w:b/>
                <w:bCs/>
                <w:color w:val="92400E"/>
                <w:sz w:val="19"/>
                <w:szCs w:val="19"/>
              </w:rPr>
              <w:t xml:space="preserve">✅ Incluye: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6" w:before="36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Todo lo incluido en IA Enterprise, mas: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6" w:before="36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MULTI-ENTIDAD: un solo sistema para grupos economicos, holdings o conglomerados con multiples subsidiarias — vistas consolidadas y por entidad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6" w:before="36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AGENTE SHERLOCK COMPLETO: investigaciones forenses avanzadas, analisis de redes relacionales para fraude complejo, acceso a RAG anti-fraude ACFE completo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6" w:before="36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FINE-TUNING DEL ASISTENTE: el asistente aprende la metodologia, terminologia y estilo de tu organizacion especificamente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6" w:before="36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PANEL DE REVISION DEL CAE CON IA: analisis automatico de calidad de todos los papeles del proyecto, score consolidado, risk flags de revision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6" w:before="36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CONFIRMACIONES EXTERNAS (CIRCULARIZACION) completa: cartas de confirmacion, seguimiento, conciliacion segun NIA 505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6" w:before="36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MODO OFFLINE / CAMPO: app movil con trabajo sin conexion y sincronizacion automatica para auditorias en campo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6" w:before="36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RAG SECTORIAL PERSONALIZADO: base de conocimiento del sector especifico del cliente (banca, salud, gobierno, industria) — documentos regulatorios propios del sector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6" w:before="36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BENCHMARK SECTORIAL: comparacion de hallazgos y riesgos vs. promedio del sector en tiempo real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6" w:before="36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SIMULADOR DE ESCENARIOS: que pasaria si este control fallara? — calculo de impacto anticipado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6" w:before="36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INTEGRACIONES ENTERPRISE: Slack, Microsoft Teams, Power BI, Tableau, Jira, ServiceNow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6" w:before="36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ONBOARDING DEDICADO: 3 sesiones de implementacion con especialista de AuditMind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6" w:before="36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SOPORTE VIP: linea directa — respuesta en 2h habiles + sesion mensual de revision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6" w:before="36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SLA de disponibilidad: 99.9% garantizado contractualmente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6" w:before="36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Acceso anticipado a nuevas funcionalidades antes del lanzamiento general</w:t>
            </w:r>
          </w:p>
          <w:p>
            <w:pPr>
              <w:spacing w:after="70" w:before="0"/>
            </w:pPr>
            <w:r>
              <w:t xml:space="preserve"/>
            </w:r>
          </w:p>
          <w:p>
            <w:pPr>
              <w:spacing w:after="30" w:before="0"/>
            </w:pPr>
            <w:r>
              <w:rPr>
                <w:rFonts w:ascii="Arial" w:cs="Arial" w:eastAsia="Arial" w:hAnsi="Arial"/>
                <w:b/>
                <w:bCs/>
                <w:color w:val="92400E"/>
                <w:sz w:val="19"/>
                <w:szCs w:val="19"/>
              </w:rPr>
              <w:t xml:space="preserve">⭐ Lo que lo hace unico: </w:t>
            </w:r>
            <w:r>
              <w:rPr>
                <w:rFonts w:ascii="Arial" w:cs="Arial" w:eastAsia="Arial" w:hAnsi="Arial"/>
                <w:i/>
                <w:iCs/>
                <w:color w:val="1A1A1A"/>
                <w:sz w:val="19"/>
                <w:szCs w:val="19"/>
              </w:rPr>
              <w:t xml:space="preserve">El techo del mercado mid-market. Organizaciones con holdings o conglomerados, banca, sector publico grande o firmas de consultoria que usan AuditMind para sus propios clientes internos.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pStyle w:val="Heading2"/>
        <w:spacing w:after="110" w:before="240"/>
      </w:pPr>
      <w:r>
        <w:rPr>
          <w:rFonts w:ascii="Arial" w:cs="Arial" w:eastAsia="Arial" w:hAnsi="Arial"/>
          <w:b/>
          <w:bCs/>
          <w:color w:val="1E40AF"/>
          <w:sz w:val="27"/>
          <w:szCs w:val="27"/>
        </w:rPr>
        <w:t xml:space="preserve">Tabla Comparativa — Auditoria Interna</w:t>
      </w:r>
    </w:p>
    <w:p>
      <w:pPr>
        <w:spacing w:after="6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40"/>
        <w:gridCol w:w="1680"/>
        <w:gridCol w:w="1680"/>
        <w:gridCol w:w="1680"/>
        <w:gridCol w:w="1080"/>
      </w:tblGrid>
      <w:tr>
        <w:trPr>
          <w:tblHeader/>
        </w:trPr>
        <w:tc>
          <w:tcPr>
            <w:tcW w:type="dxa" w:w="3240"/>
            <w:tcBorders>
              <w:top w:val="single" w:color="2E7DD1" w:sz="1"/>
              <w:left w:val="single" w:color="2E7DD1" w:sz="1"/>
              <w:bottom w:val="single" w:color="2E7DD1" w:sz="1"/>
              <w:right w:val="single" w:color="2E7DD1" w:sz="1"/>
            </w:tcBorders>
            <w:shd w:fill="0F2D4A" w:val="clear"/>
            <w:tcMar>
              <w:top w:type="dxa" w:w="85"/>
              <w:left w:type="dxa" w:w="110"/>
              <w:bottom w:type="dxa" w:w="85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Funcionalidad</w:t>
            </w:r>
          </w:p>
        </w:tc>
        <w:tc>
          <w:tcPr>
            <w:tcW w:type="dxa" w:w="1680"/>
            <w:tcBorders>
              <w:top w:val="single" w:color="2E7DD1" w:sz="1"/>
              <w:left w:val="single" w:color="2E7DD1" w:sz="1"/>
              <w:bottom w:val="single" w:color="2E7DD1" w:sz="1"/>
              <w:right w:val="single" w:color="2E7DD1" w:sz="1"/>
            </w:tcBorders>
            <w:shd w:fill="1E40AF" w:val="clear"/>
            <w:tcMar>
              <w:top w:type="dxa" w:w="85"/>
              <w:left w:type="dxa" w:w="60"/>
              <w:bottom w:type="dxa" w:w="85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Starter
$89/mes</w:t>
            </w:r>
          </w:p>
        </w:tc>
        <w:tc>
          <w:tcPr>
            <w:tcW w:type="dxa" w:w="1680"/>
            <w:tcBorders>
              <w:top w:val="single" w:color="2E7DD1" w:sz="1"/>
              <w:left w:val="single" w:color="2E7DD1" w:sz="1"/>
              <w:bottom w:val="single" w:color="2E7DD1" w:sz="1"/>
              <w:right w:val="single" w:color="2E7DD1" w:sz="1"/>
            </w:tcBorders>
            <w:shd w:fill="0F766E" w:val="clear"/>
            <w:tcMar>
              <w:top w:type="dxa" w:w="85"/>
              <w:left w:type="dxa" w:w="60"/>
              <w:bottom w:type="dxa" w:w="85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Professional
$249/mes</w:t>
            </w:r>
          </w:p>
        </w:tc>
        <w:tc>
          <w:tcPr>
            <w:tcW w:type="dxa" w:w="1680"/>
            <w:tcBorders>
              <w:top w:val="single" w:color="2E7DD1" w:sz="1"/>
              <w:left w:val="single" w:color="2E7DD1" w:sz="1"/>
              <w:bottom w:val="single" w:color="2E7DD1" w:sz="1"/>
              <w:right w:val="single" w:color="2E7DD1" w:sz="1"/>
            </w:tcBorders>
            <w:shd w:fill="6D28D9" w:val="clear"/>
            <w:tcMar>
              <w:top w:type="dxa" w:w="85"/>
              <w:left w:type="dxa" w:w="60"/>
              <w:bottom w:type="dxa" w:w="85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Enterprise
$549/mes</w:t>
            </w:r>
          </w:p>
        </w:tc>
        <w:tc>
          <w:tcPr>
            <w:tcW w:type="dxa" w:w="1080"/>
            <w:tcBorders>
              <w:top w:val="single" w:color="2E7DD1" w:sz="1"/>
              <w:left w:val="single" w:color="2E7DD1" w:sz="1"/>
              <w:bottom w:val="single" w:color="2E7DD1" w:sz="1"/>
              <w:right w:val="single" w:color="2E7DD1" w:sz="1"/>
            </w:tcBorders>
            <w:shd w:fill="92400E" w:val="clear"/>
            <w:tcMar>
              <w:top w:type="dxa" w:w="85"/>
              <w:left w:type="dxa" w:w="60"/>
              <w:bottom w:type="dxa" w:w="85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Elite
$1,199/mes</w:t>
            </w:r>
          </w:p>
        </w:tc>
      </w:tr>
      <w:tr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Papeles de trabajo electronicos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F0E3" w:val="clear"/>
            <w:tcMar>
              <w:top w:type="dxa" w:w="65"/>
              <w:left w:type="dxa" w:w="80"/>
              <w:bottom w:type="dxa" w:w="65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✅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F0E3" w:val="clear"/>
            <w:tcMar>
              <w:top w:type="dxa" w:w="65"/>
              <w:left w:type="dxa" w:w="80"/>
              <w:bottom w:type="dxa" w:w="65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✅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F0E3" w:val="clear"/>
            <w:tcMar>
              <w:top w:type="dxa" w:w="65"/>
              <w:left w:type="dxa" w:w="80"/>
              <w:bottom w:type="dxa" w:w="65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✅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F0E3" w:val="clear"/>
            <w:tcMar>
              <w:top w:type="dxa" w:w="65"/>
              <w:left w:type="dxa" w:w="80"/>
              <w:bottom w:type="dxa" w:w="65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✅</w:t>
            </w:r>
          </w:p>
        </w:tc>
      </w:tr>
      <w:tr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Score calidad de hallazgos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F0E3" w:val="clear"/>
            <w:tcMar>
              <w:top w:type="dxa" w:w="65"/>
              <w:left w:type="dxa" w:w="80"/>
              <w:bottom w:type="dxa" w:w="65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✅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F0E3" w:val="clear"/>
            <w:tcMar>
              <w:top w:type="dxa" w:w="65"/>
              <w:left w:type="dxa" w:w="80"/>
              <w:bottom w:type="dxa" w:w="65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✅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F0E3" w:val="clear"/>
            <w:tcMar>
              <w:top w:type="dxa" w:w="65"/>
              <w:left w:type="dxa" w:w="80"/>
              <w:bottom w:type="dxa" w:w="65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✅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F0E3" w:val="clear"/>
            <w:tcMar>
              <w:top w:type="dxa" w:w="65"/>
              <w:left w:type="dxa" w:w="80"/>
              <w:bottom w:type="dxa" w:w="65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✅</w:t>
            </w:r>
          </w:p>
        </w:tc>
      </w:tr>
      <w:tr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Portal del auditado basico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F0E3" w:val="clear"/>
            <w:tcMar>
              <w:top w:type="dxa" w:w="65"/>
              <w:left w:type="dxa" w:w="80"/>
              <w:bottom w:type="dxa" w:w="65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✅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F0E3" w:val="clear"/>
            <w:tcMar>
              <w:top w:type="dxa" w:w="65"/>
              <w:left w:type="dxa" w:w="80"/>
              <w:bottom w:type="dxa" w:w="65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✅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F0E3" w:val="clear"/>
            <w:tcMar>
              <w:top w:type="dxa" w:w="65"/>
              <w:left w:type="dxa" w:w="80"/>
              <w:bottom w:type="dxa" w:w="65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✅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F0E3" w:val="clear"/>
            <w:tcMar>
              <w:top w:type="dxa" w:w="65"/>
              <w:left w:type="dxa" w:w="80"/>
              <w:bottom w:type="dxa" w:w="65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✅</w:t>
            </w:r>
          </w:p>
        </w:tc>
      </w:tr>
      <w:tr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Dashboard KPIs esenciales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F0E3" w:val="clear"/>
            <w:tcMar>
              <w:top w:type="dxa" w:w="65"/>
              <w:left w:type="dxa" w:w="80"/>
              <w:bottom w:type="dxa" w:w="65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✅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F0E3" w:val="clear"/>
            <w:tcMar>
              <w:top w:type="dxa" w:w="65"/>
              <w:left w:type="dxa" w:w="80"/>
              <w:bottom w:type="dxa" w:w="65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✅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F0E3" w:val="clear"/>
            <w:tcMar>
              <w:top w:type="dxa" w:w="65"/>
              <w:left w:type="dxa" w:w="80"/>
              <w:bottom w:type="dxa" w:w="65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✅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F0E3" w:val="clear"/>
            <w:tcMar>
              <w:top w:type="dxa" w:w="65"/>
              <w:left w:type="dxa" w:w="80"/>
              <w:bottom w:type="dxa" w:w="65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✅</w:t>
            </w:r>
          </w:p>
        </w:tc>
      </w:tr>
      <w:tr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Asistente Athena basico (uso sistema)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F0E3" w:val="clear"/>
            <w:tcMar>
              <w:top w:type="dxa" w:w="65"/>
              <w:left w:type="dxa" w:w="80"/>
              <w:bottom w:type="dxa" w:w="65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✅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F0E3" w:val="clear"/>
            <w:tcMar>
              <w:top w:type="dxa" w:w="65"/>
              <w:left w:type="dxa" w:w="80"/>
              <w:bottom w:type="dxa" w:w="65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✅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F0E3" w:val="clear"/>
            <w:tcMar>
              <w:top w:type="dxa" w:w="65"/>
              <w:left w:type="dxa" w:w="80"/>
              <w:bottom w:type="dxa" w:w="65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✅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F0E3" w:val="clear"/>
            <w:tcMar>
              <w:top w:type="dxa" w:w="65"/>
              <w:left w:type="dxa" w:w="80"/>
              <w:bottom w:type="dxa" w:w="65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✅</w:t>
            </w:r>
          </w:p>
        </w:tc>
      </w:tr>
      <w:tr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Asistente Athena completo (contexto proyecto)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DEC" w:val="clear"/>
            <w:tcMar>
              <w:top w:type="dxa" w:w="65"/>
              <w:left w:type="dxa" w:w="80"/>
              <w:bottom w:type="dxa" w:w="65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❌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F0E3" w:val="clear"/>
            <w:tcMar>
              <w:top w:type="dxa" w:w="65"/>
              <w:left w:type="dxa" w:w="80"/>
              <w:bottom w:type="dxa" w:w="65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✅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F0E3" w:val="clear"/>
            <w:tcMar>
              <w:top w:type="dxa" w:w="65"/>
              <w:left w:type="dxa" w:w="80"/>
              <w:bottom w:type="dxa" w:w="65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✅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F0E3" w:val="clear"/>
            <w:tcMar>
              <w:top w:type="dxa" w:w="65"/>
              <w:left w:type="dxa" w:w="80"/>
              <w:bottom w:type="dxa" w:w="65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✅</w:t>
            </w:r>
          </w:p>
        </w:tc>
      </w:tr>
      <w:tr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Agente Scriptorium (redaccion IA)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DEC" w:val="clear"/>
            <w:tcMar>
              <w:top w:type="dxa" w:w="65"/>
              <w:left w:type="dxa" w:w="80"/>
              <w:bottom w:type="dxa" w:w="65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❌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F0E3" w:val="clear"/>
            <w:tcMar>
              <w:top w:type="dxa" w:w="65"/>
              <w:left w:type="dxa" w:w="80"/>
              <w:bottom w:type="dxa" w:w="65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✅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F0E3" w:val="clear"/>
            <w:tcMar>
              <w:top w:type="dxa" w:w="65"/>
              <w:left w:type="dxa" w:w="80"/>
              <w:bottom w:type="dxa" w:w="65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✅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F0E3" w:val="clear"/>
            <w:tcMar>
              <w:top w:type="dxa" w:w="65"/>
              <w:left w:type="dxa" w:w="80"/>
              <w:bottom w:type="dxa" w:w="65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✅</w:t>
            </w:r>
          </w:p>
        </w:tc>
      </w:tr>
      <w:tr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RAG normativa del cliente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DEC" w:val="clear"/>
            <w:tcMar>
              <w:top w:type="dxa" w:w="65"/>
              <w:left w:type="dxa" w:w="80"/>
              <w:bottom w:type="dxa" w:w="65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❌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F0E3" w:val="clear"/>
            <w:tcMar>
              <w:top w:type="dxa" w:w="65"/>
              <w:left w:type="dxa" w:w="80"/>
              <w:bottom w:type="dxa" w:w="65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✅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F0E3" w:val="clear"/>
            <w:tcMar>
              <w:top w:type="dxa" w:w="65"/>
              <w:left w:type="dxa" w:w="80"/>
              <w:bottom w:type="dxa" w:w="65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✅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F0E3" w:val="clear"/>
            <w:tcMar>
              <w:top w:type="dxa" w:w="65"/>
              <w:left w:type="dxa" w:w="80"/>
              <w:bottom w:type="dxa" w:w="65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✅</w:t>
            </w:r>
          </w:p>
        </w:tc>
      </w:tr>
      <w:tr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Portal del auditado completo + firma digital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DEC" w:val="clear"/>
            <w:tcMar>
              <w:top w:type="dxa" w:w="65"/>
              <w:left w:type="dxa" w:w="80"/>
              <w:bottom w:type="dxa" w:w="65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❌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F0E3" w:val="clear"/>
            <w:tcMar>
              <w:top w:type="dxa" w:w="65"/>
              <w:left w:type="dxa" w:w="80"/>
              <w:bottom w:type="dxa" w:w="65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✅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F0E3" w:val="clear"/>
            <w:tcMar>
              <w:top w:type="dxa" w:w="65"/>
              <w:left w:type="dxa" w:w="80"/>
              <w:bottom w:type="dxa" w:w="65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✅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F0E3" w:val="clear"/>
            <w:tcMar>
              <w:top w:type="dxa" w:w="65"/>
              <w:left w:type="dxa" w:w="80"/>
              <w:bottom w:type="dxa" w:w="65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✅</w:t>
            </w:r>
          </w:p>
        </w:tc>
      </w:tr>
      <w:tr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Calculadora de materialidad NIA 320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DEC" w:val="clear"/>
            <w:tcMar>
              <w:top w:type="dxa" w:w="65"/>
              <w:left w:type="dxa" w:w="80"/>
              <w:bottom w:type="dxa" w:w="65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❌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F0E3" w:val="clear"/>
            <w:tcMar>
              <w:top w:type="dxa" w:w="65"/>
              <w:left w:type="dxa" w:w="80"/>
              <w:bottom w:type="dxa" w:w="65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✅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F0E3" w:val="clear"/>
            <w:tcMar>
              <w:top w:type="dxa" w:w="65"/>
              <w:left w:type="dxa" w:w="80"/>
              <w:bottom w:type="dxa" w:w="65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✅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F0E3" w:val="clear"/>
            <w:tcMar>
              <w:top w:type="dxa" w:w="65"/>
              <w:left w:type="dxa" w:w="80"/>
              <w:bottom w:type="dxa" w:w="65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✅</w:t>
            </w:r>
          </w:p>
        </w:tc>
      </w:tr>
      <w:tr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Analytics basico (20 CAATs)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DEC" w:val="clear"/>
            <w:tcMar>
              <w:top w:type="dxa" w:w="65"/>
              <w:left w:type="dxa" w:w="80"/>
              <w:bottom w:type="dxa" w:w="65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❌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F0E3" w:val="clear"/>
            <w:tcMar>
              <w:top w:type="dxa" w:w="65"/>
              <w:left w:type="dxa" w:w="80"/>
              <w:bottom w:type="dxa" w:w="65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✅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F0E3" w:val="clear"/>
            <w:tcMar>
              <w:top w:type="dxa" w:w="65"/>
              <w:left w:type="dxa" w:w="80"/>
              <w:bottom w:type="dxa" w:w="65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✅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F0E3" w:val="clear"/>
            <w:tcMar>
              <w:top w:type="dxa" w:w="65"/>
              <w:left w:type="dxa" w:w="80"/>
              <w:bottom w:type="dxa" w:w="65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✅</w:t>
            </w:r>
          </w:p>
        </w:tc>
      </w:tr>
      <w:tr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Todos los agentes IA (8 agentes)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DEC" w:val="clear"/>
            <w:tcMar>
              <w:top w:type="dxa" w:w="65"/>
              <w:left w:type="dxa" w:w="80"/>
              <w:bottom w:type="dxa" w:w="65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❌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DEC" w:val="clear"/>
            <w:tcMar>
              <w:top w:type="dxa" w:w="65"/>
              <w:left w:type="dxa" w:w="80"/>
              <w:bottom w:type="dxa" w:w="65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❌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F0E3" w:val="clear"/>
            <w:tcMar>
              <w:top w:type="dxa" w:w="65"/>
              <w:left w:type="dxa" w:w="80"/>
              <w:bottom w:type="dxa" w:w="65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✅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F0E3" w:val="clear"/>
            <w:tcMar>
              <w:top w:type="dxa" w:w="65"/>
              <w:left w:type="dxa" w:w="80"/>
              <w:bottom w:type="dxa" w:w="65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✅</w:t>
            </w:r>
          </w:p>
        </w:tc>
      </w:tr>
      <w:tr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Auditoria de TI — COBIT/NIST/ISO 27001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DEC" w:val="clear"/>
            <w:tcMar>
              <w:top w:type="dxa" w:w="65"/>
              <w:left w:type="dxa" w:w="80"/>
              <w:bottom w:type="dxa" w:w="65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❌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DEC" w:val="clear"/>
            <w:tcMar>
              <w:top w:type="dxa" w:w="65"/>
              <w:left w:type="dxa" w:w="80"/>
              <w:bottom w:type="dxa" w:w="65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❌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F0E3" w:val="clear"/>
            <w:tcMar>
              <w:top w:type="dxa" w:w="65"/>
              <w:left w:type="dxa" w:w="80"/>
              <w:bottom w:type="dxa" w:w="65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✅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F0E3" w:val="clear"/>
            <w:tcMar>
              <w:top w:type="dxa" w:w="65"/>
              <w:left w:type="dxa" w:w="80"/>
              <w:bottom w:type="dxa" w:w="65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✅</w:t>
            </w:r>
          </w:p>
        </w:tc>
      </w:tr>
      <w:tr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Modulo Comite de Auditoria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DEC" w:val="clear"/>
            <w:tcMar>
              <w:top w:type="dxa" w:w="65"/>
              <w:left w:type="dxa" w:w="80"/>
              <w:bottom w:type="dxa" w:w="65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❌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DEC" w:val="clear"/>
            <w:tcMar>
              <w:top w:type="dxa" w:w="65"/>
              <w:left w:type="dxa" w:w="80"/>
              <w:bottom w:type="dxa" w:w="65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❌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F0E3" w:val="clear"/>
            <w:tcMar>
              <w:top w:type="dxa" w:w="65"/>
              <w:left w:type="dxa" w:w="80"/>
              <w:bottom w:type="dxa" w:w="65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✅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F0E3" w:val="clear"/>
            <w:tcMar>
              <w:top w:type="dxa" w:w="65"/>
              <w:left w:type="dxa" w:w="80"/>
              <w:bottom w:type="dxa" w:w="65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✅</w:t>
            </w:r>
          </w:p>
        </w:tc>
      </w:tr>
      <w:tr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QAIP (IIA 2025)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DEC" w:val="clear"/>
            <w:tcMar>
              <w:top w:type="dxa" w:w="65"/>
              <w:left w:type="dxa" w:w="80"/>
              <w:bottom w:type="dxa" w:w="65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❌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DEC" w:val="clear"/>
            <w:tcMar>
              <w:top w:type="dxa" w:w="65"/>
              <w:left w:type="dxa" w:w="80"/>
              <w:bottom w:type="dxa" w:w="65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❌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F0E3" w:val="clear"/>
            <w:tcMar>
              <w:top w:type="dxa" w:w="65"/>
              <w:left w:type="dxa" w:w="80"/>
              <w:bottom w:type="dxa" w:w="65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✅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F0E3" w:val="clear"/>
            <w:tcMar>
              <w:top w:type="dxa" w:w="65"/>
              <w:left w:type="dxa" w:w="80"/>
              <w:bottom w:type="dxa" w:w="65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✅</w:t>
            </w:r>
          </w:p>
        </w:tc>
      </w:tr>
      <w:tr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Triangulo riesgo auditoria (NIA 200)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DEC" w:val="clear"/>
            <w:tcMar>
              <w:top w:type="dxa" w:w="65"/>
              <w:left w:type="dxa" w:w="80"/>
              <w:bottom w:type="dxa" w:w="65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❌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DEC" w:val="clear"/>
            <w:tcMar>
              <w:top w:type="dxa" w:w="65"/>
              <w:left w:type="dxa" w:w="80"/>
              <w:bottom w:type="dxa" w:w="65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❌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F0E3" w:val="clear"/>
            <w:tcMar>
              <w:top w:type="dxa" w:w="65"/>
              <w:left w:type="dxa" w:w="80"/>
              <w:bottom w:type="dxa" w:w="65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✅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F0E3" w:val="clear"/>
            <w:tcMar>
              <w:top w:type="dxa" w:w="65"/>
              <w:left w:type="dxa" w:w="80"/>
              <w:bottom w:type="dxa" w:w="65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✅</w:t>
            </w:r>
          </w:p>
        </w:tc>
      </w:tr>
      <w:tr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Analytics avanzado (100+ CAATs + ERP)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DEC" w:val="clear"/>
            <w:tcMar>
              <w:top w:type="dxa" w:w="65"/>
              <w:left w:type="dxa" w:w="80"/>
              <w:bottom w:type="dxa" w:w="65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❌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DEC" w:val="clear"/>
            <w:tcMar>
              <w:top w:type="dxa" w:w="65"/>
              <w:left w:type="dxa" w:w="80"/>
              <w:bottom w:type="dxa" w:w="65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❌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F0E3" w:val="clear"/>
            <w:tcMar>
              <w:top w:type="dxa" w:w="65"/>
              <w:left w:type="dxa" w:w="80"/>
              <w:bottom w:type="dxa" w:w="65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✅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F0E3" w:val="clear"/>
            <w:tcMar>
              <w:top w:type="dxa" w:w="65"/>
              <w:left w:type="dxa" w:w="80"/>
              <w:bottom w:type="dxa" w:w="65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✅</w:t>
            </w:r>
          </w:p>
        </w:tc>
      </w:tr>
      <w:tr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Skills especializados (TI, Fraude, Compliance)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DEC" w:val="clear"/>
            <w:tcMar>
              <w:top w:type="dxa" w:w="65"/>
              <w:left w:type="dxa" w:w="80"/>
              <w:bottom w:type="dxa" w:w="65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❌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DEC" w:val="clear"/>
            <w:tcMar>
              <w:top w:type="dxa" w:w="65"/>
              <w:left w:type="dxa" w:w="80"/>
              <w:bottom w:type="dxa" w:w="65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❌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F0E3" w:val="clear"/>
            <w:tcMar>
              <w:top w:type="dxa" w:w="65"/>
              <w:left w:type="dxa" w:w="80"/>
              <w:bottom w:type="dxa" w:w="65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✅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F0E3" w:val="clear"/>
            <w:tcMar>
              <w:top w:type="dxa" w:w="65"/>
              <w:left w:type="dxa" w:w="80"/>
              <w:bottom w:type="dxa" w:w="65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✅</w:t>
            </w:r>
          </w:p>
        </w:tc>
      </w:tr>
      <w:tr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Modo Investigacion Especial (forense)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DEC" w:val="clear"/>
            <w:tcMar>
              <w:top w:type="dxa" w:w="65"/>
              <w:left w:type="dxa" w:w="80"/>
              <w:bottom w:type="dxa" w:w="65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❌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DEC" w:val="clear"/>
            <w:tcMar>
              <w:top w:type="dxa" w:w="65"/>
              <w:left w:type="dxa" w:w="80"/>
              <w:bottom w:type="dxa" w:w="65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❌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F0E3" w:val="clear"/>
            <w:tcMar>
              <w:top w:type="dxa" w:w="65"/>
              <w:left w:type="dxa" w:w="80"/>
              <w:bottom w:type="dxa" w:w="65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✅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F0E3" w:val="clear"/>
            <w:tcMar>
              <w:top w:type="dxa" w:w="65"/>
              <w:left w:type="dxa" w:w="80"/>
              <w:bottom w:type="dxa" w:w="65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✅</w:t>
            </w:r>
          </w:p>
        </w:tc>
      </w:tr>
      <w:tr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Multi-entidad / Holdings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DEC" w:val="clear"/>
            <w:tcMar>
              <w:top w:type="dxa" w:w="65"/>
              <w:left w:type="dxa" w:w="80"/>
              <w:bottom w:type="dxa" w:w="65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❌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DEC" w:val="clear"/>
            <w:tcMar>
              <w:top w:type="dxa" w:w="65"/>
              <w:left w:type="dxa" w:w="80"/>
              <w:bottom w:type="dxa" w:w="65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❌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DEC" w:val="clear"/>
            <w:tcMar>
              <w:top w:type="dxa" w:w="65"/>
              <w:left w:type="dxa" w:w="80"/>
              <w:bottom w:type="dxa" w:w="65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❌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F0E3" w:val="clear"/>
            <w:tcMar>
              <w:top w:type="dxa" w:w="65"/>
              <w:left w:type="dxa" w:w="80"/>
              <w:bottom w:type="dxa" w:w="65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✅</w:t>
            </w:r>
          </w:p>
        </w:tc>
      </w:tr>
      <w:tr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Fine-tuning del asistente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DEC" w:val="clear"/>
            <w:tcMar>
              <w:top w:type="dxa" w:w="65"/>
              <w:left w:type="dxa" w:w="80"/>
              <w:bottom w:type="dxa" w:w="65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❌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DEC" w:val="clear"/>
            <w:tcMar>
              <w:top w:type="dxa" w:w="65"/>
              <w:left w:type="dxa" w:w="80"/>
              <w:bottom w:type="dxa" w:w="65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❌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DEC" w:val="clear"/>
            <w:tcMar>
              <w:top w:type="dxa" w:w="65"/>
              <w:left w:type="dxa" w:w="80"/>
              <w:bottom w:type="dxa" w:w="65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❌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F0E3" w:val="clear"/>
            <w:tcMar>
              <w:top w:type="dxa" w:w="65"/>
              <w:left w:type="dxa" w:w="80"/>
              <w:bottom w:type="dxa" w:w="65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✅</w:t>
            </w:r>
          </w:p>
        </w:tc>
      </w:tr>
      <w:tr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App movil offline (trabajo en campo)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DEC" w:val="clear"/>
            <w:tcMar>
              <w:top w:type="dxa" w:w="65"/>
              <w:left w:type="dxa" w:w="80"/>
              <w:bottom w:type="dxa" w:w="65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❌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DEC" w:val="clear"/>
            <w:tcMar>
              <w:top w:type="dxa" w:w="65"/>
              <w:left w:type="dxa" w:w="80"/>
              <w:bottom w:type="dxa" w:w="65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❌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DEC" w:val="clear"/>
            <w:tcMar>
              <w:top w:type="dxa" w:w="65"/>
              <w:left w:type="dxa" w:w="80"/>
              <w:bottom w:type="dxa" w:w="65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❌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F0E3" w:val="clear"/>
            <w:tcMar>
              <w:top w:type="dxa" w:w="65"/>
              <w:left w:type="dxa" w:w="80"/>
              <w:bottom w:type="dxa" w:w="65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✅</w:t>
            </w:r>
          </w:p>
        </w:tc>
      </w:tr>
      <w:tr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Circularizacion NIA 505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DEC" w:val="clear"/>
            <w:tcMar>
              <w:top w:type="dxa" w:w="65"/>
              <w:left w:type="dxa" w:w="80"/>
              <w:bottom w:type="dxa" w:w="65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❌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DEC" w:val="clear"/>
            <w:tcMar>
              <w:top w:type="dxa" w:w="65"/>
              <w:left w:type="dxa" w:w="80"/>
              <w:bottom w:type="dxa" w:w="65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❌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DEC" w:val="clear"/>
            <w:tcMar>
              <w:top w:type="dxa" w:w="65"/>
              <w:left w:type="dxa" w:w="80"/>
              <w:bottom w:type="dxa" w:w="65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❌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F0E3" w:val="clear"/>
            <w:tcMar>
              <w:top w:type="dxa" w:w="65"/>
              <w:left w:type="dxa" w:w="80"/>
              <w:bottom w:type="dxa" w:w="65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✅</w:t>
            </w:r>
          </w:p>
        </w:tc>
      </w:tr>
      <w:tr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Benchmark sectorial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DEC" w:val="clear"/>
            <w:tcMar>
              <w:top w:type="dxa" w:w="65"/>
              <w:left w:type="dxa" w:w="80"/>
              <w:bottom w:type="dxa" w:w="65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❌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DEC" w:val="clear"/>
            <w:tcMar>
              <w:top w:type="dxa" w:w="65"/>
              <w:left w:type="dxa" w:w="80"/>
              <w:bottom w:type="dxa" w:w="65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❌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DEC" w:val="clear"/>
            <w:tcMar>
              <w:top w:type="dxa" w:w="65"/>
              <w:left w:type="dxa" w:w="80"/>
              <w:bottom w:type="dxa" w:w="65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❌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F0E3" w:val="clear"/>
            <w:tcMar>
              <w:top w:type="dxa" w:w="65"/>
              <w:left w:type="dxa" w:w="80"/>
              <w:bottom w:type="dxa" w:w="65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✅</w:t>
            </w:r>
          </w:p>
        </w:tc>
      </w:tr>
      <w:tr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SLA 99.9% + soporte VIP 2h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DEC" w:val="clear"/>
            <w:tcMar>
              <w:top w:type="dxa" w:w="65"/>
              <w:left w:type="dxa" w:w="80"/>
              <w:bottom w:type="dxa" w:w="65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❌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DEC" w:val="clear"/>
            <w:tcMar>
              <w:top w:type="dxa" w:w="65"/>
              <w:left w:type="dxa" w:w="80"/>
              <w:bottom w:type="dxa" w:w="65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❌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DEC" w:val="clear"/>
            <w:tcMar>
              <w:top w:type="dxa" w:w="65"/>
              <w:left w:type="dxa" w:w="80"/>
              <w:bottom w:type="dxa" w:w="65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❌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F0E3" w:val="clear"/>
            <w:tcMar>
              <w:top w:type="dxa" w:w="65"/>
              <w:left w:type="dxa" w:w="80"/>
              <w:bottom w:type="dxa" w:w="65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✅</w:t>
            </w:r>
          </w:p>
        </w:tc>
      </w:tr>
    </w:tbl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65F46" w:val="clear"/>
            <w:tcMar>
              <w:top w:type="dxa" w:w="200"/>
              <w:left w:type="dxa" w:w="280"/>
              <w:bottom w:type="dxa" w:w="200"/>
              <w:right w:type="dxa" w:w="280"/>
            </w:tcMar>
          </w:tcPr>
          <w:p>
            <w:pPr>
              <w:spacing w:after="60" w:before="0"/>
              <w:jc w:val="center"/>
            </w:pPr>
            <w:r>
              <w:rPr>
                <w:rFonts w:ascii="Arial" w:cs="Arial" w:eastAsia="Arial" w:hAnsi="Arial"/>
                <w:sz w:val="32"/>
                <w:szCs w:val="32"/>
              </w:rPr>
              <w:t xml:space="preserve">📋</w:t>
            </w:r>
            <w:r>
              <w:rPr>
                <w:rFonts w:ascii="Arial" w:cs="Arial" w:eastAsia="Arial" w:hAnsi="Arial"/>
                <w:b/>
                <w:bCs/>
                <w:color w:val="FFFFFF"/>
                <w:sz w:val="34"/>
                <w:szCs w:val="34"/>
              </w:rPr>
              <w:t xml:space="preserve">  CATEGORIA B — AUDITORIA EXTERNA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BBD4EE"/>
                <w:sz w:val="19"/>
                <w:szCs w:val="19"/>
              </w:rPr>
              <w:t xml:space="preserve">Para firmas de auditoria, contadores publicos independientes y consultores que prestan servicios de auditoria externa</w:t>
            </w:r>
          </w:p>
        </w:tc>
      </w:tr>
    </w:tbl>
    <w:p>
      <w:pPr>
        <w:spacing w:after="10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BE185D" w:sz="1"/>
              <w:left w:val="single" w:color="BE185D" w:sz="1"/>
              <w:bottom w:val="single" w:color="BE185D" w:sz="1"/>
              <w:right w:val="single" w:color="BE185D" w:sz="1"/>
            </w:tcBorders>
            <w:shd w:fill="FCE7F3" w:val="clear"/>
            <w:tcMar>
              <w:top w:type="dxa" w:w="150"/>
              <w:left w:type="dxa" w:w="210"/>
              <w:bottom w:type="dxa" w:w="150"/>
              <w:right w:type="dxa" w:w="210"/>
            </w:tcMar>
          </w:tcPr>
          <w:p>
            <w:pPr>
              <w:spacing w:after="70" w:before="0"/>
            </w:pPr>
            <w:r>
              <w:rPr>
                <w:rFonts w:ascii="Arial" w:cs="Arial" w:eastAsia="Arial" w:hAnsi="Arial"/>
                <w:b/>
                <w:bCs/>
                <w:color w:val="0F2D4A"/>
                <w:sz w:val="20"/>
                <w:szCs w:val="20"/>
              </w:rPr>
              <w:t xml:space="preserve">Diferencias Clave vs. Auditoria Interna: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2" w:before="42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Modelo de licenciamiento por FIRMA, no por usuario individual — la firma paga y asigna sus auditores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2" w:before="42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Facturacion por CLIENTES ACTIVOS SIMULTANEOS — el limite que importa es cuantos clientes trabaja la firma al mismo tiempo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2" w:before="42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Incluye Portales de Cliente individuales por cada cliente de auditoria externa — separacion total de expedientes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2" w:before="42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Foco en NIA/ISA, NIIF/IFRS y PCAOB — no en IIA Standards (que son de auditoria interna)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2" w:before="42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Agente Cicero optimizado para informes de auditoria externa con opinion del auditor (limpia, con salvedad, adversa, abstension)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2" w:before="42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Plantillas de carta de representacion de la gerencia, confirmaciones externas y comunicaciones al cliente</w:t>
            </w:r>
          </w:p>
        </w:tc>
      </w:tr>
    </w:tbl>
    <w:p>
      <w:pPr>
        <w:spacing w:after="10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BE185D" w:sz="1"/>
              <w:left w:val="single" w:color="BE185D" w:sz="1"/>
              <w:bottom w:val="single" w:color="BE185D" w:sz="1"/>
              <w:right w:val="single" w:color="BE185D" w:sz="1"/>
            </w:tcBorders>
            <w:shd w:fill="FCE7F3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tbl>
            <w:tblPr>
              <w:tblW w:type="dxa" w:w="892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5200"/>
              <w:gridCol w:w="3720"/>
            </w:tblGrid>
            <w:tr>
              <w:tc>
                <w:tcPr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40" w:before="0"/>
                  </w:pPr>
                  <w:r>
                    <w:rPr>
                      <w:rFonts w:ascii="Arial" w:cs="Arial" w:eastAsia="Arial" w:hAnsi="Arial"/>
                      <w:sz w:val="26"/>
                      <w:szCs w:val="26"/>
                    </w:rPr>
                    <w:t xml:space="preserve">🥉  </w:t>
                  </w:r>
                  <w:r>
                    <w:rPr>
                      <w:rFonts w:ascii="Arial" w:cs="Arial" w:eastAsia="Arial" w:hAnsi="Arial"/>
                      <w:b/>
                      <w:bCs/>
                      <w:color w:val="BE185D"/>
                      <w:sz w:val="28"/>
                      <w:szCs w:val="28"/>
                    </w:rPr>
                    <w:t xml:space="preserve">EA Starter</w:t>
                  </w:r>
                </w:p>
                <w:p>
                  <w:r>
                    <w:rPr>
                      <w:rFonts w:ascii="Arial" w:cs="Arial" w:eastAsia="Arial" w:hAnsi="Arial"/>
                      <w:i/>
                      <w:iCs/>
                      <w:color w:val="4A4A4A"/>
                      <w:sz w:val="19"/>
                      <w:szCs w:val="19"/>
                    </w:rPr>
                    <w:t xml:space="preserve">Para el contador publico independiente</w:t>
                  </w:r>
                </w:p>
              </w:tc>
              <w:tc>
                <w:tcPr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BE185D" w:val="clear"/>
                  <w:tcMar>
                    <w:top w:type="dxa" w:w="60"/>
                    <w:left w:type="dxa" w:w="120"/>
                    <w:bottom w:type="dxa" w:w="60"/>
                    <w:right w:type="dxa" w:w="120"/>
                  </w:tcMar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38"/>
                      <w:szCs w:val="38"/>
                    </w:rPr>
                    <w:t xml:space="preserve">$119/mes</w:t>
                  </w:r>
                </w:p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color w:val="DDEEEE"/>
                      <w:sz w:val="17"/>
                      <w:szCs w:val="17"/>
                    </w:rPr>
                    <w:t xml:space="preserve">1 CP + hasta 2 asistentes | Facturacion anual</w:t>
                  </w:r>
                </w:p>
              </w:tc>
            </w:tr>
          </w:tbl>
          <w:p>
            <w:pPr>
              <w:spacing w:after="80" w:before="0"/>
            </w:pPr>
            <w:r>
              <w:t xml:space="preserve"/>
            </w:r>
          </w:p>
          <w:tbl>
            <w:tblPr>
              <w:tblW w:type="dxa" w:w="892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2860"/>
              <w:gridCol w:w="160"/>
              <w:gridCol w:w="2860"/>
              <w:gridCol w:w="160"/>
              <w:gridCol w:w="2840"/>
            </w:tblGrid>
            <w:tr>
              <w:tc>
                <w:tcPr>
                  <w:tcBorders>
                    <w:top w:val="single" w:color="BE185D" w:sz="1"/>
                    <w:left w:val="single" w:color="BE185D" w:sz="1"/>
                    <w:bottom w:val="single" w:color="BE185D" w:sz="1"/>
                    <w:right w:val="single" w:color="BE185D" w:sz="1"/>
                  </w:tcBorders>
                  <w:shd w:fill="FFFFFF" w:val="clear"/>
                  <w:tcMar>
                    <w:top w:type="dxa" w:w="70"/>
                    <w:left w:type="dxa" w:w="100"/>
                    <w:bottom w:type="dxa" w:w="70"/>
                    <w:right w:type="dxa" w:w="100"/>
                  </w:tcMar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0F2D4A"/>
                      <w:sz w:val="18"/>
                      <w:szCs w:val="18"/>
                    </w:rPr>
                    <w:t xml:space="preserve">👥 Usuarios</w:t>
                  </w:r>
                </w:p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BE185D"/>
                      <w:sz w:val="20"/>
                      <w:szCs w:val="20"/>
                    </w:rPr>
                    <w:t xml:space="preserve">3 usuarios + clientes ilimitados (portal)</w:t>
                  </w:r>
                </w:p>
              </w:tc>
              <w:tc>
                <w:tcPr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</w:tcPr>
                <w:p>
                  <w:pPr>
                    <w:spacing w:after="120" w:before="0"/>
                  </w:pPr>
                  <w:r>
                    <w:t xml:space="preserve"/>
                  </w:r>
                </w:p>
              </w:tc>
              <w:tc>
                <w:tcPr>
                  <w:tcBorders>
                    <w:top w:val="single" w:color="BE185D" w:sz="1"/>
                    <w:left w:val="single" w:color="BE185D" w:sz="1"/>
                    <w:bottom w:val="single" w:color="BE185D" w:sz="1"/>
                    <w:right w:val="single" w:color="BE185D" w:sz="1"/>
                  </w:tcBorders>
                  <w:shd w:fill="FFFFFF" w:val="clear"/>
                  <w:tcMar>
                    <w:top w:type="dxa" w:w="70"/>
                    <w:left w:type="dxa" w:w="100"/>
                    <w:bottom w:type="dxa" w:w="70"/>
                    <w:right w:type="dxa" w:w="100"/>
                  </w:tcMar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0F2D4A"/>
                      <w:sz w:val="18"/>
                      <w:szCs w:val="18"/>
                    </w:rPr>
                    <w:t xml:space="preserve">💾 Storage</w:t>
                  </w:r>
                </w:p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BE185D"/>
                      <w:sz w:val="20"/>
                      <w:szCs w:val="20"/>
                    </w:rPr>
                    <w:t xml:space="preserve">15 GB</w:t>
                  </w:r>
                </w:p>
              </w:tc>
              <w:tc>
                <w:tcPr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</w:tcPr>
                <w:p>
                  <w:pPr>
                    <w:spacing w:after="120" w:before="0"/>
                  </w:pPr>
                  <w:r>
                    <w:t xml:space="preserve"/>
                  </w:r>
                </w:p>
              </w:tc>
              <w:tc>
                <w:tcPr>
                  <w:tcBorders>
                    <w:top w:val="single" w:color="BE185D" w:sz="1"/>
                    <w:left w:val="single" w:color="BE185D" w:sz="1"/>
                    <w:bottom w:val="single" w:color="BE185D" w:sz="1"/>
                    <w:right w:val="single" w:color="BE185D" w:sz="1"/>
                  </w:tcBorders>
                  <w:shd w:fill="FFFFFF" w:val="clear"/>
                  <w:tcMar>
                    <w:top w:type="dxa" w:w="70"/>
                    <w:left w:type="dxa" w:w="100"/>
                    <w:bottom w:type="dxa" w:w="70"/>
                    <w:right w:type="dxa" w:w="100"/>
                  </w:tcMar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0F2D4A"/>
                      <w:sz w:val="18"/>
                      <w:szCs w:val="18"/>
                    </w:rPr>
                    <w:t xml:space="preserve">🤖 Tokens IA/mes</w:t>
                  </w:r>
                </w:p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BE185D"/>
                      <w:sz w:val="20"/>
                      <w:szCs w:val="20"/>
                    </w:rPr>
                    <w:t xml:space="preserve">500,000</w:t>
                  </w:r>
                </w:p>
              </w:tc>
            </w:tr>
          </w:tbl>
          <w:p>
            <w:pPr>
              <w:spacing w:after="80" w:before="0"/>
            </w:pPr>
            <w:r>
              <w:t xml:space="preserve"/>
            </w:r>
          </w:p>
          <w:p>
            <w:pPr>
              <w:spacing w:after="50" w:before="0"/>
            </w:pPr>
            <w:r>
              <w:rPr>
                <w:rFonts w:ascii="Arial" w:cs="Arial" w:eastAsia="Arial" w:hAnsi="Arial"/>
                <w:b/>
                <w:bCs/>
                <w:color w:val="BE185D"/>
                <w:sz w:val="19"/>
                <w:szCs w:val="19"/>
              </w:rPr>
              <w:t xml:space="preserve">✅ Incluye: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6" w:before="36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Hasta 5 clientes activos simultaneos con expedientes completamente separados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6" w:before="36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Portal de cliente individual por cada cliente: solicitudes de informacion, entrega de evidencias, comunicaciones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6" w:before="36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Papeles de trabajo electronicos: PT-PL (memo planificacion), PT-EC (evaluacion controles), PT-PS (sustantivos), PT-HF (hallazgos)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6" w:before="36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Sistema de indices estandarizados para expediente de auditoria externa (A, B, C, D, E)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6" w:before="36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Materialidad: calculadora segun NIA 320 con base de referencia configurable por cliente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6" w:before="36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Evaluacion de riesgo de auditoria: calculo de RI, RC y RD segun NIA 200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6" w:before="36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Hallazgos con score de calidad y vinculacion a criterios NIA/NIIF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6" w:before="36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Carta de representacion de la gerencia: plantilla parametrizable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6" w:before="36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Informe de auditoria estandar: plantillas de opinion limpia y con salvedad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6" w:before="36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Seguimiento de recomendaciones carta de gerencia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6" w:before="36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Dashboard por cliente: estado del encargo, papeles pendientes, plazos criticos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6" w:before="36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Soporte email en espanol — 48h habiles</w:t>
            </w:r>
          </w:p>
          <w:p>
            <w:pPr>
              <w:spacing w:after="70" w:before="0"/>
            </w:pPr>
            <w:r>
              <w:t xml:space="preserve"/>
            </w:r>
          </w:p>
          <w:p>
            <w:pPr>
              <w:spacing w:after="30" w:before="0"/>
            </w:pPr>
            <w:r>
              <w:rPr>
                <w:rFonts w:ascii="Arial" w:cs="Arial" w:eastAsia="Arial" w:hAnsi="Arial"/>
                <w:b/>
                <w:bCs/>
                <w:color w:val="BE185D"/>
                <w:sz w:val="19"/>
                <w:szCs w:val="19"/>
              </w:rPr>
              <w:t xml:space="preserve">⭐ Lo que lo hace unico: </w:t>
            </w:r>
            <w:r>
              <w:rPr>
                <w:rFonts w:ascii="Arial" w:cs="Arial" w:eastAsia="Arial" w:hAnsi="Arial"/>
                <w:i/>
                <w:iCs/>
                <w:color w:val="1A1A1A"/>
                <w:sz w:val="19"/>
                <w:szCs w:val="19"/>
              </w:rPr>
              <w:t xml:space="preserve">El contador publico independiente tiene su sistema de auditoria profesional por menos del costo de un dia de honorarios. Expedientes digitales organizados, materialidad calculada y hallazgos documentados con calidad NIA.</w:t>
            </w:r>
          </w:p>
        </w:tc>
      </w:tr>
    </w:tbl>
    <w:p>
      <w:pPr>
        <w:spacing w:after="8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B45309" w:sz="1"/>
              <w:left w:val="single" w:color="B45309" w:sz="1"/>
              <w:bottom w:val="single" w:color="B45309" w:sz="1"/>
              <w:right w:val="single" w:color="B45309" w:sz="1"/>
            </w:tcBorders>
            <w:shd w:fill="FEF3C7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tbl>
            <w:tblPr>
              <w:tblW w:type="dxa" w:w="892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5200"/>
              <w:gridCol w:w="3720"/>
            </w:tblGrid>
            <w:tr>
              <w:tc>
                <w:tcPr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40" w:before="0"/>
                  </w:pPr>
                  <w:r>
                    <w:rPr>
                      <w:rFonts w:ascii="Arial" w:cs="Arial" w:eastAsia="Arial" w:hAnsi="Arial"/>
                      <w:sz w:val="26"/>
                      <w:szCs w:val="26"/>
                    </w:rPr>
                    <w:t xml:space="preserve">🥈  </w:t>
                  </w:r>
                  <w:r>
                    <w:rPr>
                      <w:rFonts w:ascii="Arial" w:cs="Arial" w:eastAsia="Arial" w:hAnsi="Arial"/>
                      <w:b/>
                      <w:bCs/>
                      <w:color w:val="B45309"/>
                      <w:sz w:val="28"/>
                      <w:szCs w:val="28"/>
                    </w:rPr>
                    <w:t xml:space="preserve">EA Professional</w:t>
                  </w:r>
                </w:p>
                <w:p>
                  <w:r>
                    <w:rPr>
                      <w:rFonts w:ascii="Arial" w:cs="Arial" w:eastAsia="Arial" w:hAnsi="Arial"/>
                      <w:i/>
                      <w:iCs/>
                      <w:color w:val="4A4A4A"/>
                      <w:sz w:val="19"/>
                      <w:szCs w:val="19"/>
                    </w:rPr>
                    <w:t xml:space="preserve">Para firmas pequenas de auditoria</w:t>
                  </w:r>
                </w:p>
              </w:tc>
              <w:tc>
                <w:tcPr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B45309" w:val="clear"/>
                  <w:tcMar>
                    <w:top w:type="dxa" w:w="60"/>
                    <w:left w:type="dxa" w:w="120"/>
                    <w:bottom w:type="dxa" w:w="60"/>
                    <w:right w:type="dxa" w:w="120"/>
                  </w:tcMar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38"/>
                      <w:szCs w:val="38"/>
                    </w:rPr>
                    <w:t xml:space="preserve">$329/mes</w:t>
                  </w:r>
                </w:p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color w:val="DDEEEE"/>
                      <w:sz w:val="17"/>
                      <w:szCs w:val="17"/>
                    </w:rPr>
                    <w:t xml:space="preserve">Hasta 8 auditores | Facturacion anual</w:t>
                  </w:r>
                </w:p>
              </w:tc>
            </w:tr>
          </w:tbl>
          <w:p>
            <w:pPr>
              <w:spacing w:after="80" w:before="0"/>
            </w:pPr>
            <w:r>
              <w:t xml:space="preserve"/>
            </w:r>
          </w:p>
          <w:tbl>
            <w:tblPr>
              <w:tblW w:type="dxa" w:w="892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2860"/>
              <w:gridCol w:w="160"/>
              <w:gridCol w:w="2860"/>
              <w:gridCol w:w="160"/>
              <w:gridCol w:w="2840"/>
            </w:tblGrid>
            <w:tr>
              <w:tc>
                <w:tcPr>
                  <w:tcBorders>
                    <w:top w:val="single" w:color="B45309" w:sz="1"/>
                    <w:left w:val="single" w:color="B45309" w:sz="1"/>
                    <w:bottom w:val="single" w:color="B45309" w:sz="1"/>
                    <w:right w:val="single" w:color="B45309" w:sz="1"/>
                  </w:tcBorders>
                  <w:shd w:fill="FFFFFF" w:val="clear"/>
                  <w:tcMar>
                    <w:top w:type="dxa" w:w="70"/>
                    <w:left w:type="dxa" w:w="100"/>
                    <w:bottom w:type="dxa" w:w="70"/>
                    <w:right w:type="dxa" w:w="100"/>
                  </w:tcMar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0F2D4A"/>
                      <w:sz w:val="18"/>
                      <w:szCs w:val="18"/>
                    </w:rPr>
                    <w:t xml:space="preserve">👥 Usuarios</w:t>
                  </w:r>
                </w:p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B45309"/>
                      <w:sz w:val="20"/>
                      <w:szCs w:val="20"/>
                    </w:rPr>
                    <w:t xml:space="preserve">8 auditores + clientes ilimitados</w:t>
                  </w:r>
                </w:p>
              </w:tc>
              <w:tc>
                <w:tcPr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</w:tcPr>
                <w:p>
                  <w:pPr>
                    <w:spacing w:after="120" w:before="0"/>
                  </w:pPr>
                  <w:r>
                    <w:t xml:space="preserve"/>
                  </w:r>
                </w:p>
              </w:tc>
              <w:tc>
                <w:tcPr>
                  <w:tcBorders>
                    <w:top w:val="single" w:color="B45309" w:sz="1"/>
                    <w:left w:val="single" w:color="B45309" w:sz="1"/>
                    <w:bottom w:val="single" w:color="B45309" w:sz="1"/>
                    <w:right w:val="single" w:color="B45309" w:sz="1"/>
                  </w:tcBorders>
                  <w:shd w:fill="FFFFFF" w:val="clear"/>
                  <w:tcMar>
                    <w:top w:type="dxa" w:w="70"/>
                    <w:left w:type="dxa" w:w="100"/>
                    <w:bottom w:type="dxa" w:w="70"/>
                    <w:right w:type="dxa" w:w="100"/>
                  </w:tcMar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0F2D4A"/>
                      <w:sz w:val="18"/>
                      <w:szCs w:val="18"/>
                    </w:rPr>
                    <w:t xml:space="preserve">💾 Storage</w:t>
                  </w:r>
                </w:p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B45309"/>
                      <w:sz w:val="20"/>
                      <w:szCs w:val="20"/>
                    </w:rPr>
                    <w:t xml:space="preserve">75 GB</w:t>
                  </w:r>
                </w:p>
              </w:tc>
              <w:tc>
                <w:tcPr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</w:tcPr>
                <w:p>
                  <w:pPr>
                    <w:spacing w:after="120" w:before="0"/>
                  </w:pPr>
                  <w:r>
                    <w:t xml:space="preserve"/>
                  </w:r>
                </w:p>
              </w:tc>
              <w:tc>
                <w:tcPr>
                  <w:tcBorders>
                    <w:top w:val="single" w:color="B45309" w:sz="1"/>
                    <w:left w:val="single" w:color="B45309" w:sz="1"/>
                    <w:bottom w:val="single" w:color="B45309" w:sz="1"/>
                    <w:right w:val="single" w:color="B45309" w:sz="1"/>
                  </w:tcBorders>
                  <w:shd w:fill="FFFFFF" w:val="clear"/>
                  <w:tcMar>
                    <w:top w:type="dxa" w:w="70"/>
                    <w:left w:type="dxa" w:w="100"/>
                    <w:bottom w:type="dxa" w:w="70"/>
                    <w:right w:type="dxa" w:w="100"/>
                  </w:tcMar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0F2D4A"/>
                      <w:sz w:val="18"/>
                      <w:szCs w:val="18"/>
                    </w:rPr>
                    <w:t xml:space="preserve">🤖 Tokens IA/mes</w:t>
                  </w:r>
                </w:p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B45309"/>
                      <w:sz w:val="20"/>
                      <w:szCs w:val="20"/>
                    </w:rPr>
                    <w:t xml:space="preserve">3,000,000</w:t>
                  </w:r>
                </w:p>
              </w:tc>
            </w:tr>
          </w:tbl>
          <w:p>
            <w:pPr>
              <w:spacing w:after="80" w:before="0"/>
            </w:pPr>
            <w:r>
              <w:t xml:space="preserve"/>
            </w:r>
          </w:p>
          <w:p>
            <w:pPr>
              <w:spacing w:after="50" w:before="0"/>
            </w:pPr>
            <w:r>
              <w:rPr>
                <w:rFonts w:ascii="Arial" w:cs="Arial" w:eastAsia="Arial" w:hAnsi="Arial"/>
                <w:b/>
                <w:bCs/>
                <w:color w:val="B45309"/>
                <w:sz w:val="19"/>
                <w:szCs w:val="19"/>
              </w:rPr>
              <w:t xml:space="preserve">✅ Incluye: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6" w:before="36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Todo lo incluido en EA Starter, mas: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6" w:before="36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Hasta 15 clientes activos simultaneos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6" w:before="36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ASISTENTE CICERO COMPLETO: genera borrador del informe de auditoria completo — opinion, alcance, hallazgos, conclusion. El socio revisa y firma.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6" w:before="36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AGENTE SCRIPTORIUM: redaccion asistida de papeles de trabajo y hallazgos con contexto NIA especifico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6" w:before="36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CONFIRMACIONES EXTERNAS (CIRCULARIZACION): cartas de banco, clientes, abogados y proveedores — envio, seguimiento, conciliacion segun NIA 505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6" w:before="36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RAG NIIF/IFRS COMPLETO: acceso a las 41 NIIF vigentes para sugerencia de criterios en tiempo real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6" w:before="36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RAG NIA/ISA COMPLETO: todos los estandares ISA disponibles para el asistente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6" w:before="36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ANALISIS DE DATOS: conecta con Excel/CSV del cliente, 40 CAATs — analisis de GL, CxP, CxC, nomina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6" w:before="36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TRIANGULO DE RIESGO DE AUDITORIA completo con calculo de tamano de muestra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6" w:before="36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PLANTILLAS ESPECIALIZADAS: cuestionarios de evaluacion de controles por proceso, guias de entrevista, papeles de recalculo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6" w:before="36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CARTA DE GERENCIA automatica: genera la carta con las deficiencias identificadas durante el encargo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6" w:before="36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ASIGNACION DE ENCARGOS: gestor de proyectos por cliente con equipo asignado, plazos y presupuesto de horas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6" w:before="36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Soporte chat en espanol — 24h habiles</w:t>
            </w:r>
          </w:p>
          <w:p>
            <w:pPr>
              <w:spacing w:after="70" w:before="0"/>
            </w:pPr>
            <w:r>
              <w:t xml:space="preserve"/>
            </w:r>
          </w:p>
          <w:p>
            <w:pPr>
              <w:spacing w:after="30" w:before="0"/>
            </w:pPr>
            <w:r>
              <w:rPr>
                <w:rFonts w:ascii="Arial" w:cs="Arial" w:eastAsia="Arial" w:hAnsi="Arial"/>
                <w:b/>
                <w:bCs/>
                <w:color w:val="B45309"/>
                <w:sz w:val="19"/>
                <w:szCs w:val="19"/>
              </w:rPr>
              <w:t xml:space="preserve">⭐ Lo que lo hace unico: </w:t>
            </w:r>
            <w:r>
              <w:rPr>
                <w:rFonts w:ascii="Arial" w:cs="Arial" w:eastAsia="Arial" w:hAnsi="Arial"/>
                <w:i/>
                <w:iCs/>
                <w:color w:val="1A1A1A"/>
                <w:sz w:val="19"/>
                <w:szCs w:val="19"/>
              </w:rPr>
              <w:t xml:space="preserve">La firma de 2-8 auditores tiene la potencia de una firma mediana. El Agente Cicero redacta el informe, el RAG de NIIF sugiere los criterios correctos y la circularizacion se gestiona desde el sistema — no desde el correo electronico.</w:t>
            </w:r>
          </w:p>
        </w:tc>
      </w:tr>
    </w:tbl>
    <w:p>
      <w:pPr>
        <w:spacing w:after="8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1D4ED8" w:sz="1"/>
              <w:left w:val="single" w:color="1D4ED8" w:sz="1"/>
              <w:bottom w:val="single" w:color="1D4ED8" w:sz="1"/>
              <w:right w:val="single" w:color="1D4ED8" w:sz="1"/>
            </w:tcBorders>
            <w:shd w:fill="DBEAFE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tbl>
            <w:tblPr>
              <w:tblW w:type="dxa" w:w="892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8920"/>
            </w:tblGrid>
            <w:tr>
              <w:tc>
                <w:tcPr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1D4ED8" w:val="clear"/>
                  <w:tcMar>
                    <w:top w:type="dxa" w:w="50"/>
                    <w:left w:type="dxa" w:w="0"/>
                    <w:bottom w:type="dxa" w:w="50"/>
                    <w:right w:type="dxa" w:w="0"/>
                  </w:tcMar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8"/>
                      <w:szCs w:val="18"/>
                    </w:rPr>
                    <w:t xml:space="preserve">★  MAYOR VALOR — ROI comprobado en menos de 30 dias  ★</w:t>
                  </w:r>
                </w:p>
              </w:tc>
            </w:tr>
          </w:tbl>
          <w:p>
            <w:pPr>
              <w:spacing w:after="60" w:before="0"/>
            </w:pPr>
            <w:r>
              <w:t xml:space="preserve"/>
            </w:r>
          </w:p>
          <w:tbl>
            <w:tblPr>
              <w:tblW w:type="dxa" w:w="892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5200"/>
              <w:gridCol w:w="3720"/>
            </w:tblGrid>
            <w:tr>
              <w:tc>
                <w:tcPr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40" w:before="0"/>
                  </w:pPr>
                  <w:r>
                    <w:rPr>
                      <w:rFonts w:ascii="Arial" w:cs="Arial" w:eastAsia="Arial" w:hAnsi="Arial"/>
                      <w:sz w:val="26"/>
                      <w:szCs w:val="26"/>
                    </w:rPr>
                    <w:t xml:space="preserve">🥇  </w:t>
                  </w:r>
                  <w:r>
                    <w:rPr>
                      <w:rFonts w:ascii="Arial" w:cs="Arial" w:eastAsia="Arial" w:hAnsi="Arial"/>
                      <w:b/>
                      <w:bCs/>
                      <w:color w:val="1D4ED8"/>
                      <w:sz w:val="28"/>
                      <w:szCs w:val="28"/>
                    </w:rPr>
                    <w:t xml:space="preserve">EA Firma</w:t>
                  </w:r>
                </w:p>
                <w:p>
                  <w:r>
                    <w:rPr>
                      <w:rFonts w:ascii="Arial" w:cs="Arial" w:eastAsia="Arial" w:hAnsi="Arial"/>
                      <w:i/>
                      <w:iCs/>
                      <w:color w:val="4A4A4A"/>
                      <w:sz w:val="19"/>
                      <w:szCs w:val="19"/>
                    </w:rPr>
                    <w:t xml:space="preserve">Para firmas medianas de auditoria</w:t>
                  </w:r>
                </w:p>
              </w:tc>
              <w:tc>
                <w:tcPr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1D4ED8" w:val="clear"/>
                  <w:tcMar>
                    <w:top w:type="dxa" w:w="60"/>
                    <w:left w:type="dxa" w:w="120"/>
                    <w:bottom w:type="dxa" w:w="60"/>
                    <w:right w:type="dxa" w:w="120"/>
                  </w:tcMar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38"/>
                      <w:szCs w:val="38"/>
                    </w:rPr>
                    <w:t xml:space="preserve">$749/mes</w:t>
                  </w:r>
                </w:p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color w:val="DDEEEE"/>
                      <w:sz w:val="17"/>
                      <w:szCs w:val="17"/>
                    </w:rPr>
                    <w:t xml:space="preserve">Hasta 25 auditores | Facturacion anual</w:t>
                  </w:r>
                </w:p>
              </w:tc>
            </w:tr>
          </w:tbl>
          <w:p>
            <w:pPr>
              <w:spacing w:after="80" w:before="0"/>
            </w:pPr>
            <w:r>
              <w:t xml:space="preserve"/>
            </w:r>
          </w:p>
          <w:tbl>
            <w:tblPr>
              <w:tblW w:type="dxa" w:w="892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2860"/>
              <w:gridCol w:w="160"/>
              <w:gridCol w:w="2860"/>
              <w:gridCol w:w="160"/>
              <w:gridCol w:w="2840"/>
            </w:tblGrid>
            <w:tr>
              <w:tc>
                <w:tcPr>
                  <w:tcBorders>
                    <w:top w:val="single" w:color="1D4ED8" w:sz="1"/>
                    <w:left w:val="single" w:color="1D4ED8" w:sz="1"/>
                    <w:bottom w:val="single" w:color="1D4ED8" w:sz="1"/>
                    <w:right w:val="single" w:color="1D4ED8" w:sz="1"/>
                  </w:tcBorders>
                  <w:shd w:fill="FFFFFF" w:val="clear"/>
                  <w:tcMar>
                    <w:top w:type="dxa" w:w="70"/>
                    <w:left w:type="dxa" w:w="100"/>
                    <w:bottom w:type="dxa" w:w="70"/>
                    <w:right w:type="dxa" w:w="100"/>
                  </w:tcMar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0F2D4A"/>
                      <w:sz w:val="18"/>
                      <w:szCs w:val="18"/>
                    </w:rPr>
                    <w:t xml:space="preserve">👥 Usuarios</w:t>
                  </w:r>
                </w:p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1D4ED8"/>
                      <w:sz w:val="20"/>
                      <w:szCs w:val="20"/>
                    </w:rPr>
                    <w:t xml:space="preserve">25 auditores + ilimitados clientes</w:t>
                  </w:r>
                </w:p>
              </w:tc>
              <w:tc>
                <w:tcPr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</w:tcPr>
                <w:p>
                  <w:pPr>
                    <w:spacing w:after="120" w:before="0"/>
                  </w:pPr>
                  <w:r>
                    <w:t xml:space="preserve"/>
                  </w:r>
                </w:p>
              </w:tc>
              <w:tc>
                <w:tcPr>
                  <w:tcBorders>
                    <w:top w:val="single" w:color="1D4ED8" w:sz="1"/>
                    <w:left w:val="single" w:color="1D4ED8" w:sz="1"/>
                    <w:bottom w:val="single" w:color="1D4ED8" w:sz="1"/>
                    <w:right w:val="single" w:color="1D4ED8" w:sz="1"/>
                  </w:tcBorders>
                  <w:shd w:fill="FFFFFF" w:val="clear"/>
                  <w:tcMar>
                    <w:top w:type="dxa" w:w="70"/>
                    <w:left w:type="dxa" w:w="100"/>
                    <w:bottom w:type="dxa" w:w="70"/>
                    <w:right w:type="dxa" w:w="100"/>
                  </w:tcMar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0F2D4A"/>
                      <w:sz w:val="18"/>
                      <w:szCs w:val="18"/>
                    </w:rPr>
                    <w:t xml:space="preserve">💾 Storage</w:t>
                  </w:r>
                </w:p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1D4ED8"/>
                      <w:sz w:val="20"/>
                      <w:szCs w:val="20"/>
                    </w:rPr>
                    <w:t xml:space="preserve">300 GB</w:t>
                  </w:r>
                </w:p>
              </w:tc>
              <w:tc>
                <w:tcPr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</w:tcPr>
                <w:p>
                  <w:pPr>
                    <w:spacing w:after="120" w:before="0"/>
                  </w:pPr>
                  <w:r>
                    <w:t xml:space="preserve"/>
                  </w:r>
                </w:p>
              </w:tc>
              <w:tc>
                <w:tcPr>
                  <w:tcBorders>
                    <w:top w:val="single" w:color="1D4ED8" w:sz="1"/>
                    <w:left w:val="single" w:color="1D4ED8" w:sz="1"/>
                    <w:bottom w:val="single" w:color="1D4ED8" w:sz="1"/>
                    <w:right w:val="single" w:color="1D4ED8" w:sz="1"/>
                  </w:tcBorders>
                  <w:shd w:fill="FFFFFF" w:val="clear"/>
                  <w:tcMar>
                    <w:top w:type="dxa" w:w="70"/>
                    <w:left w:type="dxa" w:w="100"/>
                    <w:bottom w:type="dxa" w:w="70"/>
                    <w:right w:type="dxa" w:w="100"/>
                  </w:tcMar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0F2D4A"/>
                      <w:sz w:val="18"/>
                      <w:szCs w:val="18"/>
                    </w:rPr>
                    <w:t xml:space="preserve">🤖 Tokens IA/mes</w:t>
                  </w:r>
                </w:p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1D4ED8"/>
                      <w:sz w:val="20"/>
                      <w:szCs w:val="20"/>
                    </w:rPr>
                    <w:t xml:space="preserve">10,000,000</w:t>
                  </w:r>
                </w:p>
              </w:tc>
            </w:tr>
          </w:tbl>
          <w:p>
            <w:pPr>
              <w:spacing w:after="80" w:before="0"/>
            </w:pPr>
            <w:r>
              <w:t xml:space="preserve"/>
            </w:r>
          </w:p>
          <w:p>
            <w:pPr>
              <w:spacing w:after="50" w:before="0"/>
            </w:pPr>
            <w:r>
              <w:rPr>
                <w:rFonts w:ascii="Arial" w:cs="Arial" w:eastAsia="Arial" w:hAnsi="Arial"/>
                <w:b/>
                <w:bCs/>
                <w:color w:val="1D4ED8"/>
                <w:sz w:val="19"/>
                <w:szCs w:val="19"/>
              </w:rPr>
              <w:t xml:space="preserve">✅ Incluye: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6" w:before="36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Todo lo incluido en EA Professional, mas: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6" w:before="36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Clientes activos ILIMITADOS — sin restriccion por numero de encargos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6" w:before="36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TODOS LOS AGENTES IA: Scriptorium, Cicero, Hermes, Argus, Atlas, Lex, Fenix — todos disponibles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6" w:before="36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AGENTE ATLAS (AUDITORIA TI): procedimientos COBIT/NIST/ISO 27001 completos — para encargos de auditoria de TI de los clientes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6" w:before="36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AGENTE ARGUS COMPLETO: analisis del 100% de transacciones del cliente con Ensemble AI — deteccion de anomalias sin parametros predefinidos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6" w:before="36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ANALISIS AVANZADO: 100+ CAATs, conectores ERP (SAP, Oracle, Dynamics, QuickBooks), Ley de Benford automatica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6" w:before="36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SKILLS ESPECIALIZADOS: TI, Financiero Avanzado, Prevencion de Fraude (ACFE), Compliance (NIIF sector especifico)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6" w:before="36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PANEL DE REVISION DEL SOCIO: analisis automatico de calidad de todos los papeles del encargo, risk flags, score consolidado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6" w:before="36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MULTI-CLIENTE DASHBOARD: vista del socio con todos los encargos activos, vencimientos, estado y alertas criticas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6" w:before="36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GESTION DE HORAS: presupuesto de horas por encargo vs. ejecutado — rentabilidad por cliente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6" w:before="36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INFORME DE HALLAZGOS FORENSE: para encargos de investigacion especial con protocolo ACFE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6" w:before="36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SSO empresarial con Azure AD / Google Workspace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6" w:before="36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API REST para integrar con el sistema de facturacion de la firma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6" w:before="36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Soporte prioritario — respuesta en 8h habiles</w:t>
            </w:r>
          </w:p>
          <w:p>
            <w:pPr>
              <w:spacing w:after="70" w:before="0"/>
            </w:pPr>
            <w:r>
              <w:t xml:space="preserve"/>
            </w:r>
          </w:p>
          <w:p>
            <w:pPr>
              <w:spacing w:after="30" w:before="0"/>
            </w:pPr>
            <w:r>
              <w:rPr>
                <w:rFonts w:ascii="Arial" w:cs="Arial" w:eastAsia="Arial" w:hAnsi="Arial"/>
                <w:b/>
                <w:bCs/>
                <w:color w:val="1D4ED8"/>
                <w:sz w:val="19"/>
                <w:szCs w:val="19"/>
              </w:rPr>
              <w:t xml:space="preserve">⭐ Lo que lo hace unico: </w:t>
            </w:r>
            <w:r>
              <w:rPr>
                <w:rFonts w:ascii="Arial" w:cs="Arial" w:eastAsia="Arial" w:hAnsi="Arial"/>
                <w:i/>
                <w:iCs/>
                <w:color w:val="1A1A1A"/>
                <w:sz w:val="19"/>
                <w:szCs w:val="19"/>
              </w:rPr>
              <w:t xml:space="preserve">La firma mediana compite con firmas grandes. El Agente Argus analiza el 100% de las transacciones del cliente en minutos — lo que antes tomaba dias de muestreo. El Panel del Socio da visibilidad de todos los encargos en un solo dashboard.</w:t>
            </w:r>
          </w:p>
        </w:tc>
      </w:tr>
    </w:tbl>
    <w:p>
      <w:pPr>
        <w:spacing w:after="8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065F46" w:sz="1"/>
              <w:left w:val="single" w:color="065F46" w:sz="1"/>
              <w:bottom w:val="single" w:color="065F46" w:sz="1"/>
              <w:right w:val="single" w:color="065F46" w:sz="1"/>
            </w:tcBorders>
            <w:shd w:fill="D1FAE5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tbl>
            <w:tblPr>
              <w:tblW w:type="dxa" w:w="892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5200"/>
              <w:gridCol w:w="3720"/>
            </w:tblGrid>
            <w:tr>
              <w:tc>
                <w:tcPr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40" w:before="0"/>
                  </w:pPr>
                  <w:r>
                    <w:rPr>
                      <w:rFonts w:ascii="Arial" w:cs="Arial" w:eastAsia="Arial" w:hAnsi="Arial"/>
                      <w:sz w:val="26"/>
                      <w:szCs w:val="26"/>
                    </w:rPr>
                    <w:t xml:space="preserve">👑  </w:t>
                  </w:r>
                  <w:r>
                    <w:rPr>
                      <w:rFonts w:ascii="Arial" w:cs="Arial" w:eastAsia="Arial" w:hAnsi="Arial"/>
                      <w:b/>
                      <w:bCs/>
                      <w:color w:val="065F46"/>
                      <w:sz w:val="28"/>
                      <w:szCs w:val="28"/>
                    </w:rPr>
                    <w:t xml:space="preserve">EA Gran Firma</w:t>
                  </w:r>
                </w:p>
                <w:p>
                  <w:r>
                    <w:rPr>
                      <w:rFonts w:ascii="Arial" w:cs="Arial" w:eastAsia="Arial" w:hAnsi="Arial"/>
                      <w:i/>
                      <w:iCs/>
                      <w:color w:val="4A4A4A"/>
                      <w:sz w:val="19"/>
                      <w:szCs w:val="19"/>
                    </w:rPr>
                    <w:t xml:space="preserve">Para firmas grandes y redes regionales</w:t>
                  </w:r>
                </w:p>
              </w:tc>
              <w:tc>
                <w:tcPr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065F46" w:val="clear"/>
                  <w:tcMar>
                    <w:top w:type="dxa" w:w="60"/>
                    <w:left w:type="dxa" w:w="120"/>
                    <w:bottom w:type="dxa" w:w="60"/>
                    <w:right w:type="dxa" w:w="120"/>
                  </w:tcMar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38"/>
                      <w:szCs w:val="38"/>
                    </w:rPr>
                    <w:t xml:space="preserve">$1,799/mes</w:t>
                  </w:r>
                </w:p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color w:val="DDEEEE"/>
                      <w:sz w:val="17"/>
                      <w:szCs w:val="17"/>
                    </w:rPr>
                    <w:t xml:space="preserve">Usuarios ilimitados | Facturacion anual</w:t>
                  </w:r>
                </w:p>
              </w:tc>
            </w:tr>
          </w:tbl>
          <w:p>
            <w:pPr>
              <w:spacing w:after="80" w:before="0"/>
            </w:pPr>
            <w:r>
              <w:t xml:space="preserve"/>
            </w:r>
          </w:p>
          <w:tbl>
            <w:tblPr>
              <w:tblW w:type="dxa" w:w="892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2860"/>
              <w:gridCol w:w="160"/>
              <w:gridCol w:w="2860"/>
              <w:gridCol w:w="160"/>
              <w:gridCol w:w="2840"/>
            </w:tblGrid>
            <w:tr>
              <w:tc>
                <w:tcPr>
                  <w:tcBorders>
                    <w:top w:val="single" w:color="065F46" w:sz="1"/>
                    <w:left w:val="single" w:color="065F46" w:sz="1"/>
                    <w:bottom w:val="single" w:color="065F46" w:sz="1"/>
                    <w:right w:val="single" w:color="065F46" w:sz="1"/>
                  </w:tcBorders>
                  <w:shd w:fill="FFFFFF" w:val="clear"/>
                  <w:tcMar>
                    <w:top w:type="dxa" w:w="70"/>
                    <w:left w:type="dxa" w:w="100"/>
                    <w:bottom w:type="dxa" w:w="70"/>
                    <w:right w:type="dxa" w:w="100"/>
                  </w:tcMar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0F2D4A"/>
                      <w:sz w:val="18"/>
                      <w:szCs w:val="18"/>
                    </w:rPr>
                    <w:t xml:space="preserve">👥 Usuarios</w:t>
                  </w:r>
                </w:p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065F46"/>
                      <w:sz w:val="20"/>
                      <w:szCs w:val="20"/>
                    </w:rPr>
                    <w:t xml:space="preserve">Ilimitados</w:t>
                  </w:r>
                </w:p>
              </w:tc>
              <w:tc>
                <w:tcPr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</w:tcPr>
                <w:p>
                  <w:pPr>
                    <w:spacing w:after="120" w:before="0"/>
                  </w:pPr>
                  <w:r>
                    <w:t xml:space="preserve"/>
                  </w:r>
                </w:p>
              </w:tc>
              <w:tc>
                <w:tcPr>
                  <w:tcBorders>
                    <w:top w:val="single" w:color="065F46" w:sz="1"/>
                    <w:left w:val="single" w:color="065F46" w:sz="1"/>
                    <w:bottom w:val="single" w:color="065F46" w:sz="1"/>
                    <w:right w:val="single" w:color="065F46" w:sz="1"/>
                  </w:tcBorders>
                  <w:shd w:fill="FFFFFF" w:val="clear"/>
                  <w:tcMar>
                    <w:top w:type="dxa" w:w="70"/>
                    <w:left w:type="dxa" w:w="100"/>
                    <w:bottom w:type="dxa" w:w="70"/>
                    <w:right w:type="dxa" w:w="100"/>
                  </w:tcMar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0F2D4A"/>
                      <w:sz w:val="18"/>
                      <w:szCs w:val="18"/>
                    </w:rPr>
                    <w:t xml:space="preserve">💾 Storage</w:t>
                  </w:r>
                </w:p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065F46"/>
                      <w:sz w:val="20"/>
                      <w:szCs w:val="20"/>
                    </w:rPr>
                    <w:t xml:space="preserve">2 TB</w:t>
                  </w:r>
                </w:p>
              </w:tc>
              <w:tc>
                <w:tcPr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</w:tcPr>
                <w:p>
                  <w:pPr>
                    <w:spacing w:after="120" w:before="0"/>
                  </w:pPr>
                  <w:r>
                    <w:t xml:space="preserve"/>
                  </w:r>
                </w:p>
              </w:tc>
              <w:tc>
                <w:tcPr>
                  <w:tcBorders>
                    <w:top w:val="single" w:color="065F46" w:sz="1"/>
                    <w:left w:val="single" w:color="065F46" w:sz="1"/>
                    <w:bottom w:val="single" w:color="065F46" w:sz="1"/>
                    <w:right w:val="single" w:color="065F46" w:sz="1"/>
                  </w:tcBorders>
                  <w:shd w:fill="FFFFFF" w:val="clear"/>
                  <w:tcMar>
                    <w:top w:type="dxa" w:w="70"/>
                    <w:left w:type="dxa" w:w="100"/>
                    <w:bottom w:type="dxa" w:w="70"/>
                    <w:right w:type="dxa" w:w="100"/>
                  </w:tcMar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0F2D4A"/>
                      <w:sz w:val="18"/>
                      <w:szCs w:val="18"/>
                    </w:rPr>
                    <w:t xml:space="preserve">🤖 Tokens IA/mes</w:t>
                  </w:r>
                </w:p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065F46"/>
                      <w:sz w:val="20"/>
                      <w:szCs w:val="20"/>
                    </w:rPr>
                    <w:t xml:space="preserve">Ilimitados</w:t>
                  </w:r>
                </w:p>
              </w:tc>
            </w:tr>
          </w:tbl>
          <w:p>
            <w:pPr>
              <w:spacing w:after="80" w:before="0"/>
            </w:pPr>
            <w:r>
              <w:t xml:space="preserve"/>
            </w:r>
          </w:p>
          <w:p>
            <w:pPr>
              <w:spacing w:after="50" w:before="0"/>
            </w:pPr>
            <w:r>
              <w:rPr>
                <w:rFonts w:ascii="Arial" w:cs="Arial" w:eastAsia="Arial" w:hAnsi="Arial"/>
                <w:b/>
                <w:bCs/>
                <w:color w:val="065F46"/>
                <w:sz w:val="19"/>
                <w:szCs w:val="19"/>
              </w:rPr>
              <w:t xml:space="preserve">✅ Incluye: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6" w:before="36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Todo lo incluido en EA Firma, mas: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6" w:before="36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MULTI-OFICINA: gestion de multiples oficinas o sedes de la firma — consolidado y por sede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6" w:before="36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AGENTE SHERLOCK — INVESTIGACIONES: modo forense completo para encargos especiales — cadena de custodia SHA-256, acceso ultrarestringido, memorando forense ACFE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6" w:before="36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CONTROL DE CALIDAD DE LA FIRMA (QC): sistema de revision de calidad de encargos segun ISQM 1 (NICC 1) — evaluacion de conformidad de la firma con estandares de calidad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6" w:before="36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GESTION DE INDEPENDENCIA: registro de amenazas a la independencia, relaciones con clientes, confirmacion anual de independencia por socio segun NIA 200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6" w:before="36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COTIZADOR DE ENCARGOS: estimacion de horas y honorarios con base en el tipo de encargo, tamano del cliente y complejidad — presupuesto instantaneo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6" w:before="36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PORTAL DEL SOCIO ADMINISTRADOR: vista de rentabilidad por cliente, por socio, por tipo de encargo — P&amp;L de la firma en tiempo real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6" w:before="36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BENCHMARK DE LA FIRMA: comparacion de eficiencia y calidad vs. estandares del mercado de auditoria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6" w:before="36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FINE-TUNING de agentes: los agentes aprenden la metodologia y plantillas propias de la firma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6" w:before="36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FORMACION INTEGRADA: modulo de capacitacion para nuevos auditores — cursos, evaluaciones y seguimiento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6" w:before="36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ONBOARDING DEDICADO: 5 sesiones con especialista + migracion asistida de datos historicos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6" w:before="36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SOPORTE VIP: linea dedicada — respuesta en 1h habiles + sesion quincenal de optimization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6" w:before="36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SLA 99.9% garantizado + disaster recovery documentado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6" w:before="36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Contrato personalizado con condiciones especiales para redes regionales</w:t>
            </w:r>
          </w:p>
          <w:p>
            <w:pPr>
              <w:spacing w:after="70" w:before="0"/>
            </w:pPr>
            <w:r>
              <w:t xml:space="preserve"/>
            </w:r>
          </w:p>
          <w:p>
            <w:pPr>
              <w:spacing w:after="30" w:before="0"/>
            </w:pPr>
            <w:r>
              <w:rPr>
                <w:rFonts w:ascii="Arial" w:cs="Arial" w:eastAsia="Arial" w:hAnsi="Arial"/>
                <w:b/>
                <w:bCs/>
                <w:color w:val="065F46"/>
                <w:sz w:val="19"/>
                <w:szCs w:val="19"/>
              </w:rPr>
              <w:t xml:space="preserve">⭐ Lo que lo hace unico: </w:t>
            </w:r>
            <w:r>
              <w:rPr>
                <w:rFonts w:ascii="Arial" w:cs="Arial" w:eastAsia="Arial" w:hAnsi="Arial"/>
                <w:i/>
                <w:iCs/>
                <w:color w:val="1A1A1A"/>
                <w:sz w:val="19"/>
                <w:szCs w:val="19"/>
              </w:rPr>
              <w:t xml:space="preserve">La firma grande tiene el sistema que las Big Four tienen internamente — pero adaptado al mercado latinoamericano. La gestion de independencia, el control de calidad ISQM1 y el cotizador de encargos son capacidades que ningun competidor regional ofrece.</w:t>
            </w:r>
          </w:p>
        </w:tc>
      </w:tr>
    </w:tbl>
    <w:p>
      <w:pPr>
        <w:spacing w:after="100" w:before="0"/>
      </w:pPr>
      <w:r>
        <w:t xml:space="preserve"/>
      </w:r>
    </w:p>
    <w:p>
      <w:pPr>
        <w:pStyle w:val="Heading2"/>
        <w:spacing w:after="110" w:before="240"/>
      </w:pPr>
      <w:r>
        <w:rPr>
          <w:rFonts w:ascii="Arial" w:cs="Arial" w:eastAsia="Arial" w:hAnsi="Arial"/>
          <w:b/>
          <w:bCs/>
          <w:color w:val="BE185D"/>
          <w:sz w:val="27"/>
          <w:szCs w:val="27"/>
        </w:rPr>
        <w:t xml:space="preserve">Tabla Comparativa — Auditoria Externa</w:t>
      </w:r>
    </w:p>
    <w:p>
      <w:pPr>
        <w:spacing w:after="6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40"/>
        <w:gridCol w:w="1400"/>
        <w:gridCol w:w="1500"/>
        <w:gridCol w:w="1600"/>
        <w:gridCol w:w="1620"/>
      </w:tblGrid>
      <w:tr>
        <w:trPr>
          <w:tblHeader/>
        </w:trPr>
        <w:tc>
          <w:tcPr>
            <w:tcW w:type="dxa" w:w="3240"/>
            <w:tcBorders>
              <w:top w:val="single" w:color="2E7DD1" w:sz="1"/>
              <w:left w:val="single" w:color="2E7DD1" w:sz="1"/>
              <w:bottom w:val="single" w:color="2E7DD1" w:sz="1"/>
              <w:right w:val="single" w:color="2E7DD1" w:sz="1"/>
            </w:tcBorders>
            <w:shd w:fill="0F2D4A" w:val="clear"/>
            <w:tcMar>
              <w:top w:type="dxa" w:w="85"/>
              <w:left w:type="dxa" w:w="110"/>
              <w:bottom w:type="dxa" w:w="85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Funcionalidad</w:t>
            </w:r>
          </w:p>
        </w:tc>
        <w:tc>
          <w:tcPr>
            <w:tcW w:type="dxa" w:w="1400"/>
            <w:tcBorders>
              <w:top w:val="single" w:color="2E7DD1" w:sz="1"/>
              <w:left w:val="single" w:color="2E7DD1" w:sz="1"/>
              <w:bottom w:val="single" w:color="2E7DD1" w:sz="1"/>
              <w:right w:val="single" w:color="2E7DD1" w:sz="1"/>
            </w:tcBorders>
            <w:shd w:fill="BE185D" w:val="clear"/>
            <w:tcMar>
              <w:top w:type="dxa" w:w="85"/>
              <w:left w:type="dxa" w:w="60"/>
              <w:bottom w:type="dxa" w:w="85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Starter
$119/mes</w:t>
            </w:r>
          </w:p>
        </w:tc>
        <w:tc>
          <w:tcPr>
            <w:tcW w:type="dxa" w:w="1500"/>
            <w:tcBorders>
              <w:top w:val="single" w:color="2E7DD1" w:sz="1"/>
              <w:left w:val="single" w:color="2E7DD1" w:sz="1"/>
              <w:bottom w:val="single" w:color="2E7DD1" w:sz="1"/>
              <w:right w:val="single" w:color="2E7DD1" w:sz="1"/>
            </w:tcBorders>
            <w:shd w:fill="B45309" w:val="clear"/>
            <w:tcMar>
              <w:top w:type="dxa" w:w="85"/>
              <w:left w:type="dxa" w:w="60"/>
              <w:bottom w:type="dxa" w:w="85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Professional
$329/mes</w:t>
            </w:r>
          </w:p>
        </w:tc>
        <w:tc>
          <w:tcPr>
            <w:tcW w:type="dxa" w:w="1600"/>
            <w:tcBorders>
              <w:top w:val="single" w:color="2E7DD1" w:sz="1"/>
              <w:left w:val="single" w:color="2E7DD1" w:sz="1"/>
              <w:bottom w:val="single" w:color="2E7DD1" w:sz="1"/>
              <w:right w:val="single" w:color="2E7DD1" w:sz="1"/>
            </w:tcBorders>
            <w:shd w:fill="1D4ED8" w:val="clear"/>
            <w:tcMar>
              <w:top w:type="dxa" w:w="85"/>
              <w:left w:type="dxa" w:w="60"/>
              <w:bottom w:type="dxa" w:w="85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Firma
$749/mes</w:t>
            </w:r>
          </w:p>
        </w:tc>
        <w:tc>
          <w:tcPr>
            <w:tcW w:type="dxa" w:w="1620"/>
            <w:tcBorders>
              <w:top w:val="single" w:color="2E7DD1" w:sz="1"/>
              <w:left w:val="single" w:color="2E7DD1" w:sz="1"/>
              <w:bottom w:val="single" w:color="2E7DD1" w:sz="1"/>
              <w:right w:val="single" w:color="2E7DD1" w:sz="1"/>
            </w:tcBorders>
            <w:shd w:fill="065F46" w:val="clear"/>
            <w:tcMar>
              <w:top w:type="dxa" w:w="85"/>
              <w:left w:type="dxa" w:w="60"/>
              <w:bottom w:type="dxa" w:w="85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Gran Firma
$1,799/mes</w:t>
            </w:r>
          </w:p>
        </w:tc>
      </w:tr>
      <w:tr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Papeles de trabajo electronicos NIA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F0E3" w:val="clear"/>
            <w:tcMar>
              <w:top w:type="dxa" w:w="65"/>
              <w:left w:type="dxa" w:w="80"/>
              <w:bottom w:type="dxa" w:w="65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✅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F0E3" w:val="clear"/>
            <w:tcMar>
              <w:top w:type="dxa" w:w="65"/>
              <w:left w:type="dxa" w:w="80"/>
              <w:bottom w:type="dxa" w:w="65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✅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F0E3" w:val="clear"/>
            <w:tcMar>
              <w:top w:type="dxa" w:w="65"/>
              <w:left w:type="dxa" w:w="80"/>
              <w:bottom w:type="dxa" w:w="65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✅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F0E3" w:val="clear"/>
            <w:tcMar>
              <w:top w:type="dxa" w:w="65"/>
              <w:left w:type="dxa" w:w="80"/>
              <w:bottom w:type="dxa" w:w="65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✅</w:t>
            </w:r>
          </w:p>
        </w:tc>
      </w:tr>
      <w:tr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Materialidad NIA 320 + Triangulo RI/RC/RD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F0E3" w:val="clear"/>
            <w:tcMar>
              <w:top w:type="dxa" w:w="65"/>
              <w:left w:type="dxa" w:w="80"/>
              <w:bottom w:type="dxa" w:w="65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✅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F0E3" w:val="clear"/>
            <w:tcMar>
              <w:top w:type="dxa" w:w="65"/>
              <w:left w:type="dxa" w:w="80"/>
              <w:bottom w:type="dxa" w:w="65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✅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F0E3" w:val="clear"/>
            <w:tcMar>
              <w:top w:type="dxa" w:w="65"/>
              <w:left w:type="dxa" w:w="80"/>
              <w:bottom w:type="dxa" w:w="65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✅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F0E3" w:val="clear"/>
            <w:tcMar>
              <w:top w:type="dxa" w:w="65"/>
              <w:left w:type="dxa" w:w="80"/>
              <w:bottom w:type="dxa" w:w="65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✅</w:t>
            </w:r>
          </w:p>
        </w:tc>
      </w:tr>
      <w:tr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Portal del cliente (hasta 5 activos)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F0E3" w:val="clear"/>
            <w:tcMar>
              <w:top w:type="dxa" w:w="65"/>
              <w:left w:type="dxa" w:w="80"/>
              <w:bottom w:type="dxa" w:w="65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✅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F0E3" w:val="clear"/>
            <w:tcMar>
              <w:top w:type="dxa" w:w="65"/>
              <w:left w:type="dxa" w:w="80"/>
              <w:bottom w:type="dxa" w:w="65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✅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F0E3" w:val="clear"/>
            <w:tcMar>
              <w:top w:type="dxa" w:w="65"/>
              <w:left w:type="dxa" w:w="80"/>
              <w:bottom w:type="dxa" w:w="65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✅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F0E3" w:val="clear"/>
            <w:tcMar>
              <w:top w:type="dxa" w:w="65"/>
              <w:left w:type="dxa" w:w="80"/>
              <w:bottom w:type="dxa" w:w="65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✅</w:t>
            </w:r>
          </w:p>
        </w:tc>
      </w:tr>
      <w:tr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Carta de representacion de gerencia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F0E3" w:val="clear"/>
            <w:tcMar>
              <w:top w:type="dxa" w:w="65"/>
              <w:left w:type="dxa" w:w="80"/>
              <w:bottom w:type="dxa" w:w="65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✅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F0E3" w:val="clear"/>
            <w:tcMar>
              <w:top w:type="dxa" w:w="65"/>
              <w:left w:type="dxa" w:w="80"/>
              <w:bottom w:type="dxa" w:w="65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✅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F0E3" w:val="clear"/>
            <w:tcMar>
              <w:top w:type="dxa" w:w="65"/>
              <w:left w:type="dxa" w:w="80"/>
              <w:bottom w:type="dxa" w:w="65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✅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F0E3" w:val="clear"/>
            <w:tcMar>
              <w:top w:type="dxa" w:w="65"/>
              <w:left w:type="dxa" w:w="80"/>
              <w:bottom w:type="dxa" w:w="65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✅</w:t>
            </w:r>
          </w:p>
        </w:tc>
      </w:tr>
      <w:tr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Informes de auditoria estandar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F0E3" w:val="clear"/>
            <w:tcMar>
              <w:top w:type="dxa" w:w="65"/>
              <w:left w:type="dxa" w:w="80"/>
              <w:bottom w:type="dxa" w:w="65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✅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F0E3" w:val="clear"/>
            <w:tcMar>
              <w:top w:type="dxa" w:w="65"/>
              <w:left w:type="dxa" w:w="80"/>
              <w:bottom w:type="dxa" w:w="65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✅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F0E3" w:val="clear"/>
            <w:tcMar>
              <w:top w:type="dxa" w:w="65"/>
              <w:left w:type="dxa" w:w="80"/>
              <w:bottom w:type="dxa" w:w="65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✅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F0E3" w:val="clear"/>
            <w:tcMar>
              <w:top w:type="dxa" w:w="65"/>
              <w:left w:type="dxa" w:w="80"/>
              <w:bottom w:type="dxa" w:w="65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✅</w:t>
            </w:r>
          </w:p>
        </w:tc>
      </w:tr>
      <w:tr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Hasta 15 clientes activos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DEC" w:val="clear"/>
            <w:tcMar>
              <w:top w:type="dxa" w:w="65"/>
              <w:left w:type="dxa" w:w="80"/>
              <w:bottom w:type="dxa" w:w="65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❌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F0E3" w:val="clear"/>
            <w:tcMar>
              <w:top w:type="dxa" w:w="65"/>
              <w:left w:type="dxa" w:w="80"/>
              <w:bottom w:type="dxa" w:w="65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✅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F0E3" w:val="clear"/>
            <w:tcMar>
              <w:top w:type="dxa" w:w="65"/>
              <w:left w:type="dxa" w:w="80"/>
              <w:bottom w:type="dxa" w:w="65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✅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F0E3" w:val="clear"/>
            <w:tcMar>
              <w:top w:type="dxa" w:w="65"/>
              <w:left w:type="dxa" w:w="80"/>
              <w:bottom w:type="dxa" w:w="65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✅</w:t>
            </w:r>
          </w:p>
        </w:tc>
      </w:tr>
      <w:tr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Agente Cicero (informe con opinion)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DEC" w:val="clear"/>
            <w:tcMar>
              <w:top w:type="dxa" w:w="65"/>
              <w:left w:type="dxa" w:w="80"/>
              <w:bottom w:type="dxa" w:w="65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❌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F0E3" w:val="clear"/>
            <w:tcMar>
              <w:top w:type="dxa" w:w="65"/>
              <w:left w:type="dxa" w:w="80"/>
              <w:bottom w:type="dxa" w:w="65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✅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F0E3" w:val="clear"/>
            <w:tcMar>
              <w:top w:type="dxa" w:w="65"/>
              <w:left w:type="dxa" w:w="80"/>
              <w:bottom w:type="dxa" w:w="65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✅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F0E3" w:val="clear"/>
            <w:tcMar>
              <w:top w:type="dxa" w:w="65"/>
              <w:left w:type="dxa" w:w="80"/>
              <w:bottom w:type="dxa" w:w="65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✅</w:t>
            </w:r>
          </w:p>
        </w:tc>
      </w:tr>
      <w:tr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Circularizacion / Confirmaciones NIA 505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DEC" w:val="clear"/>
            <w:tcMar>
              <w:top w:type="dxa" w:w="65"/>
              <w:left w:type="dxa" w:w="80"/>
              <w:bottom w:type="dxa" w:w="65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❌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F0E3" w:val="clear"/>
            <w:tcMar>
              <w:top w:type="dxa" w:w="65"/>
              <w:left w:type="dxa" w:w="80"/>
              <w:bottom w:type="dxa" w:w="65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✅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F0E3" w:val="clear"/>
            <w:tcMar>
              <w:top w:type="dxa" w:w="65"/>
              <w:left w:type="dxa" w:w="80"/>
              <w:bottom w:type="dxa" w:w="65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✅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F0E3" w:val="clear"/>
            <w:tcMar>
              <w:top w:type="dxa" w:w="65"/>
              <w:left w:type="dxa" w:w="80"/>
              <w:bottom w:type="dxa" w:w="65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✅</w:t>
            </w:r>
          </w:p>
        </w:tc>
      </w:tr>
      <w:tr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RAG NIIF + RAG NIA completos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DEC" w:val="clear"/>
            <w:tcMar>
              <w:top w:type="dxa" w:w="65"/>
              <w:left w:type="dxa" w:w="80"/>
              <w:bottom w:type="dxa" w:w="65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❌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F0E3" w:val="clear"/>
            <w:tcMar>
              <w:top w:type="dxa" w:w="65"/>
              <w:left w:type="dxa" w:w="80"/>
              <w:bottom w:type="dxa" w:w="65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✅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F0E3" w:val="clear"/>
            <w:tcMar>
              <w:top w:type="dxa" w:w="65"/>
              <w:left w:type="dxa" w:w="80"/>
              <w:bottom w:type="dxa" w:w="65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✅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F0E3" w:val="clear"/>
            <w:tcMar>
              <w:top w:type="dxa" w:w="65"/>
              <w:left w:type="dxa" w:w="80"/>
              <w:bottom w:type="dxa" w:w="65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✅</w:t>
            </w:r>
          </w:p>
        </w:tc>
      </w:tr>
      <w:tr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Analytics 40 CAATs (GL, CxP, Nomina)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DEC" w:val="clear"/>
            <w:tcMar>
              <w:top w:type="dxa" w:w="65"/>
              <w:left w:type="dxa" w:w="80"/>
              <w:bottom w:type="dxa" w:w="65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❌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F0E3" w:val="clear"/>
            <w:tcMar>
              <w:top w:type="dxa" w:w="65"/>
              <w:left w:type="dxa" w:w="80"/>
              <w:bottom w:type="dxa" w:w="65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✅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F0E3" w:val="clear"/>
            <w:tcMar>
              <w:top w:type="dxa" w:w="65"/>
              <w:left w:type="dxa" w:w="80"/>
              <w:bottom w:type="dxa" w:w="65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✅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F0E3" w:val="clear"/>
            <w:tcMar>
              <w:top w:type="dxa" w:w="65"/>
              <w:left w:type="dxa" w:w="80"/>
              <w:bottom w:type="dxa" w:w="65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✅</w:t>
            </w:r>
          </w:p>
        </w:tc>
      </w:tr>
      <w:tr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Clientes ilimitados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DEC" w:val="clear"/>
            <w:tcMar>
              <w:top w:type="dxa" w:w="65"/>
              <w:left w:type="dxa" w:w="80"/>
              <w:bottom w:type="dxa" w:w="65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❌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DEC" w:val="clear"/>
            <w:tcMar>
              <w:top w:type="dxa" w:w="65"/>
              <w:left w:type="dxa" w:w="80"/>
              <w:bottom w:type="dxa" w:w="65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❌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F0E3" w:val="clear"/>
            <w:tcMar>
              <w:top w:type="dxa" w:w="65"/>
              <w:left w:type="dxa" w:w="80"/>
              <w:bottom w:type="dxa" w:w="65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✅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F0E3" w:val="clear"/>
            <w:tcMar>
              <w:top w:type="dxa" w:w="65"/>
              <w:left w:type="dxa" w:w="80"/>
              <w:bottom w:type="dxa" w:w="65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✅</w:t>
            </w:r>
          </w:p>
        </w:tc>
      </w:tr>
      <w:tr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Agente Argus (100% transacciones)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DEC" w:val="clear"/>
            <w:tcMar>
              <w:top w:type="dxa" w:w="65"/>
              <w:left w:type="dxa" w:w="80"/>
              <w:bottom w:type="dxa" w:w="65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❌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DEC" w:val="clear"/>
            <w:tcMar>
              <w:top w:type="dxa" w:w="65"/>
              <w:left w:type="dxa" w:w="80"/>
              <w:bottom w:type="dxa" w:w="65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❌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F0E3" w:val="clear"/>
            <w:tcMar>
              <w:top w:type="dxa" w:w="65"/>
              <w:left w:type="dxa" w:w="80"/>
              <w:bottom w:type="dxa" w:w="65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✅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F0E3" w:val="clear"/>
            <w:tcMar>
              <w:top w:type="dxa" w:w="65"/>
              <w:left w:type="dxa" w:w="80"/>
              <w:bottom w:type="dxa" w:w="65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✅</w:t>
            </w:r>
          </w:p>
        </w:tc>
      </w:tr>
      <w:tr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Auditoria de TI (Atlas / COBIT/NIST)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DEC" w:val="clear"/>
            <w:tcMar>
              <w:top w:type="dxa" w:w="65"/>
              <w:left w:type="dxa" w:w="80"/>
              <w:bottom w:type="dxa" w:w="65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❌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DEC" w:val="clear"/>
            <w:tcMar>
              <w:top w:type="dxa" w:w="65"/>
              <w:left w:type="dxa" w:w="80"/>
              <w:bottom w:type="dxa" w:w="65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❌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F0E3" w:val="clear"/>
            <w:tcMar>
              <w:top w:type="dxa" w:w="65"/>
              <w:left w:type="dxa" w:w="80"/>
              <w:bottom w:type="dxa" w:w="65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✅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F0E3" w:val="clear"/>
            <w:tcMar>
              <w:top w:type="dxa" w:w="65"/>
              <w:left w:type="dxa" w:w="80"/>
              <w:bottom w:type="dxa" w:w="65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✅</w:t>
            </w:r>
          </w:p>
        </w:tc>
      </w:tr>
      <w:tr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Panel del Socio (todos los encargos)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DEC" w:val="clear"/>
            <w:tcMar>
              <w:top w:type="dxa" w:w="65"/>
              <w:left w:type="dxa" w:w="80"/>
              <w:bottom w:type="dxa" w:w="65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❌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DEC" w:val="clear"/>
            <w:tcMar>
              <w:top w:type="dxa" w:w="65"/>
              <w:left w:type="dxa" w:w="80"/>
              <w:bottom w:type="dxa" w:w="65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❌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F0E3" w:val="clear"/>
            <w:tcMar>
              <w:top w:type="dxa" w:w="65"/>
              <w:left w:type="dxa" w:w="80"/>
              <w:bottom w:type="dxa" w:w="65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✅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F0E3" w:val="clear"/>
            <w:tcMar>
              <w:top w:type="dxa" w:w="65"/>
              <w:left w:type="dxa" w:w="80"/>
              <w:bottom w:type="dxa" w:w="65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✅</w:t>
            </w:r>
          </w:p>
        </w:tc>
      </w:tr>
      <w:tr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Gestion de horas / rentabilidad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DEC" w:val="clear"/>
            <w:tcMar>
              <w:top w:type="dxa" w:w="65"/>
              <w:left w:type="dxa" w:w="80"/>
              <w:bottom w:type="dxa" w:w="65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❌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DEC" w:val="clear"/>
            <w:tcMar>
              <w:top w:type="dxa" w:w="65"/>
              <w:left w:type="dxa" w:w="80"/>
              <w:bottom w:type="dxa" w:w="65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❌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F0E3" w:val="clear"/>
            <w:tcMar>
              <w:top w:type="dxa" w:w="65"/>
              <w:left w:type="dxa" w:w="80"/>
              <w:bottom w:type="dxa" w:w="65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✅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F0E3" w:val="clear"/>
            <w:tcMar>
              <w:top w:type="dxa" w:w="65"/>
              <w:left w:type="dxa" w:w="80"/>
              <w:bottom w:type="dxa" w:w="65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✅</w:t>
            </w:r>
          </w:p>
        </w:tc>
      </w:tr>
      <w:tr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Control Calidad Firma (ISQM1/NICC1)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DEC" w:val="clear"/>
            <w:tcMar>
              <w:top w:type="dxa" w:w="65"/>
              <w:left w:type="dxa" w:w="80"/>
              <w:bottom w:type="dxa" w:w="65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❌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DEC" w:val="clear"/>
            <w:tcMar>
              <w:top w:type="dxa" w:w="65"/>
              <w:left w:type="dxa" w:w="80"/>
              <w:bottom w:type="dxa" w:w="65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❌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DEC" w:val="clear"/>
            <w:tcMar>
              <w:top w:type="dxa" w:w="65"/>
              <w:left w:type="dxa" w:w="80"/>
              <w:bottom w:type="dxa" w:w="65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❌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F0E3" w:val="clear"/>
            <w:tcMar>
              <w:top w:type="dxa" w:w="65"/>
              <w:left w:type="dxa" w:w="80"/>
              <w:bottom w:type="dxa" w:w="65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✅</w:t>
            </w:r>
          </w:p>
        </w:tc>
      </w:tr>
      <w:tr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Gestion de independencia (NIA 200)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DEC" w:val="clear"/>
            <w:tcMar>
              <w:top w:type="dxa" w:w="65"/>
              <w:left w:type="dxa" w:w="80"/>
              <w:bottom w:type="dxa" w:w="65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❌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DEC" w:val="clear"/>
            <w:tcMar>
              <w:top w:type="dxa" w:w="65"/>
              <w:left w:type="dxa" w:w="80"/>
              <w:bottom w:type="dxa" w:w="65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❌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DEC" w:val="clear"/>
            <w:tcMar>
              <w:top w:type="dxa" w:w="65"/>
              <w:left w:type="dxa" w:w="80"/>
              <w:bottom w:type="dxa" w:w="65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❌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F0E3" w:val="clear"/>
            <w:tcMar>
              <w:top w:type="dxa" w:w="65"/>
              <w:left w:type="dxa" w:w="80"/>
              <w:bottom w:type="dxa" w:w="65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✅</w:t>
            </w:r>
          </w:p>
        </w:tc>
      </w:tr>
      <w:tr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Investigacion forense (Agente Sherlock)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DEC" w:val="clear"/>
            <w:tcMar>
              <w:top w:type="dxa" w:w="65"/>
              <w:left w:type="dxa" w:w="80"/>
              <w:bottom w:type="dxa" w:w="65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❌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DEC" w:val="clear"/>
            <w:tcMar>
              <w:top w:type="dxa" w:w="65"/>
              <w:left w:type="dxa" w:w="80"/>
              <w:bottom w:type="dxa" w:w="65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❌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DEC" w:val="clear"/>
            <w:tcMar>
              <w:top w:type="dxa" w:w="65"/>
              <w:left w:type="dxa" w:w="80"/>
              <w:bottom w:type="dxa" w:w="65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❌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F0E3" w:val="clear"/>
            <w:tcMar>
              <w:top w:type="dxa" w:w="65"/>
              <w:left w:type="dxa" w:w="80"/>
              <w:bottom w:type="dxa" w:w="65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✅</w:t>
            </w:r>
          </w:p>
        </w:tc>
      </w:tr>
      <w:tr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Multi-oficina / Redes regionales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DEC" w:val="clear"/>
            <w:tcMar>
              <w:top w:type="dxa" w:w="65"/>
              <w:left w:type="dxa" w:w="80"/>
              <w:bottom w:type="dxa" w:w="65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❌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DEC" w:val="clear"/>
            <w:tcMar>
              <w:top w:type="dxa" w:w="65"/>
              <w:left w:type="dxa" w:w="80"/>
              <w:bottom w:type="dxa" w:w="65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❌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DEC" w:val="clear"/>
            <w:tcMar>
              <w:top w:type="dxa" w:w="65"/>
              <w:left w:type="dxa" w:w="80"/>
              <w:bottom w:type="dxa" w:w="65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❌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F0E3" w:val="clear"/>
            <w:tcMar>
              <w:top w:type="dxa" w:w="65"/>
              <w:left w:type="dxa" w:w="80"/>
              <w:bottom w:type="dxa" w:w="65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✅</w:t>
            </w:r>
          </w:p>
        </w:tc>
      </w:tr>
      <w:tr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Cotizador de encargos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DEC" w:val="clear"/>
            <w:tcMar>
              <w:top w:type="dxa" w:w="65"/>
              <w:left w:type="dxa" w:w="80"/>
              <w:bottom w:type="dxa" w:w="65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❌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DEC" w:val="clear"/>
            <w:tcMar>
              <w:top w:type="dxa" w:w="65"/>
              <w:left w:type="dxa" w:w="80"/>
              <w:bottom w:type="dxa" w:w="65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❌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DEC" w:val="clear"/>
            <w:tcMar>
              <w:top w:type="dxa" w:w="65"/>
              <w:left w:type="dxa" w:w="80"/>
              <w:bottom w:type="dxa" w:w="65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❌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F0E3" w:val="clear"/>
            <w:tcMar>
              <w:top w:type="dxa" w:w="65"/>
              <w:left w:type="dxa" w:w="80"/>
              <w:bottom w:type="dxa" w:w="65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✅</w:t>
            </w:r>
          </w:p>
        </w:tc>
      </w:tr>
      <w:tr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SLA 99.9% + soporte VIP 1h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DEC" w:val="clear"/>
            <w:tcMar>
              <w:top w:type="dxa" w:w="65"/>
              <w:left w:type="dxa" w:w="80"/>
              <w:bottom w:type="dxa" w:w="65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❌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DEC" w:val="clear"/>
            <w:tcMar>
              <w:top w:type="dxa" w:w="65"/>
              <w:left w:type="dxa" w:w="80"/>
              <w:bottom w:type="dxa" w:w="65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❌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DEC" w:val="clear"/>
            <w:tcMar>
              <w:top w:type="dxa" w:w="65"/>
              <w:left w:type="dxa" w:w="80"/>
              <w:bottom w:type="dxa" w:w="65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❌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F0E3" w:val="clear"/>
            <w:tcMar>
              <w:top w:type="dxa" w:w="65"/>
              <w:left w:type="dxa" w:w="80"/>
              <w:bottom w:type="dxa" w:w="65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✅</w:t>
            </w:r>
          </w:p>
        </w:tc>
      </w:tr>
    </w:tbl>
    <w:p>
      <w:r>
        <w:br w:type="page"/>
      </w:r>
    </w:p>
    <w:p>
      <w:pPr>
        <w:pStyle w:val="Heading1"/>
        <w:spacing w:after="150" w:before="300"/>
      </w:pPr>
      <w:r>
        <w:rPr>
          <w:rFonts w:ascii="Arial" w:cs="Arial" w:eastAsia="Arial" w:hAnsi="Arial"/>
          <w:b/>
          <w:bCs/>
          <w:color w:val="0F2D4A"/>
          <w:sz w:val="36"/>
          <w:szCs w:val="36"/>
        </w:rPr>
        <w:t xml:space="preserve">ESTRUCTURA DE PRECIOS CONSOLIDADA</w:t>
      </w:r>
    </w:p>
    <w:p>
      <w:pPr>
        <w:pBdr>
          <w:bottom w:val="single" w:color="2E7DD1" w:sz="5" w:space="1"/>
        </w:pBdr>
        <w:spacing w:after="80" w:before="80"/>
      </w:pPr>
      <w:r>
        <w:t xml:space="preserve"/>
      </w:r>
    </w:p>
    <w:p>
      <w:pPr>
        <w:spacing w:after="80" w:before="0"/>
      </w:pPr>
      <w:r>
        <w:t xml:space="preserve"/>
      </w:r>
    </w:p>
    <w:tbl>
      <w:tblPr>
        <w:tblW w:type="dxa" w:w="11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1400"/>
        <w:gridCol w:w="1600"/>
        <w:gridCol w:w="1300"/>
        <w:gridCol w:w="1600"/>
        <w:gridCol w:w="1200"/>
        <w:gridCol w:w="2760"/>
      </w:tblGrid>
      <w:tr>
        <w:trPr>
          <w:tblHeader/>
        </w:trPr>
        <w:tc>
          <w:tcPr>
            <w:tcW w:type="dxa" w:w="1500"/>
            <w:tcBorders>
              <w:top w:val="single" w:color="2E7DD1" w:sz="1"/>
              <w:left w:val="single" w:color="2E7DD1" w:sz="1"/>
              <w:bottom w:val="single" w:color="2E7DD1" w:sz="1"/>
              <w:right w:val="single" w:color="2E7DD1" w:sz="1"/>
            </w:tcBorders>
            <w:shd w:fill="0F2D4A" w:val="clear"/>
            <w:tcMar>
              <w:top w:type="dxa" w:w="85"/>
              <w:left w:type="dxa" w:w="110"/>
              <w:bottom w:type="dxa" w:w="85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Plan</w:t>
            </w:r>
          </w:p>
        </w:tc>
        <w:tc>
          <w:tcPr>
            <w:tcW w:type="dxa" w:w="1400"/>
            <w:tcBorders>
              <w:top w:val="single" w:color="2E7DD1" w:sz="1"/>
              <w:left w:val="single" w:color="2E7DD1" w:sz="1"/>
              <w:bottom w:val="single" w:color="2E7DD1" w:sz="1"/>
              <w:right w:val="single" w:color="2E7DD1" w:sz="1"/>
            </w:tcBorders>
            <w:shd w:fill="0F2D4A" w:val="clear"/>
            <w:tcMar>
              <w:top w:type="dxa" w:w="85"/>
              <w:left w:type="dxa" w:w="110"/>
              <w:bottom w:type="dxa" w:w="85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Precio/mes (anual)</w:t>
            </w:r>
          </w:p>
        </w:tc>
        <w:tc>
          <w:tcPr>
            <w:tcW w:type="dxa" w:w="1600"/>
            <w:tcBorders>
              <w:top w:val="single" w:color="2E7DD1" w:sz="1"/>
              <w:left w:val="single" w:color="2E7DD1" w:sz="1"/>
              <w:bottom w:val="single" w:color="2E7DD1" w:sz="1"/>
              <w:right w:val="single" w:color="2E7DD1" w:sz="1"/>
            </w:tcBorders>
            <w:shd w:fill="0F2D4A" w:val="clear"/>
            <w:tcMar>
              <w:top w:type="dxa" w:w="85"/>
              <w:left w:type="dxa" w:w="110"/>
              <w:bottom w:type="dxa" w:w="85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Precio/mes (mensual)</w:t>
            </w:r>
          </w:p>
        </w:tc>
        <w:tc>
          <w:tcPr>
            <w:tcW w:type="dxa" w:w="1300"/>
            <w:tcBorders>
              <w:top w:val="single" w:color="2E7DD1" w:sz="1"/>
              <w:left w:val="single" w:color="2E7DD1" w:sz="1"/>
              <w:bottom w:val="single" w:color="2E7DD1" w:sz="1"/>
              <w:right w:val="single" w:color="2E7DD1" w:sz="1"/>
            </w:tcBorders>
            <w:shd w:fill="0F2D4A" w:val="clear"/>
            <w:tcMar>
              <w:top w:type="dxa" w:w="85"/>
              <w:left w:type="dxa" w:w="110"/>
              <w:bottom w:type="dxa" w:w="85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Usuarios</w:t>
            </w:r>
          </w:p>
        </w:tc>
        <w:tc>
          <w:tcPr>
            <w:tcW w:type="dxa" w:w="1600"/>
            <w:tcBorders>
              <w:top w:val="single" w:color="2E7DD1" w:sz="1"/>
              <w:left w:val="single" w:color="2E7DD1" w:sz="1"/>
              <w:bottom w:val="single" w:color="2E7DD1" w:sz="1"/>
              <w:right w:val="single" w:color="2E7DD1" w:sz="1"/>
            </w:tcBorders>
            <w:shd w:fill="0F2D4A" w:val="clear"/>
            <w:tcMar>
              <w:top w:type="dxa" w:w="85"/>
              <w:left w:type="dxa" w:w="110"/>
              <w:bottom w:type="dxa" w:w="85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Clientes/Entidades</w:t>
            </w:r>
          </w:p>
        </w:tc>
        <w:tc>
          <w:tcPr>
            <w:tcW w:type="dxa" w:w="1200"/>
            <w:tcBorders>
              <w:top w:val="single" w:color="2E7DD1" w:sz="1"/>
              <w:left w:val="single" w:color="2E7DD1" w:sz="1"/>
              <w:bottom w:val="single" w:color="2E7DD1" w:sz="1"/>
              <w:right w:val="single" w:color="2E7DD1" w:sz="1"/>
            </w:tcBorders>
            <w:shd w:fill="0F2D4A" w:val="clear"/>
            <w:tcMar>
              <w:top w:type="dxa" w:w="85"/>
              <w:left w:type="dxa" w:w="110"/>
              <w:bottom w:type="dxa" w:w="85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Tokens IA/mes</w:t>
            </w:r>
          </w:p>
        </w:tc>
        <w:tc>
          <w:tcPr>
            <w:tcW w:type="dxa" w:w="2760"/>
            <w:tcBorders>
              <w:top w:val="single" w:color="2E7DD1" w:sz="1"/>
              <w:left w:val="single" w:color="2E7DD1" w:sz="1"/>
              <w:bottom w:val="single" w:color="2E7DD1" w:sz="1"/>
              <w:right w:val="single" w:color="2E7DD1" w:sz="1"/>
            </w:tcBorders>
            <w:shd w:fill="0F2D4A" w:val="clear"/>
            <w:tcMar>
              <w:top w:type="dxa" w:w="85"/>
              <w:left w:type="dxa" w:w="110"/>
              <w:bottom w:type="dxa" w:w="85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Perfil Objetivo El Salvador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IA STARTER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$89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$109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3 auditores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1 organizacion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500K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Empresa mediana que inicia auditoria interna formal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IA PROFESSIONAL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$249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$299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8 auditores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1 organizacion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3M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Empresa grande con equipo de auditoria establecido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IA ENTERPRISE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$549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$649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20 auditores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1 organizacion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10M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Banco, aseguradora, empresa publica o gran corporativo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IA ELITE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$1,199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$1,399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Ilimitados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Multi-entidad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Ilimitados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Holding, conglomerado o grupo economico salvadoreno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EA STARTER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$119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$149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3 auditores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5 clientes activos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500K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Contador publico independiente o firma de 2-3 personas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EA PROFESSIONAL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$329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$399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8 auditores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15 clientes activos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3M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Firma de auditoria pequena (5-10 profesionales)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EA FIRMA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$749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$899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25 auditores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Ilimitados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10M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Firma de auditoria mediana (15-30 profesionales)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EA GRAN FIRMA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$1,799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$2,099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Ilimitados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Ilimitados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Ilimitados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Firma grande o red regional centroamericana</w:t>
            </w:r>
          </w:p>
        </w:tc>
      </w:tr>
    </w:tbl>
    <w:p>
      <w:pPr>
        <w:spacing w:after="100" w:before="0"/>
      </w:pPr>
      <w:r>
        <w:t xml:space="preserve"/>
      </w:r>
    </w:p>
    <w:p>
      <w:pPr>
        <w:pStyle w:val="Heading2"/>
        <w:spacing w:after="110" w:before="240"/>
      </w:pPr>
      <w:r>
        <w:rPr>
          <w:rFonts w:ascii="Arial" w:cs="Arial" w:eastAsia="Arial" w:hAnsi="Arial"/>
          <w:b/>
          <w:bCs/>
          <w:color w:val="1B5FA8"/>
          <w:sz w:val="27"/>
          <w:szCs w:val="27"/>
        </w:rPr>
        <w:t xml:space="preserve">Modelo de Facturacion y Descuentos</w:t>
      </w:r>
    </w:p>
    <w:p>
      <w:pPr>
        <w:spacing w:after="6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60"/>
        <w:gridCol w:w="240"/>
        <w:gridCol w:w="4560"/>
      </w:tblGrid>
      <w:tr>
        <w:tc>
          <w:tcPr>
            <w:tcW w:type="dxa" w:w="4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70"/>
            </w:tcMar>
          </w:tcPr>
          <w:tbl>
            <w:tblPr>
              <w:tblW w:type="dxa" w:w="936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9360"/>
            </w:tblGrid>
            <w:tr>
              <w:tc>
                <w:tcPr>
                  <w:tcBorders>
                    <w:top w:val="single" w:color="D9EAF7" w:sz="1"/>
                    <w:left w:val="single" w:color="D9EAF7" w:sz="1"/>
                    <w:bottom w:val="single" w:color="D9EAF7" w:sz="1"/>
                    <w:right w:val="single" w:color="D9EAF7" w:sz="1"/>
                  </w:tcBorders>
                  <w:shd w:fill="EEF6FD" w:val="clear"/>
                  <w:tcMar>
                    <w:top w:type="dxa" w:w="150"/>
                    <w:left w:type="dxa" w:w="210"/>
                    <w:bottom w:type="dxa" w:w="150"/>
                    <w:right w:type="dxa" w:w="210"/>
                  </w:tcMar>
                </w:tcPr>
                <w:p>
                  <w:pPr>
                    <w:spacing w:after="8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color w:val="0F2D4A"/>
                      <w:sz w:val="20"/>
                      <w:szCs w:val="20"/>
                    </w:rPr>
                    <w:t xml:space="preserve">Tipos de Facturacion</w:t>
                  </w:r>
                </w:p>
                <w:p>
                  <w:pPr>
                    <w:pStyle w:val="ListParagraph"/>
                    <w:numPr>
                      <w:ilvl w:val="0"/>
                      <w:numId w:val="2"/>
                    </w:numPr>
                    <w:spacing w:after="42" w:before="42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A1A1A"/>
                      <w:sz w:val="20"/>
                      <w:szCs w:val="20"/>
                    </w:rPr>
                    <w:t xml:space="preserve">Anual prepagado: precio base publicado — descuento del 18% vs. mensual. Pago unico o cuotas trimestrales.</w:t>
                  </w:r>
                </w:p>
                <w:p>
                  <w:pPr>
                    <w:pStyle w:val="ListParagraph"/>
                    <w:numPr>
                      <w:ilvl w:val="0"/>
                      <w:numId w:val="2"/>
                    </w:numPr>
                    <w:spacing w:after="42" w:before="42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A1A1A"/>
                      <w:sz w:val="20"/>
                      <w:szCs w:val="20"/>
                    </w:rPr>
                    <w:t xml:space="preserve">Mensual: precio publicado +22% — maxima flexibilidad para comenzar sin compromiso anual</w:t>
                  </w:r>
                </w:p>
                <w:p>
                  <w:pPr>
                    <w:pStyle w:val="ListParagraph"/>
                    <w:numPr>
                      <w:ilvl w:val="0"/>
                      <w:numId w:val="2"/>
                    </w:numPr>
                    <w:spacing w:after="42" w:before="42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A1A1A"/>
                      <w:sz w:val="20"/>
                      <w:szCs w:val="20"/>
                    </w:rPr>
                    <w:t xml:space="preserve">Bienal (2 anos): 10% adicional sobre el precio anual — para organizaciones con presupuestos anuales aprobados</w:t>
                  </w:r>
                </w:p>
                <w:p>
                  <w:pPr>
                    <w:pStyle w:val="ListParagraph"/>
                    <w:numPr>
                      <w:ilvl w:val="0"/>
                      <w:numId w:val="2"/>
                    </w:numPr>
                    <w:spacing w:after="42" w:before="42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A1A1A"/>
                      <w:sz w:val="20"/>
                      <w:szCs w:val="20"/>
                    </w:rPr>
                    <w:t xml:space="preserve">Tokens adicionales: $1.80 por cada 1,000,000 tokens extras — predecible y sin sorpresas en la factura</w:t>
                  </w:r>
                </w:p>
                <w:p>
                  <w:pPr>
                    <w:pStyle w:val="ListParagraph"/>
                    <w:numPr>
                      <w:ilvl w:val="0"/>
                      <w:numId w:val="2"/>
                    </w:numPr>
                    <w:spacing w:after="42" w:before="42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A1A1A"/>
                      <w:sz w:val="20"/>
                      <w:szCs w:val="20"/>
                    </w:rPr>
                    <w:t xml:space="preserve">Storage adicional: $0.025 por GB/mes sobre el limite del plan</w:t>
                  </w:r>
                </w:p>
                <w:p>
                  <w:pPr>
                    <w:pStyle w:val="ListParagraph"/>
                    <w:numPr>
                      <w:ilvl w:val="0"/>
                      <w:numId w:val="2"/>
                    </w:numPr>
                    <w:spacing w:after="42" w:before="42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A1A1A"/>
                      <w:sz w:val="20"/>
                      <w:szCs w:val="20"/>
                    </w:rPr>
                    <w:t xml:space="preserve">Usuarios adicionales: $15/usuario/mes para IA Starter y EA Starter. $20/usuario/mes para planes superiores</w:t>
                  </w:r>
                </w:p>
              </w:tc>
            </w:tr>
          </w:tbl>
          <w:p/>
        </w:tc>
        <w:tc>
          <w:tcPr>
            <w:tcW w:type="dxa" w:w="2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20" w:before="0"/>
            </w:pPr>
            <w:r>
              <w:t xml:space="preserve"/>
            </w:r>
          </w:p>
        </w:tc>
        <w:tc>
          <w:tcPr>
            <w:tcW w:type="dxa" w:w="4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70"/>
              <w:bottom w:type="dxa" w:w="0"/>
              <w:right w:type="dxa" w:w="0"/>
            </w:tcMar>
          </w:tcPr>
          <w:tbl>
            <w:tblPr>
              <w:tblW w:type="dxa" w:w="936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9360"/>
            </w:tblGrid>
            <w:tr>
              <w:tc>
                <w:tcPr>
                  <w:tcBorders>
                    <w:top w:val="single" w:color="1A7A4A" w:sz="1"/>
                    <w:left w:val="single" w:color="1A7A4A" w:sz="1"/>
                    <w:bottom w:val="single" w:color="1A7A4A" w:sz="1"/>
                    <w:right w:val="single" w:color="1A7A4A" w:sz="1"/>
                  </w:tcBorders>
                  <w:shd w:fill="D6F0E3" w:val="clear"/>
                  <w:tcMar>
                    <w:top w:type="dxa" w:w="150"/>
                    <w:left w:type="dxa" w:w="210"/>
                    <w:bottom w:type="dxa" w:w="150"/>
                    <w:right w:type="dxa" w:w="210"/>
                  </w:tcMar>
                </w:tcPr>
                <w:p>
                  <w:pPr>
                    <w:spacing w:after="8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color w:val="0F2D4A"/>
                      <w:sz w:val="20"/>
                      <w:szCs w:val="20"/>
                    </w:rPr>
                    <w:t xml:space="preserve">Descuentos Especiales</w:t>
                  </w:r>
                </w:p>
                <w:p>
                  <w:pPr>
                    <w:pStyle w:val="ListParagraph"/>
                    <w:numPr>
                      <w:ilvl w:val="0"/>
                      <w:numId w:val="2"/>
                    </w:numPr>
                    <w:spacing w:after="42" w:before="42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A1A1A"/>
                      <w:sz w:val="20"/>
                      <w:szCs w:val="20"/>
                    </w:rPr>
                    <w:t xml:space="preserve">Sector publico El Salvador: 20% sobre cualquier plan anual — instituciones de gobierno, alcaldias, autónomas</w:t>
                  </w:r>
                </w:p>
                <w:p>
                  <w:pPr>
                    <w:pStyle w:val="ListParagraph"/>
                    <w:numPr>
                      <w:ilvl w:val="0"/>
                      <w:numId w:val="2"/>
                    </w:numPr>
                    <w:spacing w:after="42" w:before="42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A1A1A"/>
                      <w:sz w:val="20"/>
                      <w:szCs w:val="20"/>
                    </w:rPr>
                    <w:t xml:space="preserve">ONGs y organizaciones sin fines de lucro: 15% sobre planes Starter y Professional</w:t>
                  </w:r>
                </w:p>
                <w:p>
                  <w:pPr>
                    <w:pStyle w:val="ListParagraph"/>
                    <w:numPr>
                      <w:ilvl w:val="0"/>
                      <w:numId w:val="2"/>
                    </w:numPr>
                    <w:spacing w:after="42" w:before="42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A1A1A"/>
                      <w:sz w:val="20"/>
                      <w:szCs w:val="20"/>
                    </w:rPr>
                    <w:t xml:space="preserve">Early adopters (primeros 50 clientes): 30% primer ano, 15% segundo ano — precio bloqueado sin incrementos</w:t>
                  </w:r>
                </w:p>
                <w:p>
                  <w:pPr>
                    <w:pStyle w:val="ListParagraph"/>
                    <w:numPr>
                      <w:ilvl w:val="0"/>
                      <w:numId w:val="2"/>
                    </w:numPr>
                    <w:spacing w:after="42" w:before="42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A1A1A"/>
                      <w:sz w:val="20"/>
                      <w:szCs w:val="20"/>
                    </w:rPr>
                    <w:t xml:space="preserve">Referidos: un mes gratis por cada cliente referido que se suscriba a Professional o superior</w:t>
                  </w:r>
                </w:p>
                <w:p>
                  <w:pPr>
                    <w:pStyle w:val="ListParagraph"/>
                    <w:numPr>
                      <w:ilvl w:val="0"/>
                      <w:numId w:val="2"/>
                    </w:numPr>
                    <w:spacing w:after="42" w:before="42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A1A1A"/>
                      <w:sz w:val="20"/>
                      <w:szCs w:val="20"/>
                    </w:rPr>
                    <w:t xml:space="preserve">Bundle IA + EA: empresa que necesita ambos modulos obtiene 25% en el segundo modulo</w:t>
                  </w:r>
                </w:p>
                <w:p>
                  <w:pPr>
                    <w:pStyle w:val="ListParagraph"/>
                    <w:numPr>
                      <w:ilvl w:val="0"/>
                      <w:numId w:val="2"/>
                    </w:numPr>
                    <w:spacing w:after="42" w:before="42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A1A1A"/>
                      <w:sz w:val="20"/>
                      <w:szCs w:val="20"/>
                    </w:rPr>
                    <w:t xml:space="preserve">Pago en efectivo / transferencia directa: 3% adicional vs. tarjeta de credito (por no asumir comision procesadora)</w:t>
                  </w:r>
                </w:p>
              </w:tc>
            </w:tr>
          </w:tbl>
          <w:p/>
        </w:tc>
      </w:tr>
    </w:tbl>
    <w:p>
      <w:pPr>
        <w:spacing w:after="100" w:before="0"/>
      </w:pPr>
      <w:r>
        <w:t xml:space="preserve"/>
      </w:r>
    </w:p>
    <w:p>
      <w:pPr>
        <w:pStyle w:val="Heading2"/>
        <w:spacing w:after="110" w:before="240"/>
      </w:pPr>
      <w:r>
        <w:rPr>
          <w:rFonts w:ascii="Arial" w:cs="Arial" w:eastAsia="Arial" w:hAnsi="Arial"/>
          <w:b/>
          <w:bCs/>
          <w:color w:val="1B5FA8"/>
          <w:sz w:val="27"/>
          <w:szCs w:val="27"/>
        </w:rPr>
        <w:t xml:space="preserve">Posicionamiento vs. Competencia Internacional</w:t>
      </w:r>
    </w:p>
    <w:p>
      <w:pPr>
        <w:spacing w:after="6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B8860B" w:sz="1"/>
              <w:left w:val="single" w:color="B8860B" w:sz="1"/>
              <w:bottom w:val="single" w:color="B8860B" w:sz="1"/>
              <w:right w:val="single" w:color="B8860B" w:sz="1"/>
            </w:tcBorders>
            <w:shd w:fill="FDF6DC" w:val="clear"/>
            <w:tcMar>
              <w:top w:type="dxa" w:w="150"/>
              <w:left w:type="dxa" w:w="210"/>
              <w:bottom w:type="dxa" w:w="150"/>
              <w:right w:type="dxa" w:w="21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0F2D4A"/>
                <w:sz w:val="20"/>
                <w:szCs w:val="20"/>
              </w:rPr>
              <w:t xml:space="preserve">Por que nuestros precios son competitivos y justos: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2" w:before="42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AuditBoard/Optro cobra $40,000-$150,000/AÑO — nuestro plan Enterprise cuesta $6,588/AÑO (89% mas barato)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2" w:before="42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TeamMate+ no publica precios pero el mercado ubica contratos desde $30,000/AÑO — sin las capacidades de IA de AuditMind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2" w:before="42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SmartSuite (alternativa economica) cobra $12/usuario/mes pero no tiene IA de auditoria ni RAG normativo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2" w:before="42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Acatha (El Salvador, contabilidad): referencia local de lo que el mercado SV paga por software — $25-80/mes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2" w:before="42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Salario promedio de un auditor senior en El Salvador: $800-1,500/mes — AuditMind IA Professional a $249/mes es el 17-31% de un salario, con ROI inmediato en productividad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2" w:before="42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Un solo hallazgo no detectado puede costar decenas de miles en un banco o empresa grande — AuditMind cuesta menos que 1 hora de consultoria Big Four</w:t>
            </w:r>
          </w:p>
        </w:tc>
      </w:tr>
    </w:tbl>
    <w:p>
      <w:pPr>
        <w:spacing w:after="100" w:before="0"/>
      </w:pPr>
      <w:r>
        <w:t xml:space="preserve"/>
      </w:r>
    </w:p>
    <w:p>
      <w:pPr>
        <w:pStyle w:val="Heading2"/>
        <w:spacing w:after="110" w:before="240"/>
      </w:pPr>
      <w:r>
        <w:rPr>
          <w:rFonts w:ascii="Arial" w:cs="Arial" w:eastAsia="Arial" w:hAnsi="Arial"/>
          <w:b/>
          <w:bCs/>
          <w:color w:val="1B5FA8"/>
          <w:sz w:val="27"/>
          <w:szCs w:val="27"/>
        </w:rPr>
        <w:t xml:space="preserve">Periodo de Prueba y Proceso de Incorporacion</w:t>
      </w:r>
    </w:p>
    <w:p>
      <w:pPr>
        <w:spacing w:after="6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5560"/>
        <w:gridCol w:w="1800"/>
      </w:tblGrid>
      <w:tr>
        <w:trPr>
          <w:tblHeader/>
        </w:trPr>
        <w:tc>
          <w:tcPr>
            <w:tcW w:type="dxa" w:w="2000"/>
            <w:tcBorders>
              <w:top w:val="single" w:color="2E7DD1" w:sz="1"/>
              <w:left w:val="single" w:color="2E7DD1" w:sz="1"/>
              <w:bottom w:val="single" w:color="2E7DD1" w:sz="1"/>
              <w:right w:val="single" w:color="2E7DD1" w:sz="1"/>
            </w:tcBorders>
            <w:shd w:fill="0F2D4A" w:val="clear"/>
            <w:tcMar>
              <w:top w:type="dxa" w:w="85"/>
              <w:left w:type="dxa" w:w="110"/>
              <w:bottom w:type="dxa" w:w="85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Etapa</w:t>
            </w:r>
          </w:p>
        </w:tc>
        <w:tc>
          <w:tcPr>
            <w:tcW w:type="dxa" w:w="5560"/>
            <w:tcBorders>
              <w:top w:val="single" w:color="2E7DD1" w:sz="1"/>
              <w:left w:val="single" w:color="2E7DD1" w:sz="1"/>
              <w:bottom w:val="single" w:color="2E7DD1" w:sz="1"/>
              <w:right w:val="single" w:color="2E7DD1" w:sz="1"/>
            </w:tcBorders>
            <w:shd w:fill="0F2D4A" w:val="clear"/>
            <w:tcMar>
              <w:top w:type="dxa" w:w="85"/>
              <w:left w:type="dxa" w:w="110"/>
              <w:bottom w:type="dxa" w:w="85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Detalle</w:t>
            </w:r>
          </w:p>
        </w:tc>
        <w:tc>
          <w:tcPr>
            <w:tcW w:type="dxa" w:w="1800"/>
            <w:tcBorders>
              <w:top w:val="single" w:color="2E7DD1" w:sz="1"/>
              <w:left w:val="single" w:color="2E7DD1" w:sz="1"/>
              <w:bottom w:val="single" w:color="2E7DD1" w:sz="1"/>
              <w:right w:val="single" w:color="2E7DD1" w:sz="1"/>
            </w:tcBorders>
            <w:shd w:fill="0F2D4A" w:val="clear"/>
            <w:tcMar>
              <w:top w:type="dxa" w:w="85"/>
              <w:left w:type="dxa" w:w="110"/>
              <w:bottom w:type="dxa" w:w="85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Duracion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Trial gratuito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Acceso completo al plan Professional (IA o EA segun eleccion) — sin tarjeta de credito requerida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14 dias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Demo personalizada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Sesion de 45 minutos con especialista — presentacion del sistema con los datos del cliente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A demanda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Onboarding guiado (Starter/Professional)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Sesiones de configuracion inicial: carga del universo de auditoria, usuarios, normativa del cliente, primera auditoria de prueba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2 sesiones de 90 min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Onboarding dedicado (Enterprise/Elite/Gran Firma)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Especialista asignado: migracion de datos, configuracion de integraciones, capacitacion del equipo, primera auditoria real acompanada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3-5 sesiones + soporte 30 dias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Capacitacion del equipo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Videos tutoriales, documentacion en espanol, webinars mensuales de nuevas funcionalidades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Acceso permanente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Garantia de satisfaccion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Si en los primeros 30 dias el cliente no esta satisfecho: devolucion completa del pago sin preguntas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30 dias post-contratacion</w:t>
            </w:r>
          </w:p>
        </w:tc>
      </w:tr>
    </w:tbl>
    <w:p>
      <w:pPr>
        <w:spacing w:after="100" w:before="0"/>
      </w:pPr>
      <w:r>
        <w:t xml:space="preserve"/>
      </w:r>
    </w:p>
    <w:p>
      <w:pPr>
        <w:pStyle w:val="Heading2"/>
        <w:spacing w:after="110" w:before="240"/>
      </w:pPr>
      <w:r>
        <w:rPr>
          <w:rFonts w:ascii="Arial" w:cs="Arial" w:eastAsia="Arial" w:hAnsi="Arial"/>
          <w:b/>
          <w:bCs/>
          <w:color w:val="1B5FA8"/>
          <w:sz w:val="27"/>
          <w:szCs w:val="27"/>
        </w:rPr>
        <w:t xml:space="preserve">Estrategia de Precios — Hoja de Ruta 2026-2027</w:t>
      </w:r>
    </w:p>
    <w:p>
      <w:pPr>
        <w:spacing w:after="6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D9EAF7" w:sz="1"/>
              <w:left w:val="single" w:color="D9EAF7" w:sz="1"/>
              <w:bottom w:val="single" w:color="D9EAF7" w:sz="1"/>
              <w:right w:val="single" w:color="D9EAF7" w:sz="1"/>
            </w:tcBorders>
            <w:shd w:fill="EEF6FD" w:val="clear"/>
            <w:tcMar>
              <w:top w:type="dxa" w:w="150"/>
              <w:left w:type="dxa" w:w="210"/>
              <w:bottom w:type="dxa" w:w="150"/>
              <w:right w:type="dxa" w:w="21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0F2D4A"/>
                <w:sz w:val="20"/>
                <w:szCs w:val="20"/>
              </w:rPr>
              <w:t xml:space="preserve">Precio de Lanzamiento (Primeros 6 meses):</w:t>
            </w:r>
          </w:p>
          <w:p>
            <w:pPr>
              <w:spacing w:after="75" w:before="50"/>
              <w:jc w:val="both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Los precios publicados en este documento son los precios de lanzamiento con descuento de early adopter implícito. Tras los primeros 6 meses o los primeros 50 clientes (lo que ocurra primero), los precios base aumentan entre 15% y 25% para nuevos clientes. Los clientes actuales mantienen su precio bloqueado.</w:t>
            </w:r>
          </w:p>
          <w:p>
            <w:pPr>
              <w:spacing w:after="60" w:before="0"/>
            </w:pPr>
            <w:r>
              <w:t xml:space="preserve"/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0F2D4A"/>
                <w:sz w:val="20"/>
                <w:szCs w:val="20"/>
              </w:rPr>
              <w:t xml:space="preserve">Expansion regional (2027):</w:t>
            </w:r>
          </w:p>
          <w:p>
            <w:pPr>
              <w:spacing w:after="75" w:before="50"/>
              <w:jc w:val="both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Tras consolidar El Salvador, el modelo de precios se adapta para Guatemala, Honduras, Costa Rica, Panama y mercados andinos. Los precios mantienen la misma logica de asequibilidad relativa al mercado local, con ajustes por poder adquisitivo de cada pais.</w:t>
            </w:r>
          </w:p>
        </w:tc>
      </w:tr>
    </w:tbl>
    <w:p>
      <w:pPr>
        <w:spacing w:after="12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D9EAF7" w:sz="1"/>
              <w:left w:val="single" w:color="D9EAF7" w:sz="1"/>
              <w:bottom w:val="single" w:color="D9EAF7" w:sz="1"/>
              <w:right w:val="single" w:color="D9EAF7" w:sz="1"/>
            </w:tcBorders>
            <w:shd w:fill="EEF6FD" w:val="clear"/>
            <w:tcMar>
              <w:top w:type="dxa" w:w="150"/>
              <w:left w:type="dxa" w:w="210"/>
              <w:bottom w:type="dxa" w:w="150"/>
              <w:right w:type="dxa" w:w="210"/>
            </w:tcMar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F2D4A"/>
                <w:sz w:val="24"/>
                <w:szCs w:val="24"/>
              </w:rPr>
              <w:t xml:space="preserve">Resumen Ejecutivo — Por que Funciona este Modelo</w:t>
            </w:r>
          </w:p>
          <w:p>
            <w:pPr>
              <w:spacing w:after="75" w:before="50"/>
              <w:jc w:val="both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Ocho planes en dos categorias cubren el 95% del mercado de auditoria en El Salvador y Centroamerica: desde el contador publico independiente hasta el holding regional. La progresion de funcionalidades es genuina — cada nivel desbloquea capacidades que transforman la forma de trabajar, no solo agrega funciones marginales. El precio mas bajo ($89/mes IA Starter) es asequible para cualquier empresa con departamento de auditoria formal. El precio mas alto ($1,799/mes EA Gran Firma) es una fraccion de lo que una firma similar pagaria por TeamMate+ o AuditBoard en Norte America — con capacidades de IA que esos sistemas no tienen.</w:t>
            </w:r>
          </w:p>
          <w:p>
            <w:pPr>
              <w:spacing w:after="60" w:before="0"/>
            </w:pPr>
            <w:r>
              <w:t xml:space="preserve"/>
            </w:r>
          </w:p>
          <w:p>
            <w:pPr>
              <w:spacing w:after="75" w:before="50"/>
              <w:jc w:val="both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La propuesta de valor central es simple: AuditMind le devuelve al auditor el tiempo que pierde en documentacion para que lo invierta en juicio profesional. Eso vale mucho mas que cualquier tarifa mensual.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080" w:right="980" w:bottom="1080" w:left="9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3"/>
      </w:pBdr>
      <w:jc w:val="center"/>
    </w:pPr>
    <w:r>
      <w:rPr>
        <w:rFonts w:ascii="Arial" w:cs="Arial" w:eastAsia="Arial" w:hAnsi="Arial"/>
        <w:color w:val="4A4A4A"/>
        <w:sz w:val="16"/>
        <w:szCs w:val="16"/>
      </w:rPr>
      <w:t xml:space="preserve">AuditMind Intelligence Platform  |  Pag. </w:t>
    </w:r>
    <w:r>
      <w:rPr>
        <w:rFonts w:ascii="Arial" w:cs="Arial" w:eastAsia="Arial" w:hAnsi="Arial"/>
        <w:color w:val="1B5FA8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4A4A4A"/>
        <w:sz w:val="16"/>
        <w:szCs w:val="16"/>
      </w:rPr>
      <w:t xml:space="preserve"> / </w:t>
    </w:r>
    <w:r>
      <w:rPr>
        <w:rFonts w:ascii="Arial" w:cs="Arial" w:eastAsia="Arial" w:hAnsi="Arial"/>
        <w:color w:val="1B5FA8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tbl>
    <w:tblPr>
      <w:tblW w:type="dxa" w:w="9560"/>
      <w:tblBorders>
        <w:top w:val="single" w:color="auto" w:sz="4"/>
        <w:left w:val="single" w:color="auto" w:sz="4"/>
        <w:bottom w:val="single" w:color="D9EAF7" w:sz="3"/>
        <w:right w:val="single" w:color="auto" w:sz="4"/>
        <w:insideH w:val="single" w:color="auto" w:sz="4"/>
        <w:insideV w:val="single" w:color="auto" w:sz="4"/>
      </w:tblBorders>
    </w:tblPr>
    <w:tblGrid>
      <w:gridCol w:w="6200"/>
      <w:gridCol w:w="3360"/>
    </w:tblGrid>
    <w:tr>
      <w:tc>
        <w:tcPr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</w:tcPr>
        <w:p>
          <w:r>
            <w:rPr>
              <w:rFonts w:ascii="Arial" w:cs="Arial" w:eastAsia="Arial" w:hAnsi="Arial"/>
              <w:color w:val="4A4A4A"/>
              <w:sz w:val="16"/>
              <w:szCs w:val="16"/>
            </w:rPr>
            <w:t xml:space="preserve">AuditMind — Estructura de Suscripciones y Precios | El Salvador 2026</w:t>
          </w:r>
        </w:p>
      </w:tc>
      <w:tc>
        <w:tcPr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</w:tcPr>
        <w:p>
          <w:pPr>
            <w:jc w:val="right"/>
          </w:pPr>
          <w:r>
            <w:rPr>
              <w:rFonts w:ascii="Arial" w:cs="Arial" w:eastAsia="Arial" w:hAnsi="Arial"/>
              <w:color w:val="4A4A4A"/>
              <w:sz w:val="16"/>
              <w:szCs w:val="16"/>
            </w:rPr>
            <w:t xml:space="preserve">Documento Confidencial</w:t>
          </w:r>
        </w:p>
      </w:tc>
    </w:tr>
  </w:tbl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80" w:hanging="32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◦"/>
      <w:lvlJc w:val="left"/>
      <w:pPr>
        <w:ind w:left="820" w:hanging="32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50" w:before="300"/>
      <w:outlineLvl w:val="0"/>
    </w:pPr>
    <w:rPr>
      <w:rFonts w:ascii="Arial" w:cs="Arial" w:eastAsia="Arial" w:hAnsi="Arial"/>
      <w:b/>
      <w:bCs/>
      <w:color w:val="0F2D4A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10" w:before="240"/>
      <w:outlineLvl w:val="1"/>
    </w:pPr>
    <w:rPr>
      <w:rFonts w:ascii="Arial" w:cs="Arial" w:eastAsia="Arial" w:hAnsi="Arial"/>
      <w:b/>
      <w:bCs/>
      <w:color w:val="1B5FA8"/>
      <w:sz w:val="27"/>
      <w:szCs w:val="27"/>
    </w:rPr>
  </w:style>
  <w:style w:type="paragraph" w:styleId="Heading3">
    <w:name w:val="Heading 3"/>
    <w:basedOn w:val="Normal"/>
    <w:next w:val="Normal"/>
    <w:qFormat/>
    <w:pPr>
      <w:spacing w:after="75" w:before="190"/>
      <w:outlineLvl w:val="2"/>
    </w:pPr>
    <w:rPr>
      <w:rFonts w:ascii="Arial" w:cs="Arial" w:eastAsia="Arial" w:hAnsi="Arial"/>
      <w:b/>
      <w:bCs/>
      <w:color w:val="0A7B8C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2026-05-18T10:51:53.696Z</dcterms:created>
  <dcterms:modified xsi:type="dcterms:W3CDTF">2026-05-18T10:51:53.713Z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