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545BA49E"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1E54D5">
        <w:rPr>
          <w:noProof/>
        </w:rPr>
        <w:t xml:space="preserve">22 </w:t>
      </w:r>
      <w:r w:rsidR="00AF7A4C">
        <w:rPr>
          <w:noProof/>
        </w:rPr>
        <w:t>July</w:t>
      </w:r>
      <w:r w:rsidR="001E54D5">
        <w:rPr>
          <w:noProof/>
        </w:rPr>
        <w:t xml:space="preserve"> 2020</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7C7776">
        <w:rPr>
          <w:vertAlign w:val="superscript"/>
        </w:rPr>
        <w:t>d</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4050ADE1" w14:textId="69807ECD" w:rsidR="007C7776" w:rsidRPr="008D00B4" w:rsidRDefault="007C7776" w:rsidP="007C7776">
      <w:pPr>
        <w:spacing w:after="0"/>
        <w:rPr>
          <w:sz w:val="16"/>
        </w:rPr>
      </w:pPr>
      <w:r>
        <w:rPr>
          <w:sz w:val="16"/>
          <w:vertAlign w:val="superscript"/>
        </w:rPr>
        <w:t>c</w:t>
      </w:r>
      <w:r w:rsidR="00641142">
        <w:rPr>
          <w:sz w:val="16"/>
        </w:rPr>
        <w:t>ExxonMobil Upstream</w:t>
      </w:r>
      <w:r w:rsidR="00C13FF3">
        <w:rPr>
          <w:sz w:val="16"/>
        </w:rPr>
        <w:t xml:space="preserve"> Integrated Solutions</w:t>
      </w:r>
      <w:r>
        <w:rPr>
          <w:sz w:val="16"/>
        </w:rPr>
        <w:t>, Spring, Texas 77389</w:t>
      </w:r>
      <w:r w:rsidRPr="008D00B4">
        <w:rPr>
          <w:sz w:val="16"/>
        </w:rPr>
        <w:t>, USA.</w:t>
      </w:r>
    </w:p>
    <w:p w14:paraId="753AFA4A" w14:textId="712C9C0F" w:rsidR="007B53E2" w:rsidRDefault="007C7776" w:rsidP="00BC188A">
      <w:pPr>
        <w:spacing w:after="0"/>
        <w:rPr>
          <w:sz w:val="16"/>
        </w:rPr>
      </w:pPr>
      <w:r>
        <w:rPr>
          <w:sz w:val="16"/>
          <w:vertAlign w:val="superscript"/>
        </w:rPr>
        <w:t>d</w:t>
      </w:r>
      <w:r w:rsidR="007B53E2" w:rsidRPr="008D00B4">
        <w:rPr>
          <w:sz w:val="16"/>
        </w:rPr>
        <w:t>Department of Earth Science</w:t>
      </w:r>
      <w:r w:rsidR="00206B97" w:rsidRPr="008D00B4">
        <w:rPr>
          <w:sz w:val="16"/>
        </w:rPr>
        <w:t xml:space="preserve"> and Centre for Geobiology</w:t>
      </w:r>
      <w:r w:rsidR="007B53E2" w:rsidRPr="008D00B4">
        <w:rPr>
          <w:sz w:val="16"/>
        </w:rPr>
        <w:t>, University of Bergen, Bergen N-5020, Norway.</w:t>
      </w:r>
    </w:p>
    <w:p w14:paraId="7E45D382" w14:textId="77777777" w:rsidR="009C5BA8" w:rsidRPr="008D00B4" w:rsidRDefault="009C5BA8" w:rsidP="00BC188A"/>
    <w:p w14:paraId="441DAE83" w14:textId="1AC01A4F" w:rsidR="00153F79" w:rsidRDefault="00195AC5" w:rsidP="00BC188A">
      <w:r w:rsidRPr="008D00B4">
        <w:t xml:space="preserve">* </w:t>
      </w:r>
      <w:r w:rsidR="00866AE8" w:rsidRPr="0025662D">
        <w:t>Corresponding author</w:t>
      </w:r>
      <w:r w:rsidR="0064181B">
        <w:t xml:space="preserve"> at: ExxonMobil Upstream </w:t>
      </w:r>
      <w:r w:rsidR="00C13FF3">
        <w:t>Integrated Solutions</w:t>
      </w:r>
      <w:r w:rsidR="0064181B">
        <w:t>, 22777 Springwoods Village Parkway, Spring, TX 77389</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 xml:space="preserve">O under hydrothermal conditions in a flexible Au-Ti cell hydrothermal apparatus in a water-to-rock ratio of approximately 5:1. Temperatures were increased from 200 to 350 °C over the course of one month, maintaining pressure at 350 bar, and the concentrations of aqueous species and methane isotopologues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D, whereas at higher temperatures, increasing proportions of deuterated isotopologues were produced.  Near the end of the experiment, the concentration of CD</w:t>
      </w:r>
      <w:r w:rsidRPr="00AB507D">
        <w:rPr>
          <w:vertAlign w:val="subscript"/>
        </w:rPr>
        <w:t>4</w:t>
      </w:r>
      <w:r>
        <w:t xml:space="preserve"> exceeded that of all other isotopologues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20C56752" w:rsidR="0077152F" w:rsidRDefault="00816008" w:rsidP="0077152F">
      <w:r>
        <w:t>Variation in</w:t>
      </w:r>
      <w:r w:rsidR="0077152F">
        <w:t xml:space="preserve"> δD</w:t>
      </w:r>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145B7D">
        <w:fldChar w:fldCharType="begin"/>
      </w:r>
      <w:r w:rsidR="00DC5B90">
        <w:instrText xml:space="preserve"> ADDIN ZOTERO_ITEM CSL_CITATION {"citationID":"EigRyDzH","properties":{"formattedCitation":"(Stolper et al., 2014, 2015; Wang et al., 2015; Douglas et al., 2017; Young et al., 2017; Shuai et al., 2018; Giunta et al., 2019; Thiagarajan et al., 2020)","plainCitation":"(Stolper et al., 2014, 2015; Wang et al., 2015; Douglas et al., 2017; Young et al., 2017; Shuai et al., 2018; Giunta et al., 2019;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DC5B90" w:rsidRPr="00DC5B90">
        <w:rPr>
          <w:rFonts w:cs="Times New Roman"/>
        </w:rPr>
        <w:t>(Stolper et al., 2014, 2015; Wang et al., 2015; Douglas et al., 2017; Young et al., 2017; Shuai et al., 2018; Giunta et al., 2019; Thiagarajan et al., 2020)</w:t>
      </w:r>
      <w:r w:rsidR="00145B7D">
        <w:fldChar w:fldCharType="end"/>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D33885">
        <w:instrText xml:space="preserve"> ADDIN ZOTERO_ITEM CSL_CITATION {"citationID":"Z75ohM2w","properties":{"formattedCitation":"(Clayton, 2003; Wang et al., 2015)","plainCitation":"(Clayton, 2003; Wang et al., 2015)","noteIndex":0},"citationItems":[{"id":58,"uris":["http://zotero.org/users/local/pytFPmJs/items/ANEA62YG"],"uri":["http://zotero.org/users/local/pytFPmJs/items/ANEA62YG"],"itemData":{"id":58,"type":"article-journal","title":"Hydrogen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M."},{"family":"Ono","given":"Shuhei"}],"issued":{"date-parts":[["2015"]]}}}],"schema":"https://github.com/citation-style-language/schema/raw/master/csl-citation.json"} </w:instrText>
      </w:r>
      <w:r w:rsidR="00C45C3D">
        <w:fldChar w:fldCharType="separate"/>
      </w:r>
      <w:r w:rsidR="00DC5B90" w:rsidRPr="00DC5B90">
        <w:rPr>
          <w:rFonts w:cs="Times New Roman"/>
        </w:rPr>
        <w:t>(Clayton, 2003; Wang et al., 2015)</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 of clumped isotopologues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methane isotopologues exchange hydrogen with water or organic molecules, or (</w:t>
      </w:r>
      <w:r w:rsidR="0077152F" w:rsidRPr="00604F71">
        <w:rPr>
          <w:i/>
        </w:rPr>
        <w:t>iii</w:t>
      </w:r>
      <w:r w:rsidR="0077152F">
        <w:t xml:space="preserve">) methane isotopologues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This experiment is conceptually very similar to t</w:t>
      </w:r>
      <w:r w:rsidR="00297DB9">
        <w:t xml:space="preserve">hose conducted by Hoering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Lewan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Schimmelmann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However, none of these workers quantified the extent of deuteration in the produced natural gases, though Lewan mentioned that methane formed in his experiments contained deuterium</w:t>
      </w:r>
      <w:r w:rsidR="00113F0E">
        <w:t xml:space="preserve"> </w:t>
      </w:r>
      <w:r w:rsidR="00297DB9">
        <w:t>[</w:t>
      </w:r>
      <w:r w:rsidR="00113F0E">
        <w:t>Lewan</w:t>
      </w:r>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Lewan</w:t>
      </w:r>
      <w:r w:rsidR="00436C88">
        <w:t xml:space="preserve"> (</w:t>
      </w:r>
      <w:r w:rsidR="00113F0E">
        <w:t>pers. comm.</w:t>
      </w:r>
      <w:r w:rsidR="00436C88">
        <w:t>)</w:t>
      </w:r>
      <w:r w:rsidR="00297DB9">
        <w:t>]</w:t>
      </w:r>
      <w:r>
        <w:t>.</w:t>
      </w:r>
    </w:p>
    <w:p w14:paraId="1EAC6381" w14:textId="77777777" w:rsidR="00222825" w:rsidRDefault="00222825" w:rsidP="0077152F"/>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through, followed by ~20 ml conc. HCl,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499B1E9C" w:rsidR="00FD1FC4" w:rsidRDefault="00A408B4" w:rsidP="00824E09">
      <w:r>
        <w:t xml:space="preserve">The source material for this experiment is calcareous </w:t>
      </w:r>
      <w:r w:rsidR="0061160E">
        <w:t xml:space="preserve">Cretaceous </w:t>
      </w:r>
      <w:r w:rsidR="00824E09">
        <w:t xml:space="preserve">shale </w:t>
      </w:r>
      <w:r>
        <w:t>of the Eagle Ford Fm. sampled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Seewald by Keith F. M. Thompson (PetroSurveys,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092304">
        <w:rPr>
          <w:highlight w:val="yellow"/>
        </w:rPr>
        <w:t xml:space="preserve">Ro </w:t>
      </w:r>
      <w:r w:rsidR="00FA022C" w:rsidRPr="00BA5244">
        <w:rPr>
          <w:highlight w:val="yellow"/>
        </w:rPr>
        <w:t>0.40 to</w:t>
      </w:r>
      <w:r w:rsidR="00FA022C" w:rsidRPr="00092304">
        <w:rPr>
          <w:highlight w:val="yellow"/>
        </w:rPr>
        <w:t xml:space="preserve"> 0.55%,</w:t>
      </w:r>
      <w:r w:rsidR="00FA022C">
        <w:t xml:space="preserve"> </w:t>
      </w:r>
      <w:r w:rsidR="00FA022C" w:rsidRPr="0061160E">
        <w:rPr>
          <w:highlight w:val="yellow"/>
        </w:rPr>
        <w:t>Cardneaux</w:t>
      </w:r>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Cardneaux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was powdered to &lt;250 μm and Soxhlet-extracted (by Carl Johnson, WHOI)</w:t>
      </w:r>
      <w:r w:rsidR="009C6DD3">
        <w:t xml:space="preserve"> to remove bitumen and free hydrocarbons</w:t>
      </w:r>
      <w:r w:rsidR="00824E09">
        <w:t xml:space="preserve">. </w:t>
      </w:r>
      <w:r w:rsidR="009C6DD3">
        <w:t xml:space="preserve"> </w:t>
      </w:r>
      <w:r w:rsidR="001B0A4A">
        <w:t xml:space="preserve">In a subsequent </w:t>
      </w:r>
      <w:r w:rsidR="001B0A4A">
        <w:lastRenderedPageBreak/>
        <w:t>step, 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441767">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w:t>
      </w:r>
      <w:r w:rsidR="00441767">
        <w:t xml:space="preserve">, consistent with </w:t>
      </w:r>
      <w:r w:rsidR="00441767" w:rsidRPr="006068E8">
        <w:rPr>
          <w:strike/>
        </w:rPr>
        <w:t xml:space="preserve">reported values </w:t>
      </w:r>
      <w:r w:rsidR="0089781D" w:rsidRPr="006068E8">
        <w:rPr>
          <w:strike/>
        </w:rPr>
        <w:t>of the Lower Eagle Ford</w:t>
      </w:r>
      <w:r w:rsidR="00441767">
        <w:t xml:space="preserve"> </w:t>
      </w:r>
      <w:r w:rsidR="00441767">
        <w:fldChar w:fldCharType="begin"/>
      </w:r>
      <w:r w:rsidR="00E05C6D">
        <w:instrText xml:space="preserve"> ADDIN ZOTERO_ITEM CSL_CITATION {"citationID":"ykHQ6RbX","properties":{"formattedCitation":"(Cardneaux and Nunn, 2013; French et al., 2019b)","plainCitation":"(Cardneaux and Nunn, 2013; French et al., 2019b)","noteIndex":0},"citationItems":[{"id":375,"uris":["http://zotero.org/users/local/pytFPmJs/items/BHSXM83Z"],"uri":["http://zotero.org/users/local/pytFPmJs/items/BHSXM83Z"],"itemData":{"id":375,"type":"article-journal","title":"Estimates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A"}],"issued":{"date-parts":[["2013"]]}}},{"id":417,"uris":["http://zotero.org/users/local/pytFPmJs/items/ZUFBQEJI"],"uri":["http://zotero.org/users/local/pytFPmJs/items/ZUFBQEJI"],"itemData":{"id":417,"type":"article-journal","title":"Geochemistry of a thermally immature Eagle Ford Group drill core in central Texas","container-title":"Organic Geochemistry","page":"19 - 33","volume":"131","abstract":"The Upper Cretaceous Eagle Ford Group displays significant lateral and vertical geochemical variability. Much of the work on the Eagle Ford Group has been focused southwest of the San Marcos arch. To more fully characterize the Eagle Ford across the entire region, a thermally immature drill core was acquired north of the San Marcos arch that recovered the Pepper Shale and the Eagle Ford Group. Molecular and isotopic analyses of rock extracts were combined with bulk organic and inorganic geochemistry and mineralogy to track the variability in organic matter source and depositional environment, as well as to identify drivers of organic enrichment. The Pepper Shale received significant terrigenous organic matter in its distal deltaic or prodeltaic setting compared to the more distally deposited Eagle Ford Group that primarily hosts marine organic matter. The upper Eagle Ford contains two chemofacies. The older upper Eagle Ford chemofacies has similar mineralogy and organic matter to the underlying lower Eagle Ford, and both intervals display good to excellent source rock potential. In contrast, the younger upper Eagle Ford chemofacies has a different sterane assemblage, a larger terrigenous component, and a higher clay mineral abundance. However, anoxic to euxinic depositional conditions distinguish the lower Eagle Ford from the upper Eagle Ford, which was deposited under oxic to dysoxic conditions. Redox chemistry and organic matter source are two important variables that determine source rock quality, but they did not change in parallel during Eagle Ford deposition. Differences in organic facies explain the Tmax variability, and depositional redox conditions governed organic-richness in the Eagle Ford Group in central Texas.","DOI":"https://doi.org/10.1016/j.orggeochem.2019.02.007","ISSN":"0146-6380","author":[{"family":"French","given":"Katherine L."},{"family":"Birdwell","given":"Justin E."},{"family":"Whidden","given":"Katherine J."}],"issued":{"date-parts":[["2019"]]}}}],"schema":"https://github.com/citation-style-language/schema/raw/master/csl-citation.json"} </w:instrText>
      </w:r>
      <w:r w:rsidR="00441767">
        <w:fldChar w:fldCharType="separate"/>
      </w:r>
      <w:r w:rsidR="00DC5B90" w:rsidRPr="00DC5B90">
        <w:rPr>
          <w:rFonts w:cs="Times New Roman"/>
        </w:rPr>
        <w:t>(Cardneaux and Nunn, 2013; French et al., 2019b)</w:t>
      </w:r>
      <w:r w:rsidR="00441767">
        <w:fldChar w:fldCharType="end"/>
      </w:r>
      <w:r w:rsidR="00CD0126">
        <w: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075DF82A" w14:textId="77777777" w:rsidR="00CC314A" w:rsidRDefault="00CC314A" w:rsidP="00824E09"/>
    <w:p w14:paraId="31474CB1" w14:textId="1B0394B2" w:rsidR="00CC314A" w:rsidRDefault="00CC314A" w:rsidP="00824E09">
      <w:r>
        <w:t>Geochemical data for the</w:t>
      </w:r>
      <w:r w:rsidRPr="00CC314A">
        <w:t xml:space="preserve"> Eagle Ford</w:t>
      </w:r>
      <w:r>
        <w:t xml:space="preserve"> </w:t>
      </w:r>
      <w:r w:rsidRPr="00CC314A">
        <w:t>sample for HIPPIE-DIPPIE</w:t>
      </w:r>
      <w:r w:rsidRPr="00CC314A">
        <w:t xml:space="preserv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instrText xml:space="preserve"> ADDIN ZOTERO_ITEM CSL_CITATION {"citationID":"DhwATOVg","properties":{"formattedCitation":"(drill core GC-3; 2020)","plainCitation":"(drill core GC-3;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D."}],"issued":{"date-parts":[["2020",8,1]]}},"suppress-author":true,"prefix":"drill core GC-3; "}],"schema":"https://github.com/citation-style-language/schema/raw/master/csl-citation.json"} </w:instrText>
      </w:r>
      <w:r>
        <w:fldChar w:fldCharType="separate"/>
      </w:r>
      <w:r w:rsidRPr="00CC314A">
        <w:rPr>
          <w:rFonts w:cs="Times New Roman"/>
        </w:rPr>
        <w:t>(drill core GC-3;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bookmarkStart w:id="0" w:name="_GoBack"/>
      <w:bookmarkEnd w:id="0"/>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4AF75CC2" w14:textId="72791F85" w:rsidR="009C6DD3" w:rsidRDefault="00CD0126" w:rsidP="00824E09">
      <w:r w:rsidRPr="001E7B0F">
        <w:rPr>
          <w:strike/>
        </w:rPr>
        <w:t xml:space="preserve"> consistent with an immature source containing oil-prone Type II</w:t>
      </w:r>
      <w:r w:rsidR="00D94F66" w:rsidRPr="001E7B0F">
        <w:rPr>
          <w:strike/>
        </w:rPr>
        <w:t>S and Type II</w:t>
      </w:r>
      <w:r w:rsidRPr="001E7B0F">
        <w:rPr>
          <w:strike/>
        </w:rPr>
        <w:t xml:space="preserve"> organic matter </w:t>
      </w:r>
      <w:r w:rsidRPr="001E7B0F">
        <w:rPr>
          <w:strike/>
        </w:rPr>
        <w:fldChar w:fldCharType="begin"/>
      </w:r>
      <w:r w:rsidR="00FD1FC4" w:rsidRPr="001E7B0F">
        <w:rPr>
          <w:strike/>
        </w:rPr>
        <w:instrText xml:space="preserve"> ADDIN ZOTERO_ITEM CSL_CITATION {"citationID":"SyWOyDI8","properties":{"formattedCitation":"(Baskin, 1997)","plainCitation":"(Baskin, 1997)","noteIndex":0},"citationItems":[{"id":404,"uris":["http://zotero.org/users/local/pytFPmJs/items/7DFMU5M6"],"uri":["http://zotero.org/users/local/pytFPmJs/items/7DFMU5M6"],"itemData":{"id":404,"type":"article-journal","title":"Atomic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Pr="001E7B0F">
        <w:rPr>
          <w:strike/>
        </w:rPr>
        <w:fldChar w:fldCharType="separate"/>
      </w:r>
      <w:r w:rsidR="00DC5B90" w:rsidRPr="001E7B0F">
        <w:rPr>
          <w:rFonts w:cs="Times New Roman"/>
          <w:strike/>
        </w:rPr>
        <w:t>(Baskin, 1997)</w:t>
      </w:r>
      <w:r w:rsidRPr="001E7B0F">
        <w:rPr>
          <w:strike/>
        </w:rPr>
        <w:fldChar w:fldCharType="end"/>
      </w:r>
      <w:r w:rsidR="0089781D" w:rsidRPr="001E7B0F">
        <w:rPr>
          <w:strike/>
        </w:rPr>
        <w:t xml:space="preserve">, and also consistent with organic matter type classification using more advanced geochemical techniques </w:t>
      </w:r>
      <w:r w:rsidR="0089781D" w:rsidRPr="001E7B0F">
        <w:rPr>
          <w:strike/>
        </w:rPr>
        <w:fldChar w:fldCharType="begin"/>
      </w:r>
      <w:r w:rsidR="00D94F66" w:rsidRPr="001E7B0F">
        <w:rPr>
          <w:strike/>
        </w:rPr>
        <w:instrText xml:space="preserve"> ADDIN ZOTERO_ITEM CSL_CITATION {"citationID":"QQqHdXno","properties":{"formattedCitation":"(Donovan et al., 2017; French et al., 2019a)","plainCitation":"(Donovan et al., 2017; French et al., 2019a)","noteIndex":0},"citationItems":[{"id":438,"uris":["http://zotero.org/users/local/pytFPmJs/items/JFJ4XVKE"],"uri":["http://zotero.org/users/local/pytFPmJs/items/JFJ4XVKE"],"itemData":{"id":438,"type":"paper-conference","title":"An Organofacies-Based Mudstone Classification for Unconventional Tight Rock &amp;amp; Source Rock Plays","container-title":"URTeC 2017","page":"3683-3697","event":"Unconventional Resources Technology Conference, Austin, Texas, 24-26 July 2017","abstract":"With the recent interest in unconventional reservoirs, many new mudstone-specific classifications systems have emerged over the past decade. While these classifications all utilize a similar ternary plot with compositional end points of clay, carbonate, and quartz content; the number of divisions proposed, boundary placements, primary (top) mineral designation, as well as nomenclature used, differ greatly among the various classifications. Interestingly, none of these classifications provide insights into regional organofacies variations (organic matter types) in marine mudstones and unconventional source rock reservoirs. Now, however, a simple four-fold mudstone classification, based on the natural compositional boundaries defined by marine organofacies, based on XRD data, is offered for use in unconventional source rock analysis, paleo-geographic mapping of marine mudstones, and for forming a basic understanding of compositional risk across unconventional source rock play fairways. Clay and carbonate content are the respective primary and secondary compositional drivers in this proposed classification. In this classification, Argillaceous Mudstones contain greater than 50% clay. In marine basins, when organic-rich, Argillaceous Mudstones are characterized by the presence of terrigenous Organofacies D/E/F. Carbonate Mudstones contain less than 50% clay and greater then 30% carbonate. In marine basins, when organic-rich, Carbonate Mudstones are characterized by the presence of marine Organofacies A. Siliceous Mudstones contain less than 50% clay and less than 15% carbonate content. In marine basins, when organic-rich, Siliceous Mudstones are characterized by the presence of marine Organofacies B. Siliceous to Carbonate Mudstones contain less than 50% clay and between 15 and 30% carbonate content. In marine basins, when organic-rich, Siliceous to Carbonate Mudstones are characterized by the presence of a mixture of marine Organofacies A&amp;B. With this framework, geoscientists, engineers, and other interested parties now have a simple and easy to use mudstone classification that can be used across marine basins to help study and evaluate Unconventional Source Rock Plays.","URL":"https://library.seg.org/doi/abs/10.15530/urtec-2017-2715154","DOI":"10.15530/urtec-2017-2715154","note":"URTeC 2715154","author":[{"family":"Donovan","given":"Arthur D."},{"family":"Evenick","given":"Jonathan"},{"family":"Banfield","given":"Laura"},{"family":"McInnis","given":"Noel"},{"family":"Hill","given":"William"}],"issued":{"date-parts":[["2017"]]}}},{"id":420,"uris":["http://zotero.org/users/local/pytFPmJs/items/WZCT6TF5"],"uri":["http://zotero.org/users/local/pytFPmJs/items/WZCT6TF5"],"itemData":{"id":420,"type":"paper-conference","title":"Geochemical Analysis of the Sulfur-Rich Lower Eagle Ford Across a Natural Thermal Maturity Transect","container-title":"Conference Proceedings, 29th International Meeting on Organic Geochemistry","publisher":"European Association of Organic Geochemists","publisher-place":"Gothenburg, Sweden","page":"1-2","volume":"2019","event":"International Meeting on Organic Geochemistry","event-place":"Gothenburg, Sweden","abstract":"Thermal maturity and organic matter type are critical properties that determine the\nrelative abundance of gas versus liquid hydrocarbons that a given source rock will generate. In\naddition to its economic importance, thermal maturity is a critical parameter in evaluating\nbiomarker results for paleoenvironmental and geobiology studies. Biomarkers may be present\nor absent due to thermal maturation effects rather than primary depositional environmental\nfactors. Likewise, thermal maturity is also a valuable guide for determining whether an\nobserved biomarker or suite of biomarkers should be present in a sample or may owe its\noccurrence to migration or contamination. Many thermal maturity indices were developed for\nmarine source rocks with type-II kerogen, so their behavior in sulfur-rich source rocks with\ntype-IIS kerogen (atomic Sorg/C &gt; 0.04) requires further investigation.\nHere, we present geochemical analyses across a natural thermal maturity transect of the\nCenomanian strata of the Eagle Ford Group (lower Eagle Ford) to evaluate thermal maturity\nparameters of sulfur-rich source rocks. This comprehensive evaluation includes 1) total organic\ncarbon, programmed pyrolysis, X-ray diffraction, infrared spectroscopy, major/trace elemental\nanalysis, and vitrinite reflectance on whole and extracted rock samples; 2) elemental analysis,\ninfrared spectroscopy, and δ13C of isolated kerogens; and 3) gas chromatography triple\nquadrupole mass spectrometry biomarker analysis of extracted organic matter. The focus of\nthis presentation will be on the biomarker results and their integration with the other data types.\nDespite the geographic sample spread (~100 miles), inorganic data show that the\nsamples contain similar mineralogy and trace element composition, thereby minimizing\npotential lithology effects on thermal maturity parameters. The atomic H/C ratios and\nprogrammed pyrolysis results, including hydrogen index and Tmax, show that the samples\nrange from pre-oil through the dry-gas generation windows. The kerogen Sorg/C ratio ranges\nfrom 0.00 to 0.04. However, the biomarker thermal maturity parameters, programmed\npyrolysis data, and atomic H/C ratios together with the kerogen Sorg/C ratios show that the\nimmature samples host both type-IIS and sulfur-rich type-II kerogen (atomic Sorg/C: 0.032 to\n0.045) while the samples with lower Sorg/C ratios (atomic Sorg/C &lt; 0.03) are more mature. Based\non the crossplot relationships between thermal maturity parameters (biomarkers, programmed\npyrolysis, and atomic H/C), dibenzothiophene/(dibenzothiophene+phenanthrene) ratios, and\nSorg/C ratios, the more mature samples host matured type-IIS or sulfur-rich type II kerogens\nthat had higher initial organic sulfur contents prior to maturation. Some previously established\nthermal maturity biomarker ratios track the sample range of thermal maturity remarkably well\n(e.g., C21+22 monoaromatic steroids/total monoaromatic steroids), while other biomarker\nthermal maturity parameters display weaker relationships with thermal maturity (C31 17</w:instrText>
      </w:r>
      <w:r w:rsidR="00D94F66" w:rsidRPr="001E7B0F">
        <w:rPr>
          <w:strike/>
        </w:rPr>
        <w:instrText></w:instrText>
      </w:r>
      <w:r w:rsidR="00D94F66" w:rsidRPr="001E7B0F">
        <w:rPr>
          <w:strike/>
        </w:rPr>
        <w:instrText xml:space="preserve"> </w:instrText>
      </w:r>
      <w:r w:rsidR="00D94F66" w:rsidRPr="001E7B0F">
        <w:rPr>
          <w:strike/>
        </w:rPr>
        <w:instrText></w:instrText>
      </w:r>
      <w:r w:rsidR="00D94F66" w:rsidRPr="001E7B0F">
        <w:rPr>
          <w:strike/>
        </w:rPr>
        <w:instrText></w:instrText>
      </w:r>
      <w:r w:rsidR="00D94F66" w:rsidRPr="001E7B0F">
        <w:rPr>
          <w:strike/>
        </w:rPr>
        <w:instrText xml:space="preserve">\n22S/(22S+R)). Potential new biomarker relationships with thermal maturity are also evaluated.","URL":"https://www.earthdoc.org/content/papers/10.3997/2214-4609.201902837","DOI":"10.3997/2214-4609.201902837","author":[{"family":"French","given":"K. L."},{"family":"Birdwell","given":"J. E."},{"family":"Lewan","given":"M. D."}],"issued":{"date-parts":[["2019"]]}}}],"schema":"https://github.com/citation-style-language/schema/raw/master/csl-citation.json"} </w:instrText>
      </w:r>
      <w:r w:rsidR="0089781D" w:rsidRPr="001E7B0F">
        <w:rPr>
          <w:strike/>
        </w:rPr>
        <w:fldChar w:fldCharType="separate"/>
      </w:r>
      <w:r w:rsidR="00DC5B90" w:rsidRPr="001E7B0F">
        <w:rPr>
          <w:rFonts w:cs="Times New Roman"/>
          <w:strike/>
        </w:rPr>
        <w:t>(Donovan et al., 2017; French et al., 2019a)</w:t>
      </w:r>
      <w:r w:rsidR="0089781D" w:rsidRPr="001E7B0F">
        <w:rPr>
          <w:strike/>
        </w:rPr>
        <w:fldChar w:fldCharType="end"/>
      </w:r>
      <w:r w:rsidRPr="001E7B0F">
        <w:rPr>
          <w:strike/>
        </w:rPr>
        <w:t>.</w:t>
      </w:r>
      <w:r w:rsidRPr="00CD0126">
        <w:t xml:space="preserve"> </w:t>
      </w:r>
      <w:r>
        <w:t xml:space="preserve"> </w:t>
      </w:r>
    </w:p>
    <w:p w14:paraId="2F25E22A" w14:textId="7873E7F3" w:rsidR="0011535F" w:rsidRDefault="0011535F" w:rsidP="00824E09">
      <w:r w:rsidRPr="0011535F">
        <w:rPr>
          <w:highlight w:val="yellow"/>
        </w:rPr>
        <w:t>See Zhang et al., Eagle Ford 2017 for gas geochem data.</w:t>
      </w:r>
    </w:p>
    <w:p w14:paraId="4248F522" w14:textId="63D2470E" w:rsidR="00222825" w:rsidRDefault="00222825" w:rsidP="00222825">
      <w:r w:rsidRPr="00222825">
        <w:rPr>
          <w:highlight w:val="yellow"/>
        </w:rPr>
        <w:t>Eagle Ford is immature LOM &lt; 7 in Uvalde county [Reference: The Eagle Ford Shale Play, South Texas: Regional Variations in Fluid Types, Hydrocarbon Production and Reservoir Properties (Yao Tian, Walter B. Ayers, William, D. McCain, Jr. Texas A&amp;M University)].</w:t>
      </w:r>
      <w:r>
        <w:t xml:space="preserve">  </w:t>
      </w:r>
    </w:p>
    <w:p w14:paraId="5619C048" w14:textId="07258141" w:rsidR="00222825" w:rsidRDefault="00B64317" w:rsidP="00824E09">
      <w:r>
        <w:t>Also Kuske et al, and check the references in the Hippie-Dippie related folder</w:t>
      </w:r>
    </w:p>
    <w:p w14:paraId="67D31541" w14:textId="4CBE9787" w:rsidR="00B64317" w:rsidRDefault="007E737E" w:rsidP="00824E09">
      <w:r>
        <w:t xml:space="preserve">According to </w:t>
      </w:r>
      <w:r>
        <w:fldChar w:fldCharType="begin"/>
      </w:r>
      <w:r>
        <w:instrText xml:space="preserve"> ADDIN ZOTERO_ITEM CSL_CITATION {"citationID":"cGEgiMN2","properties":{"formattedCitation":"(Donovan et al., 2016)","plainCitation":"(Donovan et al., 2016)","noteIndex":0},"citationItems":[{"id":440,"uris":["http://zotero.org/users/local/pytFPmJs/items/DMTZEU26"],"uri":["http://zotero.org/users/local/pytFPmJs/items/DMTZEU26"],"itemData":{"id":440,"type":"chapter","title":"Findings from the Eagle Ford Outcrops of West Texas and Implications to the Subsurface of South Texas","container-title":"The Eagle Ford Shale: A Renaissance in U.S. Oil Production","collection-title":"AAPG Memoir","collection-number":"110","publisher":"American Association of Petroleum Geologists","page":"301-336","abstract":"The Eagle Ford Group crops out in a series of spectacular cut-bank exposures within Lozier Canyon region in Terrell County (west Texas). These outcrops provide an unparalleled opportunity to examine the Eagle Ford Group and gain valuable insights into explaining and predicting the vertical and lateral variability, as well as the thickness changes that can occur regionally within an unconventional source rock play.In the subsurface of south Texas, the Eagle Ford Group is typically divided into an organic-rich Lower Eagle Formation and a carbonate-rich Upper Eagle Ford Formation. Both formations are petrophysically distinct, especially on gamma ray (GR) and sonic logs. When geochemically analyzed, the basal portion of the Upper Eagle Ford Formation also contains a unique positive carbon isotope δ13C excursion interpreted as the Ocean Anoxic Event 2 (OAE2). The peak of this isotope excursion is the assigned proxy for the base of the Turonian Stage. Within the Eagle Ford outcrops of west Texas a vertical succession of five informal lithostratigraphic units, referred to as units A to E from the base up, are fairly obvious. Unit A consists of interbedded grainstones and carbonate mudstones. Unit B is dominated by organic-rich black carbonate mudstones. Unit C consists of packstone beds interbedded with light gray carbonate mudstones. Unit D consists of bioturbated marls, while Unit E consists of grainstones interbedded with carbonate mudstones and bentonites. By incorporating petrophysical and geochemical data, the Lower and Upper Eagle Formations from the subsurface of south Texas can also be defined in the Eagle Ford outcrops of west Texas. Our work suggests that outcrop units A and B represent the Lower Eagle Ford Formation, while outcrop units C, D, and E represent the Upper Eagle Ford Formation. Similar to the subsurface of south Texas, a distinct positive carbon isotope δ13C excursion also occurs in the basal portions of the Upper Eagle Ford Formation (unit C) in outcrop. More detailed analysis of the outcrop and subsurface data from the Eagle Ford Group in west Texas indicates that the five informal lithostratigraphic units can be further divided into a vertical succession of 16 subunits. This more detailed vertical facies succession was used to define four genetically related depositional sequences each with distinctive geochemical and petrophysical characteristics which make them particularly suitable for regional subsurface mapping. For nomenclature simplicity, these four sequences are herein termed the lower and upper (allo-) members of the Lower Eagle Ford Formation and the lower and upper (allo-) members of the Upper Eagle Ford Formation. The lower member of the Lower Eagle Ford Formation is an organic-rich, high-resistivity, uranium-poor mudstone-dominated sequence. A distinctive clay-rich, low-resistivity zone also marks its base. This sequence appears to be the primary unconventional reservoir interval in the subsurface of south Texas. The upper member of the Lower Eagle Ford Formation can be characterized as a uranium- and bentonite-rich, mudstone-dominated sequence. The lower member of the Upper Eagle Ford Formation is a uranium-poor interbedded mudstone and limestone succession characterized by an overall (low) blocky GR pattern, the presence of a distinctive positive carbon isotope δ13C excursion, and a clay-rich, low-resistivity zone at its base. The upper member of the Upper Eagle Formation is a bentonite-bearing, low-TOC interval that is more bioturbated toward its base and interbedded toward its top. It is characterized by the presence of a high GR, low resistivity, and low velocity mudstone at its interpreted maximum flooding surface.Regional correlations of the four defined Eagle Ford depositional sequences (allomembers) reveal that the unconformities at the base of each of the four sequences, as well as the one at the base of the overlying Austin Chalk, modify the thickness and distribution of underlying strata. Thus any attempt to explain and predict the distribution and thickness variations of any of the four sequences (allomembers), especially the organic-rich lower member of the Lower Eagle Ford Formation, is highly dependent on the recognition and regional mapping of these unconformities.","URL":"https://doi.org/10.1306/13541967M1101083","ISBN":"978-0-89181-390-3","note":"DOI: 10.1306/13541967M1101083","author":[{"family":"Donovan","given":"Arthur D."},{"family":"Staerker","given":"T. Scott"},{"family":"Gardner","given":"Rand"},{"family":"Pope","given":"Michael C."},{"family":"Pramudito","given":"Aris"},{"family":"Wehner","given":"Matthew"}],"issued":{"date-parts":[["2016"]]}}}],"schema":"https://github.com/citation-style-language/schema/raw/master/csl-citation.json"} </w:instrText>
      </w:r>
      <w:r>
        <w:fldChar w:fldCharType="separate"/>
      </w:r>
      <w:r w:rsidR="00DC5B90" w:rsidRPr="00DC5B90">
        <w:rPr>
          <w:rFonts w:cs="Times New Roman"/>
        </w:rPr>
        <w:t>(Donovan et al., 2016)</w:t>
      </w:r>
      <w:r>
        <w:fldChar w:fldCharType="end"/>
      </w:r>
      <w:r>
        <w:t xml:space="preserve">, the lower member of the Upper Eagle Ford south of the San Marcos Arch is a clay-poor interbedded mudstone and limestone.  This is consistent with the composition of the Eagle Ford sample we used for the experiment, suggesting a possible match.  </w:t>
      </w:r>
    </w:p>
    <w:p w14:paraId="27E9A030" w14:textId="00F3EFA3" w:rsidR="004372C1" w:rsidRDefault="004372C1" w:rsidP="00824E09">
      <w:r>
        <w:t xml:space="preserve">Grabowski </w:t>
      </w:r>
      <w:r>
        <w:fldChar w:fldCharType="begin"/>
      </w:r>
      <w:r>
        <w:instrText xml:space="preserve"> ADDIN ZOTERO_ITEM CSL_CITATION {"citationID":"GbT4pXN2","properties":{"formattedCitation":"(1995)","plainCitation":"(1995)","noteIndex":0},"citationItems":[{"id":434,"uris":["http://zotero.org/users/local/pytFPmJs/items/SSUDBH6B"],"uri":["http://zotero.org/users/local/pytFPmJs/items/SSUDBH6B"],"itemData":{"id":434,"type":"chapter","title":"Organic-rich chalks and calcareous mudstones of the Upper Cretaceous Austin Chalk and Eagleford Formation, south-central Texas, USA","container-title":"Petroleum Source Rocks","publisher":"Springer","page":"209–234","author":[{"family":"Grabowski","given":"GJ"}],"editor":[{"family":"Katz","given":"BJ"}],"issued":{"date-parts":[["1995"]]}},"suppress-author":true}],"schema":"https://github.com/citation-style-language/schema/raw/master/csl-citation.json"} </w:instrText>
      </w:r>
      <w:r>
        <w:fldChar w:fldCharType="separate"/>
      </w:r>
      <w:r w:rsidR="00DC5B90" w:rsidRPr="00DC5B90">
        <w:rPr>
          <w:rFonts w:cs="Times New Roman"/>
        </w:rPr>
        <w:t>(1995)</w:t>
      </w:r>
      <w:r>
        <w:fldChar w:fldCharType="end"/>
      </w:r>
      <w:r w:rsidRPr="004372C1">
        <w:t xml:space="preserve"> </w:t>
      </w:r>
      <w:r>
        <w:t xml:space="preserve">had </w:t>
      </w:r>
      <w:r w:rsidRPr="004372C1">
        <w:t>pretty high EOM/TOC, up to 80% by wt</w:t>
      </w:r>
      <w:r>
        <w:t xml:space="preserve"> for the Austin Chalk</w:t>
      </w:r>
      <w:r w:rsidRPr="004372C1">
        <w:t>; 64% is the number I got for the EF-D2O-1 sample</w:t>
      </w:r>
      <w:r>
        <w:t xml:space="preserve"> (calculated from the elemental analysis)</w:t>
      </w:r>
      <w:r w:rsidRPr="004372C1">
        <w:t>.</w:t>
      </w:r>
    </w:p>
    <w:p w14:paraId="24E709FF" w14:textId="7C63D7B6" w:rsidR="00824E09" w:rsidRDefault="00824E09" w:rsidP="00824E09">
      <w:r>
        <w:t>The starting fluid in Experiment EF-D2O-1 (“DIPPIE-1”) was heavy water (D</w:t>
      </w:r>
      <w:r w:rsidRPr="00FB7085">
        <w:rPr>
          <w:vertAlign w:val="subscript"/>
        </w:rPr>
        <w:t>2</w:t>
      </w:r>
      <w:r>
        <w:t>O, 99% purity, Cambridge Isotope Laboratories, Inc.) containing some NaCl (0.497 mol/kg). The added NaCl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overpressurization,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EE6792">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64A145B4" w:rsidR="00824E09" w:rsidRDefault="00824E09" w:rsidP="00824E09">
      <w:r>
        <w:t xml:space="preserve">To monitor the fluid composition and the extent of deuteration, samples aliquots of fluid were withdrawn through the capillary exit tube into gastight glass/PTFE syringes. Immediately prior to a sampling event, a small amount (~0.5 g) of fluid was removed and discarded in order to flush the exit tube of any residues. The concentration of </w:t>
      </w:r>
      <w:r>
        <w:lastRenderedPageBreak/>
        <w:t>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MilliQ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AA9D425" w:rsidR="00824E09" w:rsidRPr="00824E09" w:rsidRDefault="00824E09" w:rsidP="00824E09">
      <w:r>
        <w:t>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and HP 5973 mass selective detector was used to determine the amount of deuteration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each of the methane-</w:t>
      </w:r>
      <w:r w:rsidRPr="00824E09">
        <w:rPr>
          <w:i/>
        </w:rPr>
        <w:t>d</w:t>
      </w:r>
      <w:r>
        <w:t xml:space="preserve"> isotopologues were determined by analysis of commercial synthetic standards (&gt;98% purity, Cambridge Isotope Laboratories, Inc.).</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6529A069" w14:textId="0194B17D" w:rsidR="00DD6B70" w:rsidRPr="00DD6B7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Pr>
          <w:b/>
          <w:noProof/>
        </w:rPr>
        <w:t>1</w:t>
      </w:r>
      <w:r w:rsidRPr="0070262E">
        <w:rPr>
          <w:b/>
        </w:rPr>
        <w:fldChar w:fldCharType="end"/>
      </w:r>
      <w:r>
        <w:rPr>
          <w:b/>
        </w:rPr>
        <w:t>A</w:t>
      </w:r>
      <w:r>
        <w:t>.  The expected thermal maturity was estimated from this temperature profile by applying the EASY%Ro model (Sweeney and Burnham, 1990</w:t>
      </w:r>
      <w:r w:rsidR="00575F9F">
        <w:t>?), and</w:t>
      </w:r>
      <w:r>
        <w:t xml:space="preserve"> is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Pr>
          <w:b/>
          <w:noProof/>
        </w:rPr>
        <w:t>1</w:t>
      </w:r>
      <w:r w:rsidRPr="0070262E">
        <w:rPr>
          <w:b/>
        </w:rPr>
        <w:fldChar w:fldCharType="end"/>
      </w:r>
      <w:r>
        <w:rPr>
          <w:b/>
        </w:rPr>
        <w:t>B</w:t>
      </w:r>
      <w:r>
        <w:t>.  Maturities spanned the entire range of the oil window (ca. 0.5% to 1.3</w:t>
      </w:r>
      <w:r w:rsidRPr="00DD6B70">
        <w:t>%</w:t>
      </w:r>
      <w:r>
        <w:t xml:space="preserve"> </w:t>
      </w:r>
      <w:r w:rsidRPr="00DD6B70">
        <w:t>R</w:t>
      </w:r>
      <w:r w:rsidRPr="00DD6B70">
        <w:rPr>
          <w:vertAlign w:val="subscript"/>
        </w:rPr>
        <w:t>o</w:t>
      </w:r>
      <w:r w:rsidRPr="00DD6B70">
        <w:t>-equivalent</w:t>
      </w:r>
      <w:r>
        <w:t xml:space="preserve">; </w:t>
      </w:r>
      <w:r w:rsidRPr="00DD6B70">
        <w:t>Burnham, 2019)</w:t>
      </w:r>
      <w:r>
        <w:t xml:space="preserve">.  </w:t>
      </w:r>
    </w:p>
    <w:p w14:paraId="13957BC5" w14:textId="31AC3B3C" w:rsidR="00DE6F7C" w:rsidRDefault="00DE6F7C" w:rsidP="00DE6F7C">
      <w:pPr>
        <w:pStyle w:val="Heading2"/>
      </w:pPr>
      <w:r>
        <w:t>Concentrations of aqueous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EE6792">
        <w:rPr>
          <w:b/>
          <w:noProof/>
        </w:rPr>
        <w:t>2</w:t>
      </w:r>
      <w:r w:rsidR="00294B58">
        <w:rPr>
          <w:b/>
        </w:rPr>
        <w:fldChar w:fldCharType="end"/>
      </w:r>
      <w:r>
        <w:t>. Concentrations of H</w:t>
      </w:r>
      <w:r w:rsidRPr="00A60D8A">
        <w:rPr>
          <w:vertAlign w:val="subscript"/>
        </w:rPr>
        <w:t>2</w:t>
      </w:r>
      <w:r>
        <w:t xml:space="preserve"> increased from undetectable (&lt;10 μmol/kg) to up to 0.8 mmol/kg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3EA7BFA2"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t>This might indicate that carbonate reached saturation and began to precipitate (Seewald et al., 1998); to verify this, measurements of major cations are required. Production of CO2 as the most abundant product of hydrothermal alteration of kerogen is also consistent with prior experimental work (Seewald, 2003). Alternatively, carbonate could have been released from the rock as it had not been decalcified prior to heating.</w:t>
      </w:r>
    </w:p>
    <w:p w14:paraId="7BE92A0F" w14:textId="57C40494" w:rsidR="0077152F" w:rsidRDefault="00DE6F7C" w:rsidP="00DE6F7C">
      <w:r>
        <w:lastRenderedPageBreak/>
        <w:t xml:space="preserve">Concentrations of methane increased </w:t>
      </w:r>
      <w:r w:rsidR="00A60D8A">
        <w:t>in every successive</w:t>
      </w:r>
      <w:r>
        <w:t xml:space="preserve"> </w:t>
      </w:r>
      <w:r w:rsidR="00A60D8A">
        <w:t>time step</w:t>
      </w:r>
      <w:r>
        <w:t>, as did concentrations of detected n-alkanes.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7AAEC61C" w14:textId="59495223" w:rsidR="00DE6F7C" w:rsidRDefault="00DE6F7C" w:rsidP="00DE6F7C">
      <w:pPr>
        <w:pStyle w:val="Heading2"/>
      </w:pPr>
      <w:r>
        <w:t>Production of deuterated methane</w:t>
      </w:r>
      <w:r w:rsidR="00F618C2">
        <w:t xml:space="preserve"> isotopologues</w:t>
      </w:r>
    </w:p>
    <w:p w14:paraId="045B7013" w14:textId="1513E952"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Pr>
          <w:b/>
          <w:noProof/>
        </w:rPr>
        <w:t>3</w:t>
      </w:r>
      <w:r>
        <w:rPr>
          <w:b/>
        </w:rPr>
        <w:fldChar w:fldCharType="end"/>
      </w:r>
      <w:r w:rsidR="00124E29">
        <w:t xml:space="preserve">.  Fragment intensities were very similar to those determined by Diebeler and Moehler (1950).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Pr>
          <w:b/>
          <w:noProof/>
        </w:rPr>
        <w:t>4</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069DEA1"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ED6AD8">
        <w:t xml:space="preserve"> </w:t>
      </w:r>
      <w:r w:rsidR="000C1585">
        <w:t xml:space="preserve"> Estimated </w:t>
      </w:r>
      <w:r w:rsidR="00ED6AD8">
        <w:t>relative abundances of methane-</w:t>
      </w:r>
      <w:r w:rsidR="00ED6AD8">
        <w:rPr>
          <w:i/>
        </w:rPr>
        <w:t>d</w:t>
      </w:r>
      <w:r w:rsidR="00ED6AD8">
        <w:t xml:space="preserve"> isotopologues</w:t>
      </w:r>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0C1585" w:rsidRPr="00ED6AD8">
        <w:rPr>
          <w:b/>
          <w:noProof/>
        </w:rPr>
        <w:t>5</w:t>
      </w:r>
      <w:r w:rsidR="000C1585" w:rsidRPr="00ED6AD8">
        <w:rPr>
          <w:b/>
        </w:rPr>
        <w:fldChar w:fldCharType="end"/>
      </w:r>
      <w:r w:rsidR="000C1585">
        <w:rPr>
          <w:b/>
        </w:rPr>
        <w:t>A</w:t>
      </w:r>
      <w:r w:rsidR="00ED6AD8">
        <w:t>.</w:t>
      </w:r>
      <w:r w:rsidR="00807EED">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ED6AD8" w:rsidRPr="00ED6AD8">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 isotopologue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ED126F">
        <w:rPr>
          <w:b/>
          <w:noProof/>
        </w:rPr>
        <w:t>6</w:t>
      </w:r>
      <w:r w:rsidR="00ED126F">
        <w:rPr>
          <w:b/>
        </w:rPr>
        <w:fldChar w:fldCharType="end"/>
      </w:r>
      <w:r w:rsidR="00ED126F">
        <w:t>.</w:t>
      </w:r>
    </w:p>
    <w:p w14:paraId="4F65AED5" w14:textId="35737FAC" w:rsidR="00DE6F7C" w:rsidRDefault="00DE6F7C" w:rsidP="00DE6F7C">
      <w:r>
        <w:t>Methane formed during the early stages of the experiment at 200 °C was primarily CH</w:t>
      </w:r>
      <w:r w:rsidRPr="0043165F">
        <w:rPr>
          <w:vertAlign w:val="subscript"/>
        </w:rPr>
        <w:t>4</w:t>
      </w:r>
      <w:r>
        <w:t xml:space="preserve"> with some CH</w:t>
      </w:r>
      <w:r w:rsidRPr="0043165F">
        <w:rPr>
          <w:vertAlign w:val="subscript"/>
        </w:rPr>
        <w:t>3</w:t>
      </w:r>
      <w:r>
        <w:t>D, whereas at higher temperatures, the isotopologues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ED126F" w:rsidRPr="00ED6AD8">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B1A88">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O isotopic exchange occurring after the generation of primarily non-deuterated methane. This is unlikely given the sluggish pace at which D/H exchange occurs for methane (Reeves et al., 2012</w:t>
      </w:r>
      <w:r w:rsidR="00F94FD9">
        <w:t>; Wang et al., 2018</w:t>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504DE708" w14:textId="1B76970C" w:rsidR="00DE6F7C" w:rsidRPr="00092304" w:rsidRDefault="00DE6F7C" w:rsidP="00DE6F7C">
      <w:r>
        <w:t>Production of CH</w:t>
      </w:r>
      <w:r w:rsidRPr="006871AE">
        <w:rPr>
          <w:vertAlign w:val="subscript"/>
        </w:rPr>
        <w:t>4</w:t>
      </w:r>
      <w:r>
        <w:t xml:space="preserve"> at</w:t>
      </w:r>
      <w:r w:rsidR="00ED13DE">
        <w:t xml:space="preserve"> the beginning of the experimen</w:t>
      </w:r>
      <w:r>
        <w:t xml:space="preserve">t </w:t>
      </w:r>
      <w:r w:rsidR="00407AB3">
        <w:t>(</w:t>
      </w:r>
      <w:r>
        <w:t>indicates that the “capping” hydrogen was derived from kerogen or other H-containing species in the rock as opposed to water. Alternatively, the CH</w:t>
      </w:r>
      <w:r w:rsidRPr="006871AE">
        <w:rPr>
          <w:vertAlign w:val="subscript"/>
        </w:rPr>
        <w:t>4</w:t>
      </w:r>
      <w:r>
        <w:t xml:space="preserve"> observed at the first time point may have been sorbed to a solid phase and leached into the fluid. Production of CH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t>.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8E1D58" w:rsidRPr="00ED6AD8">
        <w:rPr>
          <w:b/>
          <w:noProof/>
        </w:rPr>
        <w:t>5</w:t>
      </w:r>
      <w:r w:rsidR="008E1D58" w:rsidRPr="00ED6AD8">
        <w:rPr>
          <w:b/>
        </w:rPr>
        <w:fldChar w:fldCharType="end"/>
      </w:r>
      <w:r w:rsidR="008E1D58">
        <w:rPr>
          <w:b/>
        </w:rPr>
        <w:t>B</w:t>
      </w:r>
      <w:r>
        <w:t>) suggests that kerogen or oil from which methane was generated did not fully exchange before methane formed.</w:t>
      </w:r>
      <w:r w:rsidR="004E380B">
        <w:t xml:space="preserve">  </w:t>
      </w:r>
    </w:p>
    <w:p w14:paraId="01346638" w14:textId="58113E52"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4B36EE" w:rsidRPr="00ED6AD8">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w:t>
      </w:r>
      <w:r w:rsidR="009D1A3D">
        <w:lastRenderedPageBreak/>
        <w:t>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(Reeves et al., 2012).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r w:rsidR="00D34321" w:rsidRPr="00D34321">
        <w:t>δD</w:t>
      </w:r>
      <w:r w:rsidR="008E4400">
        <w:t xml:space="preserve"> value of water</w:t>
      </w:r>
      <w:r w:rsidR="00D34321">
        <w:t xml:space="preserve">.  </w:t>
      </w:r>
    </w:p>
    <w:p w14:paraId="7B6237B4" w14:textId="107348B7" w:rsidR="00DD191D" w:rsidRPr="00DD191D" w:rsidRDefault="00DD191D" w:rsidP="00DE6F7C">
      <w:pPr>
        <w:rPr>
          <w:b/>
        </w:rPr>
      </w:pPr>
      <w:r>
        <w:t>CD</w:t>
      </w:r>
      <w:r>
        <w:rPr>
          <w:vertAlign w:val="subscript"/>
        </w:rPr>
        <w:t>4</w:t>
      </w:r>
      <w:r>
        <w:t xml:space="preserve"> predominates towards the end of the experiment (from time point #7 onwards)</w:t>
      </w:r>
      <w:r w:rsidR="007100BB">
        <w:t xml:space="preserve">.  This </w:t>
      </w:r>
      <w:r w:rsidR="00B21301">
        <w:t>coincides with the end of the oil window</w:t>
      </w:r>
      <w:r w:rsidR="00B046EC">
        <w:t xml:space="preserve"> (</w:t>
      </w:r>
      <w:r w:rsidR="006749E8">
        <w:t>EASY%Ro between 0.9 and 1.3%)</w:t>
      </w:r>
      <w:r w:rsidR="006749E8">
        <w:rPr>
          <w:b/>
        </w:rPr>
        <w:t xml:space="preserve"> </w:t>
      </w:r>
      <w:r w:rsidR="00CA29BF" w:rsidRPr="00CA29BF">
        <w:t>(</w:t>
      </w:r>
      <w:r w:rsidR="00611AE4">
        <w:rPr>
          <w:b/>
        </w:rPr>
        <w:t>Fig. </w:t>
      </w:r>
      <w:r w:rsidR="00611AE4">
        <w:rPr>
          <w:b/>
        </w:rPr>
        <w:fldChar w:fldCharType="begin"/>
      </w:r>
      <w:r w:rsidR="00611AE4">
        <w:rPr>
          <w:b/>
        </w:rPr>
        <w:instrText xml:space="preserve"> REF figDeuteration \h </w:instrText>
      </w:r>
      <w:r w:rsidR="00611AE4">
        <w:rPr>
          <w:b/>
        </w:rPr>
      </w:r>
      <w:r w:rsidR="00611AE4">
        <w:rPr>
          <w:b/>
        </w:rPr>
        <w:fldChar w:fldCharType="separate"/>
      </w:r>
      <w:r w:rsidR="00611AE4">
        <w:rPr>
          <w:b/>
          <w:noProof/>
        </w:rPr>
        <w:t>6</w:t>
      </w:r>
      <w:r w:rsidR="00611AE4">
        <w:rPr>
          <w:b/>
        </w:rPr>
        <w:fldChar w:fldCharType="end"/>
      </w:r>
      <w:r w:rsidR="00611AE4">
        <w:rPr>
          <w:b/>
        </w:rPr>
        <w:t>A</w:t>
      </w:r>
      <w:r w:rsidR="00B046EC">
        <w:t>).</w:t>
      </w:r>
      <w:r w:rsidR="00B21301">
        <w:t xml:space="preserve"> </w:t>
      </w:r>
    </w:p>
    <w:p w14:paraId="734DA5F5" w14:textId="412CEB26" w:rsidR="00EC3FCB" w:rsidRPr="00581D19" w:rsidRDefault="00810FF7" w:rsidP="00DE6F7C">
      <w:r>
        <w:t>Fig. 6A</w:t>
      </w:r>
      <w:r w:rsidR="00581D19">
        <w:t xml:space="preserve"> shows the p</w:t>
      </w:r>
      <w:r w:rsidR="00581D19" w:rsidRPr="00581D19">
        <w:t>ercentage of water-derived hydrogen in CH4 vs. estimated maturity (EASY%Ro).  Small symbols are from Wei et al. (2019, OG).  Some difference is expected given the</w:t>
      </w:r>
      <w:r w:rsidR="004F2F06">
        <w:t xml:space="preserve"> different source rocks, experi</w:t>
      </w:r>
      <w:r w:rsidR="00581D19" w:rsidRPr="00581D19">
        <w:t xml:space="preserve">mental conditions, and that the aqueous medua in HIPIEDIPPIE was D2O.  </w:t>
      </w:r>
    </w:p>
    <w:p w14:paraId="6AB74F84" w14:textId="38BB958F" w:rsidR="00EC3FCB" w:rsidRPr="004E380B" w:rsidRDefault="00EC3FCB" w:rsidP="00DE6F7C">
      <w:pPr>
        <w:rPr>
          <w:b/>
        </w:rPr>
      </w:pPr>
      <w:r w:rsidRPr="00EC3FCB">
        <w:rPr>
          <w:b/>
          <w:highlight w:val="yellow"/>
        </w:rPr>
        <w:t>ADD PLOT OF TOTAL MASS GENERATED (CONC*VOLUME REMAINING + SumC*Vwithdrawn), note doesn't account for any cracking of C2-C5</w:t>
      </w:r>
    </w:p>
    <w:p w14:paraId="5A02196A" w14:textId="0743BB1E" w:rsidR="00DE6F7C" w:rsidRPr="00092304" w:rsidRDefault="00DE6F7C" w:rsidP="00DE6F7C">
      <w:pPr>
        <w:rPr>
          <w:color w:val="FF0000"/>
        </w:rPr>
      </w:pPr>
      <w:r w:rsidRPr="00092304">
        <w:rPr>
          <w:color w:val="FF0000"/>
        </w:rPr>
        <w:t>While examining the total ion and extracted ion chromatograms to quantify the deuteration in CH</w:t>
      </w:r>
      <w:r w:rsidRPr="00092304">
        <w:rPr>
          <w:color w:val="FF0000"/>
          <w:vertAlign w:val="subscript"/>
        </w:rPr>
        <w:t>4</w:t>
      </w:r>
      <w:r w:rsidRPr="00092304">
        <w:rPr>
          <w:color w:val="FF0000"/>
        </w:rPr>
        <w:t>, an unknown and unexpected peak was found eluting immediately following the CH</w:t>
      </w:r>
      <w:r w:rsidRPr="00092304">
        <w:rPr>
          <w:color w:val="FF0000"/>
          <w:vertAlign w:val="subscript"/>
        </w:rPr>
        <w:t>4</w:t>
      </w:r>
      <w:r w:rsidRPr="00092304">
        <w:rPr>
          <w:color w:val="FF0000"/>
        </w:rPr>
        <w:t xml:space="preserve"> and air peaks. This mystery peak appeared to yield methyl fragments that were also progressively more deuterated with reaction time. Re-analysis of several samples while scanning a higher mass range suggested that the mystery compound had stable fragments near m/z 45 to 50 (depending on degree of deuterium substitution).</w:t>
      </w:r>
      <w:r w:rsidR="00B919DC" w:rsidRPr="00092304">
        <w:rPr>
          <w:color w:val="FF0000"/>
        </w:rPr>
        <w:t xml:space="preserve"> </w:t>
      </w:r>
      <w:r w:rsidRPr="00092304">
        <w:rPr>
          <w:color w:val="FF0000"/>
        </w:rPr>
        <w:t>This was verified by GC-MS analysis of a commercial isobutane standard (mostly isobutane-</w:t>
      </w:r>
      <w:r w:rsidRPr="00092304">
        <w:rPr>
          <w:i/>
          <w:color w:val="FF0000"/>
        </w:rPr>
        <w:t>d</w:t>
      </w:r>
      <w:r w:rsidRPr="00092304">
        <w:rPr>
          <w:color w:val="FF0000"/>
          <w:vertAlign w:val="subscript"/>
        </w:rPr>
        <w:t>0</w:t>
      </w:r>
      <w:r w:rsidRPr="00092304">
        <w:rPr>
          <w:color w:val="FF0000"/>
        </w:rPr>
        <w:t>) which yielded a base peak at m/z 43. No attempt to quantify the degree of deuteration in isobutane was made.</w:t>
      </w:r>
    </w:p>
    <w:p w14:paraId="5218904D" w14:textId="77777777" w:rsidR="00F15A65" w:rsidRDefault="00F15A65" w:rsidP="00F15A65"/>
    <w:p w14:paraId="1364AB1F" w14:textId="77777777" w:rsidR="00F15A65" w:rsidRDefault="00F15A65" w:rsidP="00F15A65">
      <w:r>
        <w:rPr>
          <w:highlight w:val="yellow"/>
        </w:rPr>
        <w:t>Comments in</w:t>
      </w:r>
      <w:r w:rsidRPr="00222825">
        <w:rPr>
          <w:highlight w:val="yellow"/>
        </w:rPr>
        <w:t xml:space="preserve"> Wei et al., 2019, Org Geochem</w:t>
      </w:r>
    </w:p>
    <w:p w14:paraId="707F819A" w14:textId="3D323AB8" w:rsidR="00620C79" w:rsidRDefault="0023249C" w:rsidP="00DE6F7C">
      <w:r>
        <w:rPr>
          <w:noProof/>
        </w:rPr>
        <w:drawing>
          <wp:inline distT="0" distB="0" distL="0" distR="0" wp14:anchorId="4B038C18" wp14:editId="62225A18">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25" cy="1117592"/>
                    </a:xfrm>
                    <a:prstGeom prst="rect">
                      <a:avLst/>
                    </a:prstGeom>
                  </pic:spPr>
                </pic:pic>
              </a:graphicData>
            </a:graphic>
          </wp:inline>
        </w:drawing>
      </w:r>
    </w:p>
    <w:p w14:paraId="1BD441E5" w14:textId="29B21962" w:rsidR="00620C79" w:rsidRPr="00092304" w:rsidRDefault="00620C79" w:rsidP="00DE6F7C">
      <w:pPr>
        <w:rPr>
          <w:color w:val="FF0000"/>
        </w:rPr>
      </w:pPr>
      <w:r w:rsidRPr="00092304">
        <w:rPr>
          <w:color w:val="FF0000"/>
        </w:rPr>
        <w:t>There are three features in the dataset:</w:t>
      </w:r>
    </w:p>
    <w:p w14:paraId="51CDA818" w14:textId="55B23EB8" w:rsidR="00620C79" w:rsidRPr="00092304" w:rsidRDefault="00620C79" w:rsidP="00620C79">
      <w:pPr>
        <w:pStyle w:val="ListParagraph"/>
        <w:numPr>
          <w:ilvl w:val="0"/>
          <w:numId w:val="18"/>
        </w:numPr>
        <w:rPr>
          <w:color w:val="FF0000"/>
        </w:rPr>
      </w:pPr>
      <w:r w:rsidRPr="00092304">
        <w:rPr>
          <w:color w:val="FF0000"/>
        </w:rPr>
        <w:t>Predominance of CD4 at end of experiment</w:t>
      </w:r>
      <w:r w:rsidR="00F61354" w:rsidRPr="00092304">
        <w:rPr>
          <w:color w:val="FF0000"/>
        </w:rPr>
        <w:t>, coinciding with end of oil window</w:t>
      </w:r>
      <w:r w:rsidRPr="00092304">
        <w:rPr>
          <w:color w:val="FF0000"/>
        </w:rPr>
        <w:t>.</w:t>
      </w:r>
    </w:p>
    <w:p w14:paraId="77419305" w14:textId="72E044E8" w:rsidR="00620C79" w:rsidRPr="00092304" w:rsidRDefault="00620C79" w:rsidP="00620C79">
      <w:pPr>
        <w:pStyle w:val="ListParagraph"/>
        <w:numPr>
          <w:ilvl w:val="0"/>
          <w:numId w:val="18"/>
        </w:numPr>
        <w:rPr>
          <w:color w:val="FF0000"/>
        </w:rPr>
      </w:pPr>
      <w:r w:rsidRPr="00092304">
        <w:rPr>
          <w:color w:val="FF0000"/>
        </w:rPr>
        <w:t>Lack of direct CH4-CH4 isotopic exchange even at 350 C (CH4 did not increase)</w:t>
      </w:r>
    </w:p>
    <w:p w14:paraId="716014CF" w14:textId="621D8E7D" w:rsidR="00620C79" w:rsidRPr="00092304" w:rsidRDefault="00620C79" w:rsidP="00620C79">
      <w:pPr>
        <w:pStyle w:val="ListParagraph"/>
        <w:numPr>
          <w:ilvl w:val="0"/>
          <w:numId w:val="18"/>
        </w:numPr>
        <w:rPr>
          <w:color w:val="FF0000"/>
        </w:rPr>
      </w:pPr>
      <w:r w:rsidRPr="00092304">
        <w:rPr>
          <w:color w:val="FF0000"/>
        </w:rPr>
        <w:t>It has not escaped our notice that CH2D2 is notably absent.</w:t>
      </w:r>
    </w:p>
    <w:p w14:paraId="68B2A32E" w14:textId="27767AB9" w:rsidR="00DE6F7C" w:rsidRDefault="005B7361" w:rsidP="005B7361">
      <w:pPr>
        <w:pStyle w:val="Heading1"/>
      </w:pPr>
      <w:r>
        <w:lastRenderedPageBreak/>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E0D7CD2" w14:textId="77777777" w:rsidR="005B7361" w:rsidRDefault="005B7361" w:rsidP="005B7361"/>
    <w:p w14:paraId="1996CBDC" w14:textId="3DD8BDD0" w:rsidR="005B7361" w:rsidRDefault="00AA2707" w:rsidP="00E04AC6">
      <w:pPr>
        <w:pStyle w:val="Heading2"/>
      </w:pPr>
      <w:r>
        <w:t>G</w:t>
      </w:r>
      <w:r w:rsidR="00E04AC6">
        <w:t>ene</w:t>
      </w:r>
      <w:r>
        <w:t>ration potential of natural gas</w:t>
      </w:r>
    </w:p>
    <w:p w14:paraId="32704395" w14:textId="583E5899" w:rsidR="00E04AC6" w:rsidRDefault="00E04AC6" w:rsidP="00E04AC6">
      <w:r>
        <w:t>No longer limited by HI ….. can make as much as TOC allows (viz. Helgeson paper).</w:t>
      </w:r>
    </w:p>
    <w:p w14:paraId="0594F74E" w14:textId="77777777" w:rsidR="00040D82" w:rsidRDefault="00040D82" w:rsidP="00E04AC6"/>
    <w:p w14:paraId="1ED5979B" w14:textId="0B4720B8" w:rsidR="00040D82" w:rsidRDefault="00040D82" w:rsidP="00E04AC6">
      <w:pPr>
        <w:rPr>
          <w:rFonts w:ascii="Georgia" w:hAnsi="Georgia"/>
          <w:color w:val="2E2E2E"/>
          <w:sz w:val="27"/>
          <w:szCs w:val="27"/>
        </w:rPr>
      </w:pPr>
      <w:r>
        <w:rPr>
          <w:rFonts w:ascii="Georgia" w:hAnsi="Georgia"/>
          <w:color w:val="2E2E2E"/>
          <w:sz w:val="27"/>
          <w:szCs w:val="27"/>
        </w:rPr>
        <w:t>Other factors such as water pressure, fluid chemistry, fluid flow, the presence of oil or Type I organic matter and methane or CO</w:t>
      </w:r>
      <w:r>
        <w:rPr>
          <w:rFonts w:ascii="Georgia" w:hAnsi="Georgia"/>
          <w:color w:val="2E2E2E"/>
          <w:sz w:val="20"/>
          <w:szCs w:val="20"/>
          <w:vertAlign w:val="subscript"/>
        </w:rPr>
        <w:t>2</w:t>
      </w:r>
      <w:r>
        <w:rPr>
          <w:rFonts w:ascii="Georgia" w:hAnsi="Georgia"/>
          <w:color w:val="2E2E2E"/>
          <w:sz w:val="27"/>
          <w:szCs w:val="27"/>
        </w:rPr>
        <w:t> partial pressures were found to play only minor roles in the development of vitrinite reflectance.  (Huang 1996, e</w:t>
      </w:r>
      <w:r w:rsidR="00BF425F">
        <w:rPr>
          <w:rFonts w:ascii="Georgia" w:hAnsi="Georgia"/>
          <w:color w:val="2E2E2E"/>
          <w:sz w:val="27"/>
          <w:szCs w:val="27"/>
        </w:rPr>
        <w:t>xxon).</w:t>
      </w:r>
    </w:p>
    <w:p w14:paraId="13A3BAEF" w14:textId="79EFFEB5" w:rsidR="00BF425F" w:rsidRDefault="00BF425F" w:rsidP="00E04AC6">
      <w:pPr>
        <w:rPr>
          <w:rFonts w:ascii="Georgia" w:hAnsi="Georgia"/>
          <w:color w:val="2E2E2E"/>
          <w:sz w:val="27"/>
          <w:szCs w:val="27"/>
        </w:rPr>
      </w:pPr>
      <w:r>
        <w:rPr>
          <w:rFonts w:ascii="Georgia" w:hAnsi="Georgia"/>
          <w:color w:val="2E2E2E"/>
          <w:sz w:val="27"/>
          <w:szCs w:val="27"/>
        </w:rPr>
        <w:t xml:space="preserve">The literature is conflicted on the importance of water on vitrinite reflectance.  For a review of the literature see Hackley and Lewan, 2018.  </w:t>
      </w:r>
    </w:p>
    <w:p w14:paraId="5D615468" w14:textId="1ED45A0B" w:rsidR="00BF425F" w:rsidRDefault="0019246B" w:rsidP="00E04AC6">
      <w:pPr>
        <w:rPr>
          <w:rFonts w:ascii="Georgia" w:hAnsi="Georgia"/>
          <w:color w:val="2E2E2E"/>
          <w:sz w:val="27"/>
          <w:szCs w:val="27"/>
        </w:rPr>
      </w:pPr>
      <w:r>
        <w:rPr>
          <w:rFonts w:ascii="Georgia" w:hAnsi="Georgia"/>
          <w:color w:val="2E2E2E"/>
          <w:sz w:val="27"/>
          <w:szCs w:val="27"/>
        </w:rPr>
        <w:t>We compared several different models of vitrinite reflectance: EASY%Ro (Sweeney &amp; Burnham, 1990), EASY%RoB (Burnham 2019), EASY%RoV (Burnham 2019), and Basin%Ro (Nielsen et al., 2016).  We show both F (fraction of oil generated as modeled) and modeled %Ro</w:t>
      </w:r>
      <w:r w:rsidR="000F4B52">
        <w:rPr>
          <w:rFonts w:ascii="Georgia" w:hAnsi="Georgia"/>
          <w:color w:val="2E2E2E"/>
          <w:sz w:val="27"/>
          <w:szCs w:val="27"/>
        </w:rPr>
        <w:t xml:space="preserve"> (Fig. S-1A, S-1B).  </w:t>
      </w:r>
    </w:p>
    <w:p w14:paraId="1E12804B" w14:textId="28DDC143" w:rsidR="0019246B" w:rsidRPr="00E04AC6" w:rsidRDefault="0019246B" w:rsidP="00E04AC6">
      <w:r>
        <w:rPr>
          <w:rFonts w:ascii="Georgia" w:hAnsi="Georgia"/>
          <w:color w:val="2E2E2E"/>
          <w:sz w:val="27"/>
          <w:szCs w:val="27"/>
        </w:rPr>
        <w:t>We assumed here that parimary oil generation occurs principally within the range 0.5 to 1.3 %Ro-</w:t>
      </w:r>
      <w:r w:rsidR="006C0D13">
        <w:rPr>
          <w:rFonts w:ascii="Georgia" w:hAnsi="Georgia"/>
          <w:color w:val="2E2E2E"/>
          <w:sz w:val="27"/>
          <w:szCs w:val="27"/>
        </w:rPr>
        <w:t>equivalent</w:t>
      </w:r>
      <w:r w:rsidR="00C3168A">
        <w:rPr>
          <w:rFonts w:ascii="Georgia" w:hAnsi="Georgia"/>
          <w:color w:val="2E2E2E"/>
          <w:sz w:val="27"/>
          <w:szCs w:val="27"/>
        </w:rPr>
        <w:t xml:space="preserve"> (Burnham, 2019)</w:t>
      </w:r>
      <w:r w:rsidR="006C0D13">
        <w:rPr>
          <w:rFonts w:ascii="Georgia" w:hAnsi="Georgia"/>
          <w:color w:val="2E2E2E"/>
          <w:sz w:val="27"/>
          <w:szCs w:val="27"/>
        </w:rPr>
        <w:t xml:space="preserve">.  Under conditions encountered in this experiment, the modeled conversion of oil is between 5% </w:t>
      </w:r>
      <w:r w:rsidR="00B06483">
        <w:rPr>
          <w:rFonts w:ascii="Georgia" w:hAnsi="Georgia"/>
          <w:color w:val="2E2E2E"/>
          <w:sz w:val="27"/>
          <w:szCs w:val="27"/>
        </w:rPr>
        <w:t>and 95%, respectively (Fig. S1</w:t>
      </w:r>
      <w:r w:rsidR="006C0D13">
        <w:rPr>
          <w:rFonts w:ascii="Georgia" w:hAnsi="Georgia"/>
          <w:color w:val="2E2E2E"/>
          <w:sz w:val="27"/>
          <w:szCs w:val="27"/>
        </w:rPr>
        <w:t xml:space="preserve">). </w:t>
      </w:r>
    </w:p>
    <w:p w14:paraId="35A9E7EC" w14:textId="6BD58CC4" w:rsidR="005B7361" w:rsidRDefault="00082994" w:rsidP="005B7361">
      <w:r>
        <w:t>Zhang et al</w:t>
      </w:r>
    </w:p>
    <w:p w14:paraId="17CE726B" w14:textId="0F5499FF" w:rsidR="0061729B" w:rsidRDefault="0061729B" w:rsidP="005B7361">
      <w:r>
        <w:t>Oil cracking hydrous: Jin et al, He et al 2019</w:t>
      </w:r>
    </w:p>
    <w:p w14:paraId="7E9733B3" w14:textId="29A96786" w:rsidR="0061729B" w:rsidRDefault="0061729B" w:rsidP="005B7361">
      <w:r>
        <w:t>Kerogen maturation hydrous:  Gao et al., 2014 (higher maturity)</w:t>
      </w:r>
    </w:p>
    <w:p w14:paraId="18BE73E1" w14:textId="51C8074A" w:rsidR="0061729B" w:rsidRDefault="001A1E29" w:rsidP="005B7361">
      <w:r>
        <w:t>French et al, Eagle Ford geochemistry for Sorg/TOC</w:t>
      </w:r>
    </w:p>
    <w:p w14:paraId="400E17D4" w14:textId="0312EB89" w:rsidR="00F032AC" w:rsidRDefault="00F032AC" w:rsidP="005B7361">
      <w:r>
        <w:t>Whil</w:t>
      </w:r>
      <w:r w:rsidR="00092304">
        <w:t xml:space="preserve">e Lewan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of deuterated methane isotopolgoues,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also show production of deuterated and perdeuterated isotoplogues of methane (M.D. Lewan, personal correspondence).</w:t>
      </w:r>
    </w:p>
    <w:p w14:paraId="196CFF9D" w14:textId="5CF3E2E5" w:rsidR="00696067" w:rsidRDefault="00696067" w:rsidP="00696067">
      <w:pPr>
        <w:pStyle w:val="Heading1"/>
      </w:pPr>
      <w:r>
        <w:t>Conclusions</w:t>
      </w:r>
    </w:p>
    <w:p w14:paraId="0FDB0081" w14:textId="5854F5EF" w:rsidR="000C1E01" w:rsidRDefault="009177F8" w:rsidP="000C1E01">
      <w:r>
        <w:t>T</w:t>
      </w:r>
      <w:r w:rsidR="0045739A">
        <w:t>hree features in the</w:t>
      </w:r>
      <w:r>
        <w:t xml:space="preserve"> dataset are notable</w:t>
      </w:r>
      <w:r w:rsidR="007254BD">
        <w:t>: (</w:t>
      </w:r>
      <w:r w:rsidR="007254BD">
        <w:rPr>
          <w:i/>
        </w:rPr>
        <w:t>i</w:t>
      </w:r>
      <w:r w:rsidR="007254BD">
        <w:t>) the</w:t>
      </w:r>
      <w:r>
        <w:t xml:space="preserve"> predominance of CD</w:t>
      </w:r>
      <w:r>
        <w:rPr>
          <w:vertAlign w:val="subscript"/>
        </w:rPr>
        <w:t>4</w:t>
      </w:r>
      <w:r>
        <w:t xml:space="preserve"> at the end of the experiment, coinciding with the</w:t>
      </w:r>
      <w:r w:rsidR="007254BD">
        <w:t xml:space="preserve"> late oil window; (</w:t>
      </w:r>
      <w:r w:rsidR="007254BD">
        <w:rPr>
          <w:i/>
        </w:rPr>
        <w:t>ii</w:t>
      </w:r>
      <w:r w:rsidR="007254BD">
        <w:t xml:space="preserve">) </w:t>
      </w:r>
      <w:r>
        <w:t xml:space="preserve">the lack of direct </w:t>
      </w:r>
      <w:r w:rsidR="008101BA">
        <w:t>m</w:t>
      </w:r>
      <w:r w:rsidR="001868D8">
        <w:t>ethane-</w:t>
      </w:r>
      <w:r w:rsidR="008101BA">
        <w:t xml:space="preserve">water </w:t>
      </w:r>
      <w:r>
        <w:t>isotopic exchange even at 350 °C</w:t>
      </w:r>
      <w:r w:rsidR="007254BD">
        <w:t>; and (</w:t>
      </w:r>
      <w:r w:rsidR="007254BD">
        <w:rPr>
          <w:i/>
        </w:rPr>
        <w:t>iii</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w:t>
      </w:r>
      <w:r w:rsidR="008800A5">
        <w:lastRenderedPageBreak/>
        <w:t>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kerogen types may reveal systematic differences in the kinetics of exchangability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7997041" w:rsidR="0045739A" w:rsidRPr="008800A5" w:rsidRDefault="0045739A"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clump  isotopes of methane from various origins and settings.  You did a  fantastic job in interpreting, organizing and presenting the data on  aqueous methane!  I also enjoyed your pyrolysis work using the aqueous  methane generated from the Eagle Ford sample.      </w:t>
      </w:r>
    </w:p>
    <w:p w14:paraId="1861AF17" w14:textId="77777777" w:rsidR="00CD682B" w:rsidRPr="00CD682B" w:rsidRDefault="00CD682B" w:rsidP="00CD682B">
      <w:pPr>
        <w:rPr>
          <w:highlight w:val="yellow"/>
        </w:rPr>
      </w:pPr>
      <w:r w:rsidRPr="00CD682B">
        <w:rPr>
          <w:highlight w:val="yellow"/>
        </w:rPr>
        <w:t xml:space="preserve">The geochemistry that intrigues me is the reactions involving water  dissolved in the bitumen of a source rock.  Experiments indicate that  the amount of water dissolved in the organic matter of a source rock  determines the amount of oil expelled and retained in a maturing source  rock.  Understanding this aspect of dissolved water rather than aqueous  organics is in its infancy, similar to that of the role of water  dissolved in granite melts back in the 1930s.    How does the amount of  dissolved water and its chemistry influence the immiscibility of oil,  hydrogen availability, and expulsion of oil from a source rock?    Also,  what reactions are occurring between dissolved water and bitumen to form  H2 and CO2?    </w:t>
      </w:r>
    </w:p>
    <w:p w14:paraId="6521CE4A" w14:textId="7686C378" w:rsidR="00696067" w:rsidRPr="00696067" w:rsidRDefault="00CD682B" w:rsidP="00CD682B">
      <w:r w:rsidRPr="00CD682B">
        <w:rPr>
          <w:highlight w:val="yellow"/>
        </w:rPr>
        <w:t>With respect to incorporating the role of water in numerical models  there is a lot of work to be undertaken, but a Ph.D dissertation at  Colorado School of Mines by Mohammed Al Duhailan (now with Saudi Aramco)  has made some preliminary quantitative attempts (attached).   We have  been doing some work on the effects of water on the mechanical  properties of source rocks (attached). These studies are still rather  qualitative but we are moving toward a more quantitative understanding.  I put more emphasis on experimentation before numerical modeling is  attempted.</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6F99C490"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F12D64">
        <w:t xml:space="preserve">Aaron Sattler </w:t>
      </w:r>
      <w:r w:rsidR="00EC3FCB">
        <w:t>(ExxonMobil</w:t>
      </w:r>
      <w:r w:rsidR="00B64C25">
        <w:t xml:space="preserve"> Research and Engineering</w:t>
      </w:r>
      <w:r w:rsidR="00EC3FCB">
        <w:t xml:space="preserve">) </w:t>
      </w:r>
      <w:r w:rsidR="008127BF">
        <w:t>is</w:t>
      </w:r>
      <w:r w:rsidR="00EC3FCB">
        <w:t xml:space="preserve"> thanked for </w:t>
      </w:r>
      <w:r w:rsidR="002D384C">
        <w:t xml:space="preserve">advice on </w:t>
      </w:r>
      <w:r w:rsidR="005105A0">
        <w:t>inverting</w:t>
      </w:r>
      <w:r w:rsidR="00F12D64">
        <w:t xml:space="preserve"> </w:t>
      </w:r>
      <w:r w:rsidR="0093131C">
        <w:t xml:space="preserve">mass spectral </w:t>
      </w:r>
      <w:r w:rsidR="00EC3FCB">
        <w:t xml:space="preserve">data. </w:t>
      </w:r>
      <w:r w:rsidR="00AF4C31">
        <w:t xml:space="preserve"> </w:t>
      </w:r>
      <w:r w:rsidR="00CD682B">
        <w:t>We thank Keith F.M. Thompson for p</w:t>
      </w:r>
      <w:r w:rsidR="00952617">
        <w:t>roviding the source rock sample</w:t>
      </w:r>
      <w:r w:rsidR="00CD682B">
        <w:t xml:space="preserve"> and Chris Clayton for </w:t>
      </w:r>
      <w:r w:rsidR="00927B72">
        <w:t xml:space="preserve">an email exchange </w:t>
      </w:r>
      <w:r w:rsidR="00062658">
        <w:t>that inspired</w:t>
      </w:r>
      <w:r w:rsidR="00CD682B">
        <w:t xml:space="preserve"> this work.  </w:t>
      </w:r>
      <w:r w:rsidR="00AF4C31">
        <w:t>Comments by Michael Lewan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Potential reviewers:  Katherine L. French, Justin Birdwell, Arndt Schimmelmann, Alex Sessions, Michael Lewan</w:t>
      </w:r>
    </w:p>
    <w:p w14:paraId="75534BEF" w14:textId="3A47D3C7" w:rsidR="00C60E83" w:rsidRPr="008D00B4" w:rsidRDefault="00EC71F6" w:rsidP="00CD682B">
      <w:pPr>
        <w:tabs>
          <w:tab w:val="clear" w:pos="360"/>
          <w:tab w:val="clear" w:pos="720"/>
          <w:tab w:val="clear" w:pos="10080"/>
          <w:tab w:val="left" w:pos="9312"/>
        </w:tabs>
      </w:pPr>
      <w:r>
        <w:t>Conflicted:  John Eiler, Dan Stolper,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70896480" w14:textId="77777777" w:rsidR="006068E8" w:rsidRPr="006068E8" w:rsidRDefault="004D3DA2" w:rsidP="006068E8">
      <w:pPr>
        <w:pStyle w:val="Bibliography"/>
        <w:rPr>
          <w:rFonts w:cs="Times New Roman"/>
        </w:rPr>
      </w:pPr>
      <w:r>
        <w:rPr>
          <w:b/>
        </w:rPr>
        <w:fldChar w:fldCharType="begin"/>
      </w:r>
      <w:r w:rsidR="00DC5B90">
        <w:rPr>
          <w:b/>
        </w:rPr>
        <w:instrText xml:space="preserve"> ADDIN ZOTERO_BIBL {"uncited":[],"omitted":[],"custom":[]} CSL_BIBLIOGRAPHY </w:instrText>
      </w:r>
      <w:r>
        <w:rPr>
          <w:b/>
        </w:rPr>
        <w:fldChar w:fldCharType="separate"/>
      </w:r>
      <w:r w:rsidR="006068E8" w:rsidRPr="006068E8">
        <w:rPr>
          <w:rFonts w:cs="Times New Roman"/>
        </w:rPr>
        <w:t>Baskin, D.K., 1997. Atomic H/C ratio of kerogen as an estimate of thermal maturity and organic matter conversion. AAPG bulletin 81, 1437–1450.</w:t>
      </w:r>
    </w:p>
    <w:p w14:paraId="61E172E4" w14:textId="77777777" w:rsidR="006068E8" w:rsidRPr="006068E8" w:rsidRDefault="006068E8" w:rsidP="006068E8">
      <w:pPr>
        <w:pStyle w:val="Bibliography"/>
        <w:rPr>
          <w:rFonts w:cs="Times New Roman"/>
        </w:rPr>
      </w:pPr>
      <w:r w:rsidRPr="006068E8">
        <w:rPr>
          <w:rFonts w:cs="Times New Roman"/>
        </w:rPr>
        <w:t>Berner, U., Faber, E., Scheeder, G., Panten, D., 1995. Primary cracking of algal and landplant kerogens: kinetic models of isotope variations in methane, ethane and propane. Chemical Geology 126, 233–245.</w:t>
      </w:r>
    </w:p>
    <w:p w14:paraId="2101805A" w14:textId="77777777" w:rsidR="006068E8" w:rsidRPr="006068E8" w:rsidRDefault="006068E8" w:rsidP="006068E8">
      <w:pPr>
        <w:pStyle w:val="Bibliography"/>
        <w:rPr>
          <w:rFonts w:cs="Times New Roman"/>
        </w:rPr>
      </w:pPr>
      <w:r w:rsidRPr="006068E8">
        <w:rPr>
          <w:rFonts w:cs="Times New Roman"/>
        </w:rPr>
        <w:t>Cardneaux, A., Nunn, J.A., 2013. Estimates of maturation and TOC from log data in the Eagle Ford Shale, Maverick Basin of South Texas. Gulf Coast Association of Geological Societies Transactions 63, 111–124.</w:t>
      </w:r>
    </w:p>
    <w:p w14:paraId="51A5C945" w14:textId="77777777" w:rsidR="006068E8" w:rsidRPr="006068E8" w:rsidRDefault="006068E8" w:rsidP="006068E8">
      <w:pPr>
        <w:pStyle w:val="Bibliography"/>
        <w:rPr>
          <w:rFonts w:cs="Times New Roman"/>
        </w:rPr>
      </w:pPr>
      <w:r w:rsidRPr="006068E8">
        <w:rPr>
          <w:rFonts w:cs="Times New Roman"/>
        </w:rPr>
        <w:t>Cardneaux, A.P., 2012. Mapping of the oil window in the Eagle Ford shale play of southwest Texas using thermal modeling and log overlay analysis (Masters Thesis). Louisiana State University.</w:t>
      </w:r>
    </w:p>
    <w:p w14:paraId="60274E55" w14:textId="77777777" w:rsidR="006068E8" w:rsidRPr="006068E8" w:rsidRDefault="006068E8" w:rsidP="006068E8">
      <w:pPr>
        <w:pStyle w:val="Bibliography"/>
        <w:rPr>
          <w:rFonts w:cs="Times New Roman"/>
        </w:rPr>
      </w:pPr>
      <w:r w:rsidRPr="006068E8">
        <w:rPr>
          <w:rFonts w:cs="Times New Roman"/>
        </w:rPr>
        <w:t>Clayton, C., 2003. Hydrogen isotope systematics of thermally generated natural gas. International Meeting on Organic Geochemistry, 21st, Kraków, Poland, Book Abstr. Part I 51–52.</w:t>
      </w:r>
    </w:p>
    <w:p w14:paraId="5EF4ECCB" w14:textId="77777777" w:rsidR="006068E8" w:rsidRPr="006068E8" w:rsidRDefault="006068E8" w:rsidP="006068E8">
      <w:pPr>
        <w:pStyle w:val="Bibliography"/>
        <w:rPr>
          <w:rFonts w:cs="Times New Roman"/>
        </w:rPr>
      </w:pPr>
      <w:r w:rsidRPr="006068E8">
        <w:rPr>
          <w:rFonts w:cs="Times New Roman"/>
        </w:rPr>
        <w:t>Donovan, A.D., Evenick, J., Banfield, L., McInnis, N., Hill, W., 2017. An Organofacies-Based Mudstone Classification for Unconventional Tight Rock &amp;amp; Source Rock Plays, in: URTeC 2017, Presented at the Unconventional Resources Technology Conference, Austin, Texas, 24-26 July 2017, p. 3683–3697.</w:t>
      </w:r>
    </w:p>
    <w:p w14:paraId="752D0062" w14:textId="77777777" w:rsidR="006068E8" w:rsidRPr="006068E8" w:rsidRDefault="006068E8" w:rsidP="006068E8">
      <w:pPr>
        <w:pStyle w:val="Bibliography"/>
        <w:rPr>
          <w:rFonts w:cs="Times New Roman"/>
        </w:rPr>
      </w:pPr>
      <w:r w:rsidRPr="006068E8">
        <w:rPr>
          <w:rFonts w:cs="Times New Roman"/>
        </w:rPr>
        <w:t>Donovan, A.D., Staerker, T.S., Gardner, R., Pope, M.C., Pramudito, A., Wehner, M., 2016. Findings from the Eagle Ford Outcrops of West Texas and Implications to the Subsurface of South Texas, in: The Eagle Ford Shale: A Renaissance in U.S. Oil Production, AAPG Memoir 110, American Association of Petroleum Geologists, p. 301–336.</w:t>
      </w:r>
    </w:p>
    <w:p w14:paraId="5A74AB3B" w14:textId="77777777" w:rsidR="006068E8" w:rsidRPr="006068E8" w:rsidRDefault="006068E8" w:rsidP="006068E8">
      <w:pPr>
        <w:pStyle w:val="Bibliography"/>
        <w:rPr>
          <w:rFonts w:cs="Times New Roman"/>
        </w:rPr>
      </w:pPr>
      <w:r w:rsidRPr="006068E8">
        <w:rPr>
          <w:rFonts w:cs="Times New Roman"/>
        </w:rPr>
        <w:t>Douglas, P.M., Stolper, D.A., Eiler, J.M., Sessions, A.L., Lawson, M., Shuai, Y., Bishop, A., Podlaha, O.G., Ferreira, A.A., Neto, E.V.S., others, 2017. Methane clumped isotopes: Progress and potential for a new isotopic tracer. Organic Geochemistry 113, 262–282.</w:t>
      </w:r>
    </w:p>
    <w:p w14:paraId="48D9EB8C" w14:textId="77777777" w:rsidR="006068E8" w:rsidRPr="006068E8" w:rsidRDefault="006068E8" w:rsidP="006068E8">
      <w:pPr>
        <w:pStyle w:val="Bibliography"/>
        <w:rPr>
          <w:rFonts w:cs="Times New Roman"/>
        </w:rPr>
      </w:pPr>
      <w:r w:rsidRPr="006068E8">
        <w:rPr>
          <w:rFonts w:cs="Times New Roman"/>
        </w:rP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6B2E3006" w14:textId="77777777" w:rsidR="006068E8" w:rsidRPr="006068E8" w:rsidRDefault="006068E8" w:rsidP="006068E8">
      <w:pPr>
        <w:pStyle w:val="Bibliography"/>
        <w:rPr>
          <w:rFonts w:cs="Times New Roman"/>
        </w:rPr>
      </w:pPr>
      <w:r w:rsidRPr="006068E8">
        <w:rPr>
          <w:rFonts w:cs="Times New Roman"/>
        </w:rPr>
        <w:t>Eldrett, J.S., Minisini, D., Bergman, S.C., 2014. Decoupling of the carbon cycle during Ocean Anoxic Event 2. Geology 42, 567–570.</w:t>
      </w:r>
    </w:p>
    <w:p w14:paraId="65F55209" w14:textId="77777777" w:rsidR="006068E8" w:rsidRPr="006068E8" w:rsidRDefault="006068E8" w:rsidP="006068E8">
      <w:pPr>
        <w:pStyle w:val="Bibliography"/>
        <w:rPr>
          <w:rFonts w:cs="Times New Roman"/>
        </w:rPr>
      </w:pPr>
      <w:r w:rsidRPr="006068E8">
        <w:rPr>
          <w:rFonts w:cs="Times New Roman"/>
        </w:rPr>
        <w:t>French, K.L., Birdwell, J.E., Lewan, M.D., 2019a. Geochemical Analysis of the Sulfur-Rich Lower Eagle Ford Across a Natural Thermal Maturity Transect, in: Conference Proceedings, 29th International Meeting on Organic Geochemistry, Presented at the International Meeting on Organic Geochemistry, European Association of Organic Geochemists, Gothenburg, Sweden, p. 1–2.</w:t>
      </w:r>
    </w:p>
    <w:p w14:paraId="0F5906DA" w14:textId="77777777" w:rsidR="006068E8" w:rsidRPr="006068E8" w:rsidRDefault="006068E8" w:rsidP="006068E8">
      <w:pPr>
        <w:pStyle w:val="Bibliography"/>
        <w:rPr>
          <w:rFonts w:cs="Times New Roman"/>
        </w:rPr>
      </w:pPr>
      <w:r w:rsidRPr="006068E8">
        <w:rPr>
          <w:rFonts w:cs="Times New Roman"/>
        </w:rPr>
        <w:t>French, K.L., Birdwell, J.E., Lewan, M.D., 2020. Trends in thermal maturity indicators for the organic sulfur-rich Eagle Ford Shale. Marine and Petroleum Geology 118, 104459.</w:t>
      </w:r>
    </w:p>
    <w:p w14:paraId="65689C08" w14:textId="77777777" w:rsidR="006068E8" w:rsidRPr="006068E8" w:rsidRDefault="006068E8" w:rsidP="006068E8">
      <w:pPr>
        <w:pStyle w:val="Bibliography"/>
        <w:rPr>
          <w:rFonts w:cs="Times New Roman"/>
        </w:rPr>
      </w:pPr>
      <w:r w:rsidRPr="006068E8">
        <w:rPr>
          <w:rFonts w:cs="Times New Roman"/>
        </w:rPr>
        <w:t>French, K.L., Birdwell, J.E., Whidden, K.J., 2019b. Geochemistry of a thermally immature Eagle Ford Group drill core in central Texas. Organic Geochemistry 131, 19–33.</w:t>
      </w:r>
    </w:p>
    <w:p w14:paraId="7936B9A4" w14:textId="77777777" w:rsidR="006068E8" w:rsidRPr="006068E8" w:rsidRDefault="006068E8" w:rsidP="006068E8">
      <w:pPr>
        <w:pStyle w:val="Bibliography"/>
        <w:rPr>
          <w:rFonts w:cs="Times New Roman"/>
        </w:rPr>
      </w:pPr>
      <w:r w:rsidRPr="006068E8">
        <w:rPr>
          <w:rFonts w:cs="Times New Roman"/>
        </w:rPr>
        <w:t>Giunta, T., Young, E.D., Warr, O., Kohl, I., Ash, J.L., Martini, A., Mundle, S.O., Rumble, D., Pérez-Rodríguez, I., Wasley, M., others, 2019. Methane sources and sinks in continental sedimentary systems: New insights from paired clumped isotopologues 13CH3D and 12CH2D2. Geochimica et Cosmochimica Acta 245, 327–351.</w:t>
      </w:r>
    </w:p>
    <w:p w14:paraId="437CC782" w14:textId="77777777" w:rsidR="006068E8" w:rsidRPr="006068E8" w:rsidRDefault="006068E8" w:rsidP="006068E8">
      <w:pPr>
        <w:pStyle w:val="Bibliography"/>
        <w:rPr>
          <w:rFonts w:cs="Times New Roman"/>
        </w:rPr>
      </w:pPr>
      <w:r w:rsidRPr="006068E8">
        <w:rPr>
          <w:rFonts w:cs="Times New Roman"/>
        </w:rPr>
        <w:t>Grabowski, G., 1995. Organic-rich chalks and calcareous mudstones of the Upper Cretaceous Austin Chalk and Eagleford Formation, south-central Texas, USA, in: Katz, B. (Ed.), Petroleum Source Rocks, Springer, p. 209–234.</w:t>
      </w:r>
    </w:p>
    <w:p w14:paraId="24FE94AE" w14:textId="77777777" w:rsidR="006068E8" w:rsidRPr="006068E8" w:rsidRDefault="006068E8" w:rsidP="006068E8">
      <w:pPr>
        <w:pStyle w:val="Bibliography"/>
        <w:rPr>
          <w:rFonts w:cs="Times New Roman"/>
        </w:rPr>
      </w:pPr>
      <w:r w:rsidRPr="006068E8">
        <w:rPr>
          <w:rFonts w:cs="Times New Roman"/>
        </w:rPr>
        <w:t>Harbor, R.L., 2011. Facies characterization and stratigraphic architecture of organic-rich mudrocks, Upper Cretaceous Eagle Ford Formation, South Texas (Masters Thesis). University of Texas at Austin.</w:t>
      </w:r>
    </w:p>
    <w:p w14:paraId="559A9181" w14:textId="77777777" w:rsidR="006068E8" w:rsidRPr="006068E8" w:rsidRDefault="006068E8" w:rsidP="006068E8">
      <w:pPr>
        <w:pStyle w:val="Bibliography"/>
        <w:rPr>
          <w:rFonts w:cs="Times New Roman"/>
        </w:rPr>
      </w:pPr>
      <w:r w:rsidRPr="006068E8">
        <w:rPr>
          <w:rFonts w:cs="Times New Roman"/>
        </w:rPr>
        <w:t>Hentz, T.F., Ruppel, S.C., 2010. Regional lithostratigraphy of the Eagle Ford Shale: Maverick Basin to East Texas Basin. Gulf Coast Association of Geological Societies Transactions 60, 325–337.</w:t>
      </w:r>
    </w:p>
    <w:p w14:paraId="25CCE7D8" w14:textId="77777777" w:rsidR="006068E8" w:rsidRPr="006068E8" w:rsidRDefault="006068E8" w:rsidP="006068E8">
      <w:pPr>
        <w:pStyle w:val="Bibliography"/>
        <w:rPr>
          <w:rFonts w:cs="Times New Roman"/>
        </w:rPr>
      </w:pPr>
      <w:r w:rsidRPr="006068E8">
        <w:rPr>
          <w:rFonts w:cs="Times New Roman"/>
        </w:rPr>
        <w:t>Hoering, T., 1984. Thermal reactions of kerogen with added water, heavy water and pure organic substances. Organic Geochemistry 5, 267–278.</w:t>
      </w:r>
    </w:p>
    <w:p w14:paraId="40E7051D" w14:textId="77777777" w:rsidR="006068E8" w:rsidRPr="006068E8" w:rsidRDefault="006068E8" w:rsidP="006068E8">
      <w:pPr>
        <w:pStyle w:val="Bibliography"/>
        <w:rPr>
          <w:rFonts w:cs="Times New Roman"/>
        </w:rPr>
      </w:pPr>
      <w:r w:rsidRPr="006068E8">
        <w:rPr>
          <w:rFonts w:cs="Times New Roman"/>
        </w:rPr>
        <w:t>IHS Markit Well Database, 2019.</w:t>
      </w:r>
    </w:p>
    <w:p w14:paraId="79BBF37C" w14:textId="77777777" w:rsidR="006068E8" w:rsidRPr="006068E8" w:rsidRDefault="006068E8" w:rsidP="006068E8">
      <w:pPr>
        <w:pStyle w:val="Bibliography"/>
        <w:rPr>
          <w:rFonts w:cs="Times New Roman"/>
        </w:rPr>
      </w:pPr>
      <w:r w:rsidRPr="006068E8">
        <w:rPr>
          <w:rFonts w:cs="Times New Roman"/>
        </w:rPr>
        <w:t>Lewan, M., 1997. Experiments on the role of water in petroleum formation. Geochimica et Cosmochimica Acta 61, 3691–3723.</w:t>
      </w:r>
    </w:p>
    <w:p w14:paraId="3A78E6F7" w14:textId="77777777" w:rsidR="006068E8" w:rsidRPr="006068E8" w:rsidRDefault="006068E8" w:rsidP="006068E8">
      <w:pPr>
        <w:pStyle w:val="Bibliography"/>
        <w:rPr>
          <w:rFonts w:cs="Times New Roman"/>
        </w:rPr>
      </w:pPr>
      <w:r w:rsidRPr="006068E8">
        <w:rPr>
          <w:rFonts w:cs="Times New Roman"/>
        </w:rPr>
        <w:t>Lis, G.P., Schimmelmann, A., Mastalerz, M., 2006. D/H ratios and hydrogen exchangeability of type-II kerogens with increasing thermal maturity. Organic Geochemistry 37, 342–353.</w:t>
      </w:r>
    </w:p>
    <w:p w14:paraId="4B416294" w14:textId="77777777" w:rsidR="006068E8" w:rsidRPr="006068E8" w:rsidRDefault="006068E8" w:rsidP="006068E8">
      <w:pPr>
        <w:pStyle w:val="Bibliography"/>
        <w:rPr>
          <w:rFonts w:cs="Times New Roman"/>
        </w:rPr>
      </w:pPr>
      <w:r w:rsidRPr="006068E8">
        <w:rPr>
          <w:rFonts w:cs="Times New Roman"/>
        </w:rPr>
        <w:t>Ni, Y., Ma, Q., Ellis, G.S., Dai, J., Katz, B., Zhang, S., Tang, Y., 2011. Fundamental studies on kinetic isotope effect (KIE) of hydrogen isotope fractionation in natural gas systems. Geochimica et Cosmochimica Acta 75, 2696–2707.</w:t>
      </w:r>
    </w:p>
    <w:p w14:paraId="266FA13B" w14:textId="77777777" w:rsidR="006068E8" w:rsidRPr="006068E8" w:rsidRDefault="006068E8" w:rsidP="006068E8">
      <w:pPr>
        <w:pStyle w:val="Bibliography"/>
        <w:rPr>
          <w:rFonts w:cs="Times New Roman"/>
        </w:rPr>
      </w:pPr>
      <w:r w:rsidRPr="006068E8">
        <w:rPr>
          <w:rFonts w:cs="Times New Roman"/>
        </w:rPr>
        <w:t>Reeves, E.P., Seewald, J.S., Sylva, S.P., 2012. Hydrogen isotope exchange between \emphn-alkanes and water under hydrothermal conditions. Geochimica et Cosmochimica Acta 77, 582–599.</w:t>
      </w:r>
    </w:p>
    <w:p w14:paraId="238929A1" w14:textId="77777777" w:rsidR="006068E8" w:rsidRPr="006068E8" w:rsidRDefault="006068E8" w:rsidP="006068E8">
      <w:pPr>
        <w:pStyle w:val="Bibliography"/>
        <w:rPr>
          <w:rFonts w:cs="Times New Roman"/>
        </w:rPr>
      </w:pPr>
      <w:r w:rsidRPr="006068E8">
        <w:rPr>
          <w:rFonts w:cs="Times New Roman"/>
        </w:rPr>
        <w:t>Sackett, W.M., 1978. Carbon and hydrogen isotope effects during the thermocatalytic production of hydrocarbons in laboratory simulation experiments. Geochimica et Cosmochimica Acta 42, 571–580.</w:t>
      </w:r>
    </w:p>
    <w:p w14:paraId="600ECD1E" w14:textId="77777777" w:rsidR="006068E8" w:rsidRPr="006068E8" w:rsidRDefault="006068E8" w:rsidP="006068E8">
      <w:pPr>
        <w:pStyle w:val="Bibliography"/>
        <w:rPr>
          <w:rFonts w:cs="Times New Roman"/>
        </w:rPr>
      </w:pPr>
      <w:r w:rsidRPr="006068E8">
        <w:rPr>
          <w:rFonts w:cs="Times New Roman"/>
        </w:rPr>
        <w:t>Sackett, W.M., Conkright, M., 1997. Summary and re-evaluation of the high-temperature isotope geochemistry of methane. Geochimica et Cosmochimica Acta 61, 1941–1952.</w:t>
      </w:r>
    </w:p>
    <w:p w14:paraId="32DFEA9D" w14:textId="77777777" w:rsidR="006068E8" w:rsidRPr="006068E8" w:rsidRDefault="006068E8" w:rsidP="006068E8">
      <w:pPr>
        <w:pStyle w:val="Bibliography"/>
        <w:rPr>
          <w:rFonts w:cs="Times New Roman"/>
        </w:rPr>
      </w:pPr>
      <w:r w:rsidRPr="006068E8">
        <w:rPr>
          <w:rFonts w:cs="Times New Roman"/>
        </w:rPr>
        <w:t>Schimmelmann, A., Boudou, J.-P., Lewan, M.D., Wintsch, R.P., 2001. Experimental controls on D/H and \textsuperscript13C/\textsuperscript12C ratios of kerogen, bitumen and oil during hydrous pyrolysis. Organic Geochemistry 32, 1009–1018.</w:t>
      </w:r>
    </w:p>
    <w:p w14:paraId="53386665" w14:textId="77777777" w:rsidR="006068E8" w:rsidRPr="006068E8" w:rsidRDefault="006068E8" w:rsidP="006068E8">
      <w:pPr>
        <w:pStyle w:val="Bibliography"/>
        <w:rPr>
          <w:rFonts w:cs="Times New Roman"/>
        </w:rPr>
      </w:pPr>
      <w:r w:rsidRPr="006068E8">
        <w:rPr>
          <w:rFonts w:cs="Times New Roman"/>
        </w:rPr>
        <w:t>Schimmelmann, A., Lewan, M.D., Wintsch, R.P., 1999. D/H isotope ratios of kerogen, bitumen, oil, and water in hydrous pyrolysis of source rocks containing kerogen types I, II, IIS, and III. Geochimica et Cosmochimica Acta 63, 3751–3766.</w:t>
      </w:r>
    </w:p>
    <w:p w14:paraId="35BD16F8" w14:textId="77777777" w:rsidR="006068E8" w:rsidRPr="006068E8" w:rsidRDefault="006068E8" w:rsidP="006068E8">
      <w:pPr>
        <w:pStyle w:val="Bibliography"/>
        <w:rPr>
          <w:rFonts w:cs="Times New Roman"/>
        </w:rPr>
      </w:pPr>
      <w:r w:rsidRPr="006068E8">
        <w:rPr>
          <w:rFonts w:cs="Times New Roman"/>
        </w:rPr>
        <w:t>Schimmelmann, A., Sessions, A.L., Mastalerz, M., 2006. Hydrogen isotopic (D/H) composition of organic matter during diagenesis and thermal maturation. Annual Review of Earth and Planetary Sciences 34, 501–533.</w:t>
      </w:r>
    </w:p>
    <w:p w14:paraId="3226FF9C" w14:textId="77777777" w:rsidR="006068E8" w:rsidRPr="006068E8" w:rsidRDefault="006068E8" w:rsidP="006068E8">
      <w:pPr>
        <w:pStyle w:val="Bibliography"/>
        <w:rPr>
          <w:rFonts w:cs="Times New Roman"/>
        </w:rPr>
      </w:pPr>
      <w:r w:rsidRPr="006068E8">
        <w:rPr>
          <w:rFonts w:cs="Times New Roman"/>
        </w:rPr>
        <w:t>Seyfried, W.E., Jr., Janecky, D.R., Berndt, M.E., 1987. Rocking autoclaves for hydrothermal experiments, II. The flexible reaction-cell system. Hydrothermal Experimental Techniques 9, 216–239.</w:t>
      </w:r>
    </w:p>
    <w:p w14:paraId="1D28E382" w14:textId="77777777" w:rsidR="006068E8" w:rsidRPr="006068E8" w:rsidRDefault="006068E8" w:rsidP="006068E8">
      <w:pPr>
        <w:pStyle w:val="Bibliography"/>
        <w:rPr>
          <w:rFonts w:cs="Times New Roman"/>
        </w:rPr>
      </w:pPr>
      <w:r w:rsidRPr="006068E8">
        <w:rPr>
          <w:rFonts w:cs="Times New Roman"/>
        </w:rPr>
        <w:t>Shuai, Y., Etiope, G., Zhang, S., Douglas, P.M., Huang, L., Eiler, J.M., 2018. Methane clumped isotopes in the Songliao Basin (China): New insights into abiotic vs. biotic hydrocarbon formation. Earth and Planetary Science Letters 482, 213–221.</w:t>
      </w:r>
    </w:p>
    <w:p w14:paraId="44ACB1EA" w14:textId="77777777" w:rsidR="006068E8" w:rsidRPr="006068E8" w:rsidRDefault="006068E8" w:rsidP="006068E8">
      <w:pPr>
        <w:pStyle w:val="Bibliography"/>
        <w:rPr>
          <w:rFonts w:cs="Times New Roman"/>
        </w:rPr>
      </w:pPr>
      <w:r w:rsidRPr="006068E8">
        <w:rPr>
          <w:rFonts w:cs="Times New Roman"/>
        </w:rPr>
        <w:t>Smith, J., Rigby, D., Gould, K., Hart, G., Hargraves, A., 1985. An isotopic study of hydrocarbon generation processes. Organic Geochemistry 8, 341–347.</w:t>
      </w:r>
    </w:p>
    <w:p w14:paraId="303246FC" w14:textId="77777777" w:rsidR="006068E8" w:rsidRPr="006068E8" w:rsidRDefault="006068E8" w:rsidP="006068E8">
      <w:pPr>
        <w:pStyle w:val="Bibliography"/>
        <w:rPr>
          <w:rFonts w:cs="Times New Roman"/>
        </w:rPr>
      </w:pPr>
      <w:r w:rsidRPr="006068E8">
        <w:rPr>
          <w:rFonts w:cs="Times New Roman"/>
        </w:rPr>
        <w:t>Stolper, D., Martini, A., Clog, M., Douglas, P., Shusta, S., Valentine, D., Sessions, A., Eiler, J., 2015. Distinguishing and understanding thermogenic and biogenic sources of methane using multiply substituted isotopologues. Geochimica et Cosmochimica Acta 161, 219–247.</w:t>
      </w:r>
    </w:p>
    <w:p w14:paraId="13D9F762" w14:textId="77777777" w:rsidR="006068E8" w:rsidRPr="006068E8" w:rsidRDefault="006068E8" w:rsidP="006068E8">
      <w:pPr>
        <w:pStyle w:val="Bibliography"/>
        <w:rPr>
          <w:rFonts w:cs="Times New Roman"/>
        </w:rPr>
      </w:pPr>
      <w:r w:rsidRPr="006068E8">
        <w:rPr>
          <w:rFonts w:cs="Times New Roman"/>
        </w:rPr>
        <w:t>Stolper, D.A., Lawson, M., Davis, C.L., Ferreira, A.A., Santos Neto, E.V., Ellis, G.S., Lewan, M.D., Martini, A.M., Tang, Y., Schoell, M., Sessions, A.L., Eiler, J.M., 2014. Formation temperatures of thermogenic and biogenic methane. Science 344, 1500–1503.</w:t>
      </w:r>
    </w:p>
    <w:p w14:paraId="2BF4292B" w14:textId="77777777" w:rsidR="006068E8" w:rsidRPr="006068E8" w:rsidRDefault="006068E8" w:rsidP="006068E8">
      <w:pPr>
        <w:pStyle w:val="Bibliography"/>
        <w:rPr>
          <w:rFonts w:cs="Times New Roman"/>
        </w:rPr>
      </w:pPr>
      <w:r w:rsidRPr="006068E8">
        <w:rPr>
          <w:rFonts w:cs="Times New Roman"/>
        </w:rPr>
        <w:t>Sun, X., Zhang, T., Sun, Y., Milliken, K.L., Sun, D., 2016. Geochemical evidence of organic matter source input and depositional environments in the lower and upper Eagle Ford Formation, south Texas. Organic Geochemistry 98, 66–81.</w:t>
      </w:r>
    </w:p>
    <w:p w14:paraId="50DC23CC" w14:textId="77777777" w:rsidR="006068E8" w:rsidRPr="006068E8" w:rsidRDefault="006068E8" w:rsidP="006068E8">
      <w:pPr>
        <w:pStyle w:val="Bibliography"/>
        <w:rPr>
          <w:rFonts w:cs="Times New Roman"/>
        </w:rPr>
      </w:pPr>
      <w:r w:rsidRPr="006068E8">
        <w:rPr>
          <w:rFonts w:cs="Times New Roman"/>
        </w:rPr>
        <w:t xml:space="preserve">Tang, Y., Huang, Y., Ellis, G.S., Wang, Y., Kralert, P.G., Gillaizeau, B., Ma, Q., Hwang, R., 2005. A kinetic model for thermally induced hydrogen and carbon isotope fractionation of individual </w:t>
      </w:r>
      <w:r w:rsidRPr="006068E8">
        <w:rPr>
          <w:rFonts w:cs="Times New Roman"/>
          <w:i/>
          <w:iCs/>
        </w:rPr>
        <w:t>n</w:t>
      </w:r>
      <w:r w:rsidRPr="006068E8">
        <w:rPr>
          <w:rFonts w:cs="Times New Roman"/>
        </w:rPr>
        <w:t>-alkanes in crude oil. Geochimica et Cosmochimica Acta 69, 4505–4520.</w:t>
      </w:r>
    </w:p>
    <w:p w14:paraId="28562666" w14:textId="77777777" w:rsidR="006068E8" w:rsidRPr="006068E8" w:rsidRDefault="006068E8" w:rsidP="006068E8">
      <w:pPr>
        <w:pStyle w:val="Bibliography"/>
        <w:rPr>
          <w:rFonts w:cs="Times New Roman"/>
        </w:rPr>
      </w:pPr>
      <w:r w:rsidRPr="006068E8">
        <w:rPr>
          <w:rFonts w:cs="Times New Roman"/>
        </w:rPr>
        <w:t>Thiagarajan, N., Xie, H., Ponton, C., Kitchen, N., Peterson, B., Lawson, M., Formolo, M., Xiao, Y., Eiler, J., 2020. Isotopic evidence for quasi-equilibrium chemistry in thermally mature natural gases. Proceedings of the National Academy of Sciences 117, 3989–3995.</w:t>
      </w:r>
    </w:p>
    <w:p w14:paraId="0C0BD001" w14:textId="77777777" w:rsidR="006068E8" w:rsidRPr="006068E8" w:rsidRDefault="006068E8" w:rsidP="006068E8">
      <w:pPr>
        <w:pStyle w:val="Bibliography"/>
        <w:rPr>
          <w:rFonts w:cs="Times New Roman"/>
        </w:rPr>
      </w:pPr>
      <w:r w:rsidRPr="006068E8">
        <w:rPr>
          <w:rFonts w:cs="Times New Roman"/>
        </w:rP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3C376BA3" w14:textId="77777777" w:rsidR="006068E8" w:rsidRPr="006068E8" w:rsidRDefault="006068E8" w:rsidP="006068E8">
      <w:pPr>
        <w:pStyle w:val="Bibliography"/>
        <w:rPr>
          <w:rFonts w:cs="Times New Roman"/>
        </w:rPr>
      </w:pPr>
      <w:r w:rsidRPr="006068E8">
        <w:rPr>
          <w:rFonts w:cs="Times New Roman"/>
        </w:rP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35292BAD" w14:textId="77777777" w:rsidR="006068E8" w:rsidRPr="006068E8" w:rsidRDefault="006068E8" w:rsidP="006068E8">
      <w:pPr>
        <w:pStyle w:val="Bibliography"/>
        <w:rPr>
          <w:rFonts w:cs="Times New Roman"/>
        </w:rPr>
      </w:pPr>
      <w:r w:rsidRPr="006068E8">
        <w:rPr>
          <w:rFonts w:cs="Times New Roman"/>
        </w:rPr>
        <w:t>Whelan, J.K., Thompson-Rizer, C.L., 1993. Chemical Methods for Assessing Kerogen and Protokerogen Types and Maturity, in: Engel, M.H., Macko, S.A. (Eds.), Organic Geochemistry: Principles and Applications, Springer US, Boston, MA, p. 289–353.</w:t>
      </w:r>
    </w:p>
    <w:p w14:paraId="077D4F10" w14:textId="77777777" w:rsidR="006068E8" w:rsidRPr="006068E8" w:rsidRDefault="006068E8" w:rsidP="006068E8">
      <w:pPr>
        <w:pStyle w:val="Bibliography"/>
        <w:rPr>
          <w:rFonts w:cs="Times New Roman"/>
        </w:rPr>
      </w:pPr>
      <w:r w:rsidRPr="006068E8">
        <w:rPr>
          <w:rFonts w:cs="Times New Roman"/>
        </w:rPr>
        <w:t>Yeh, H.-W., Epstein, S., 1981. Hydrogen and carbon isotopes of petroleum and related organic matter. Geochimica et Cosmochimica Acta 45, 753–762.</w:t>
      </w:r>
    </w:p>
    <w:p w14:paraId="6D4EC9AA" w14:textId="77777777" w:rsidR="006068E8" w:rsidRPr="006068E8" w:rsidRDefault="006068E8" w:rsidP="006068E8">
      <w:pPr>
        <w:pStyle w:val="Bibliography"/>
        <w:rPr>
          <w:rFonts w:cs="Times New Roman"/>
        </w:rPr>
      </w:pPr>
      <w:r w:rsidRPr="006068E8">
        <w:rPr>
          <w:rFonts w:cs="Times New Roman"/>
        </w:rP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sidRPr="006068E8">
        <w:rPr>
          <w:rFonts w:cs="Times New Roman"/>
          <w:vertAlign w:val="superscript"/>
        </w:rPr>
        <w:t>12</w:t>
      </w:r>
      <w:r w:rsidRPr="006068E8">
        <w:rPr>
          <w:rFonts w:cs="Times New Roman"/>
        </w:rPr>
        <w:t>CH</w:t>
      </w:r>
      <w:r w:rsidRPr="006068E8">
        <w:rPr>
          <w:rFonts w:cs="Times New Roman"/>
          <w:vertAlign w:val="subscript"/>
        </w:rPr>
        <w:t>2</w:t>
      </w:r>
      <w:r w:rsidRPr="006068E8">
        <w:rPr>
          <w:rFonts w:cs="Times New Roman"/>
        </w:rPr>
        <w:t>D</w:t>
      </w:r>
      <w:r w:rsidRPr="006068E8">
        <w:rPr>
          <w:rFonts w:cs="Times New Roman"/>
          <w:vertAlign w:val="subscript"/>
        </w:rPr>
        <w:t>2</w:t>
      </w:r>
      <w:r w:rsidRPr="006068E8">
        <w:rPr>
          <w:rFonts w:cs="Times New Roman"/>
        </w:rPr>
        <w:t xml:space="preserve"> and </w:t>
      </w:r>
      <w:r w:rsidRPr="006068E8">
        <w:rPr>
          <w:rFonts w:cs="Times New Roman"/>
          <w:vertAlign w:val="superscript"/>
        </w:rPr>
        <w:t>13</w:t>
      </w:r>
      <w:r w:rsidRPr="006068E8">
        <w:rPr>
          <w:rFonts w:cs="Times New Roman"/>
        </w:rPr>
        <w:t>CH</w:t>
      </w:r>
      <w:r w:rsidRPr="006068E8">
        <w:rPr>
          <w:rFonts w:cs="Times New Roman"/>
          <w:vertAlign w:val="subscript"/>
        </w:rPr>
        <w:t>3</w:t>
      </w:r>
      <w:r w:rsidRPr="006068E8">
        <w:rPr>
          <w:rFonts w:cs="Times New Roman"/>
        </w:rPr>
        <w:t>D and mechanisms controlling isotopic bond ordering in abiotic and biotic methane gases. Geochimica et Cosmochimica Acta 203, 235–264.</w:t>
      </w:r>
    </w:p>
    <w:p w14:paraId="7652BD96" w14:textId="1F1B1AE1"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lastRenderedPageBreak/>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7780ED72" w:rsidR="00D05310" w:rsidRPr="008D00B4" w:rsidRDefault="00E907EF" w:rsidP="00BC188A">
      <w:r w:rsidRPr="008D00B4">
        <w:rPr>
          <w:b/>
        </w:rPr>
        <w:t>Fig.</w:t>
      </w:r>
      <w:r w:rsidR="00D734D1" w:rsidRPr="008D00B4">
        <w:rPr>
          <w:b/>
        </w:rPr>
        <w:t xml:space="preserve"> </w:t>
      </w:r>
      <w:bookmarkStart w:id="1"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1</w:t>
      </w:r>
      <w:r w:rsidR="00A910CF" w:rsidRPr="00E86679">
        <w:rPr>
          <w:b/>
        </w:rPr>
        <w:fldChar w:fldCharType="end"/>
      </w:r>
      <w:bookmarkEnd w:id="1"/>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r w:rsidR="00244E9E">
        <w:t xml:space="preserve">EASY%Ro) vs. </w:t>
      </w:r>
      <w:r w:rsidR="00D84F8C">
        <w:t>time</w:t>
      </w:r>
      <w:r w:rsidR="00822305" w:rsidRPr="008D00B4">
        <w:t>.</w:t>
      </w:r>
      <w:r w:rsidR="002D261F">
        <w:t xml:space="preserve">  Time-</w:t>
      </w:r>
      <w:r w:rsidR="00D84F8C">
        <w:t>zero</w:t>
      </w:r>
      <w:r w:rsidR="002D261F">
        <w:t xml:space="preserve"> is 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2"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2</w:t>
      </w:r>
      <w:r w:rsidR="00A910CF" w:rsidRPr="00E86679">
        <w:rPr>
          <w:b/>
        </w:rPr>
        <w:fldChar w:fldCharType="end"/>
      </w:r>
      <w:bookmarkEnd w:id="2"/>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r w:rsidR="00246904">
        <w:t>mol/kg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3" w:name="figMSstds"/>
      <w:r w:rsidRPr="00E86679">
        <w:rPr>
          <w:b/>
        </w:rPr>
        <w:fldChar w:fldCharType="begin"/>
      </w:r>
      <w:r w:rsidRPr="00E86679">
        <w:rPr>
          <w:b/>
        </w:rPr>
        <w:instrText xml:space="preserve"> SEQ Fig \* MERGEFORMAT  \* MERGEFORMAT </w:instrText>
      </w:r>
      <w:r w:rsidRPr="00E86679">
        <w:rPr>
          <w:b/>
        </w:rPr>
        <w:fldChar w:fldCharType="separate"/>
      </w:r>
      <w:r>
        <w:rPr>
          <w:b/>
          <w:noProof/>
        </w:rPr>
        <w:t>4</w:t>
      </w:r>
      <w:r w:rsidRPr="00E86679">
        <w:rPr>
          <w:b/>
        </w:rPr>
        <w:fldChar w:fldCharType="end"/>
      </w:r>
      <w:bookmarkEnd w:id="3"/>
      <w:r w:rsidRPr="008D00B4">
        <w:rPr>
          <w:b/>
        </w:rPr>
        <w:t>.</w:t>
      </w:r>
      <w:r w:rsidRPr="008D00B4">
        <w:t xml:space="preserve">  </w:t>
      </w:r>
      <w:r>
        <w:t>Mass spectra of standards.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32E8A17D" w:rsidR="00F35AD1" w:rsidRPr="008D00B4" w:rsidRDefault="00F35AD1" w:rsidP="00F35AD1">
      <w:r w:rsidRPr="008D00B4">
        <w:rPr>
          <w:b/>
        </w:rPr>
        <w:t xml:space="preserve">Fig. </w:t>
      </w:r>
      <w:bookmarkStart w:id="4"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3</w:t>
      </w:r>
      <w:r w:rsidR="00A910CF" w:rsidRPr="00E86679">
        <w:rPr>
          <w:b/>
        </w:rPr>
        <w:fldChar w:fldCharType="end"/>
      </w:r>
      <w:bookmarkEnd w:id="4"/>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5</w:t>
      </w:r>
      <w:r w:rsidR="00A910CF" w:rsidRPr="00E86679">
        <w:rPr>
          <w:b/>
        </w:rPr>
        <w:fldChar w:fldCharType="end"/>
      </w:r>
      <w:bookmarkEnd w:id="5"/>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1620F40E" w:rsidR="006743DE" w:rsidRPr="00733DA6" w:rsidRDefault="00FB4FA3" w:rsidP="00FB4FA3">
      <w:pPr>
        <w:tabs>
          <w:tab w:val="clear" w:pos="360"/>
          <w:tab w:val="clear" w:pos="720"/>
          <w:tab w:val="clear" w:pos="10080"/>
        </w:tabs>
        <w:rPr>
          <w:b/>
          <w:i/>
        </w:rPr>
      </w:pPr>
      <w:r w:rsidRPr="008D00B4">
        <w:rPr>
          <w:b/>
        </w:rPr>
        <w:t xml:space="preserve">Fig. </w:t>
      </w:r>
      <w:bookmarkStart w:id="6"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6</w:t>
      </w:r>
      <w:r w:rsidR="00A910CF" w:rsidRPr="00E86679">
        <w:rPr>
          <w:b/>
        </w:rPr>
        <w:fldChar w:fldCharType="end"/>
      </w:r>
      <w:bookmarkEnd w:id="6"/>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t>EASY%Ro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 Wei et al. (2019)</w:t>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Because approx.. 100 umol were generated, the bottom axis of B can be read as % of cumulative methane generation</w:t>
      </w:r>
      <w:r w:rsidR="006E18C6">
        <w:rPr>
          <w:color w:val="FF0000"/>
        </w:rPr>
        <w:t>.  It is seen that at 50% deuteration only less than 10% of methane has been generated; i.e., 90% of methane generated has more than 50% of its hydrogens coming from water.  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Is there HI vs. TOC vs. Ro data (or RockEval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560CFD78" w:rsidR="00686114" w:rsidRPr="008D00B4" w:rsidRDefault="00686114" w:rsidP="00686114"/>
    <w:p w14:paraId="09269237" w14:textId="18EE240A" w:rsidR="00686114" w:rsidRPr="008D00B4" w:rsidRDefault="00686114" w:rsidP="00686114">
      <w:pPr>
        <w:tabs>
          <w:tab w:val="clear" w:pos="360"/>
          <w:tab w:val="clear" w:pos="720"/>
          <w:tab w:val="clear" w:pos="10080"/>
        </w:tabs>
        <w:jc w:val="left"/>
        <w:sectPr w:rsidR="00686114"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Pr>
          <w:b/>
          <w:noProof/>
        </w:rPr>
        <w:t>7</w:t>
      </w:r>
      <w:r w:rsidRPr="00E86679">
        <w:rPr>
          <w:b/>
        </w:rPr>
        <w:fldChar w:fldCharType="end"/>
      </w:r>
      <w:r w:rsidRPr="008D00B4">
        <w:rPr>
          <w:b/>
        </w:rPr>
        <w:t>.</w:t>
      </w:r>
      <w:r w:rsidRPr="008D00B4">
        <w:t xml:space="preserve">  </w:t>
      </w:r>
      <w:r>
        <w:t>Cartoon showing process of sequential deuteration of the kerogen followed by methane</w:t>
      </w:r>
      <w:r w:rsidRPr="008D00B4">
        <w:t>.</w:t>
      </w:r>
    </w:p>
    <w:p w14:paraId="47439303" w14:textId="12CAD57C" w:rsidR="002A3F7A" w:rsidRPr="008D00B4" w:rsidRDefault="00531E52" w:rsidP="00DB0A5E">
      <w:pPr>
        <w:pStyle w:val="Heading1"/>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7"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1</w:t>
      </w:r>
      <w:r w:rsidR="00A910CF">
        <w:rPr>
          <w:b/>
          <w:sz w:val="20"/>
        </w:rPr>
        <w:fldChar w:fldCharType="end"/>
      </w:r>
      <w:bookmarkEnd w:id="7"/>
    </w:p>
    <w:p w14:paraId="7D62C216" w14:textId="3FC92CF5" w:rsidR="00EE4727" w:rsidRPr="008D00B4" w:rsidRDefault="009705DE" w:rsidP="00EE4727">
      <w:pPr>
        <w:rPr>
          <w:sz w:val="20"/>
        </w:rPr>
      </w:pPr>
      <w:r>
        <w:rPr>
          <w:sz w:val="20"/>
        </w:rPr>
        <w:t xml:space="preserve">Elemental analysis of Eagle Ford shale powder that was either </w:t>
      </w:r>
      <w:r w:rsidR="00971490" w:rsidRPr="00971490">
        <w:rPr>
          <w:sz w:val="20"/>
          <w:highlight w:val="yellow"/>
        </w:rPr>
        <w:t>dried but otherwise</w:t>
      </w:r>
      <w:r w:rsidR="00971490">
        <w:rPr>
          <w:sz w:val="20"/>
        </w:rPr>
        <w:t xml:space="preserve"> </w:t>
      </w:r>
      <w:r>
        <w:rPr>
          <w:sz w:val="20"/>
        </w:rPr>
        <w:t>untreated (UNEX), Soxhlet-extracted (EX), or extracted + decarbonated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8"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2</w:t>
      </w:r>
      <w:r w:rsidR="00A910CF">
        <w:rPr>
          <w:b/>
          <w:sz w:val="20"/>
        </w:rPr>
        <w:fldChar w:fldCharType="end"/>
      </w:r>
      <w:bookmarkEnd w:id="8"/>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3C56A483"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C206F7">
        <w:rPr>
          <w:sz w:val="20"/>
        </w:rPr>
        <w:t xml:space="preserve"> + 0.41 (Glasoe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0241F" w14:textId="77777777" w:rsidR="00DD5633" w:rsidRDefault="00DD5633" w:rsidP="00F815F9">
      <w:pPr>
        <w:spacing w:after="0" w:line="240" w:lineRule="auto"/>
      </w:pPr>
      <w:r>
        <w:separator/>
      </w:r>
    </w:p>
  </w:endnote>
  <w:endnote w:type="continuationSeparator" w:id="0">
    <w:p w14:paraId="3716E0F7" w14:textId="77777777" w:rsidR="00DD5633" w:rsidRDefault="00DD5633" w:rsidP="00F815F9">
      <w:pPr>
        <w:spacing w:after="0" w:line="240" w:lineRule="auto"/>
      </w:pPr>
      <w:r>
        <w:continuationSeparator/>
      </w:r>
    </w:p>
  </w:endnote>
  <w:endnote w:type="continuationNotice" w:id="1">
    <w:p w14:paraId="23A986A6" w14:textId="77777777" w:rsidR="00DD5633" w:rsidRDefault="00DD56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DE3D92" w:rsidRDefault="00DE3D92">
        <w:pPr>
          <w:pStyle w:val="Footer"/>
          <w:jc w:val="center"/>
        </w:pPr>
        <w:r>
          <w:fldChar w:fldCharType="begin"/>
        </w:r>
        <w:r>
          <w:instrText xml:space="preserve"> PAGE   \* MERGEFORMAT </w:instrText>
        </w:r>
        <w:r>
          <w:fldChar w:fldCharType="separate"/>
        </w:r>
        <w:r w:rsidR="004A1B68">
          <w:rPr>
            <w:noProof/>
          </w:rPr>
          <w:t>21</w:t>
        </w:r>
        <w:r>
          <w:rPr>
            <w:noProof/>
          </w:rPr>
          <w:fldChar w:fldCharType="end"/>
        </w:r>
      </w:p>
    </w:sdtContent>
  </w:sdt>
  <w:p w14:paraId="5290A8E7" w14:textId="77777777" w:rsidR="00DE3D92" w:rsidRDefault="00DE3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9164A" w14:textId="77777777" w:rsidR="00DD5633" w:rsidRDefault="00DD5633" w:rsidP="00F815F9">
      <w:pPr>
        <w:spacing w:after="0" w:line="240" w:lineRule="auto"/>
      </w:pPr>
      <w:r>
        <w:separator/>
      </w:r>
    </w:p>
  </w:footnote>
  <w:footnote w:type="continuationSeparator" w:id="0">
    <w:p w14:paraId="0EE19406" w14:textId="77777777" w:rsidR="00DD5633" w:rsidRDefault="00DD5633" w:rsidP="00F815F9">
      <w:pPr>
        <w:spacing w:after="0" w:line="240" w:lineRule="auto"/>
      </w:pPr>
      <w:r>
        <w:continuationSeparator/>
      </w:r>
    </w:p>
  </w:footnote>
  <w:footnote w:type="continuationNotice" w:id="1">
    <w:p w14:paraId="18870F35" w14:textId="77777777" w:rsidR="00DD5633" w:rsidRDefault="00DD5633">
      <w:pPr>
        <w:spacing w:after="0" w:line="240" w:lineRule="auto"/>
      </w:pPr>
    </w:p>
  </w:footnote>
  <w:footnote w:id="2">
    <w:p w14:paraId="090A66A5" w14:textId="0E84EA73" w:rsidR="00807EED" w:rsidRDefault="00807EED">
      <w:pPr>
        <w:pStyle w:val="FootnoteText"/>
      </w:pPr>
      <w:r>
        <w:rPr>
          <w:rStyle w:val="FootnoteReference"/>
        </w:rPr>
        <w:footnoteRef/>
      </w:r>
      <w:r>
        <w:t xml:space="preserve"> </w:t>
      </w:r>
      <w:r w:rsidRPr="00807EED">
        <w:t xml:space="preserve">Results of this experiment were first presented by one of us in a Ph.D. thesis (Wang, 2017, MIT/WHOI). This earlier version incorrectly represented the relative concentrations of the isotopologues due to a mathematical error </w:t>
      </w:r>
      <w:r>
        <w:t>(</w:t>
      </w:r>
      <w:r w:rsidRPr="00807EED">
        <w:t>neglected to divide by the relative peak areas of the pure isotopologue standards).  As a result</w:t>
      </w:r>
      <w:r>
        <w:t>,</w:t>
      </w:r>
      <w:r w:rsidRPr="00807EED">
        <w:t xml:space="preserve"> Fig. B.3 of the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Pr="00ED6AD8">
        <w:rPr>
          <w:b/>
          <w:noProof/>
        </w:rPr>
        <w:t>5</w:t>
      </w:r>
      <w:r w:rsidRPr="00ED6AD8">
        <w:rPr>
          <w:b/>
        </w:rPr>
        <w:fldChar w:fldCharType="end"/>
      </w:r>
      <w:r w:rsidRPr="00807EED">
        <w:t xml:space="preserve"> in this paper. This paper has the most correct version known to us.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7854A3" w:rsidRDefault="007854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C1"/>
    <w:rsid w:val="00045EDD"/>
    <w:rsid w:val="00045F29"/>
    <w:rsid w:val="000460AD"/>
    <w:rsid w:val="00046125"/>
    <w:rsid w:val="000462C8"/>
    <w:rsid w:val="0004668B"/>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3308"/>
    <w:rsid w:val="000D34BE"/>
    <w:rsid w:val="000D3906"/>
    <w:rsid w:val="000D3A7B"/>
    <w:rsid w:val="000D3AC1"/>
    <w:rsid w:val="000D3B6B"/>
    <w:rsid w:val="000D3F9A"/>
    <w:rsid w:val="000D455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F2E"/>
    <w:rsid w:val="000E1098"/>
    <w:rsid w:val="000E1155"/>
    <w:rsid w:val="000E1163"/>
    <w:rsid w:val="000E11A4"/>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294"/>
    <w:rsid w:val="000E741B"/>
    <w:rsid w:val="000E7749"/>
    <w:rsid w:val="000F077A"/>
    <w:rsid w:val="000F087B"/>
    <w:rsid w:val="000F0D82"/>
    <w:rsid w:val="000F0FC7"/>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6A5"/>
    <w:rsid w:val="0013791D"/>
    <w:rsid w:val="001379BD"/>
    <w:rsid w:val="00137A9C"/>
    <w:rsid w:val="00137DC2"/>
    <w:rsid w:val="001402FA"/>
    <w:rsid w:val="00140429"/>
    <w:rsid w:val="001405AB"/>
    <w:rsid w:val="0014078B"/>
    <w:rsid w:val="00140DCD"/>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D32"/>
    <w:rsid w:val="00156DD9"/>
    <w:rsid w:val="00157370"/>
    <w:rsid w:val="00157E1C"/>
    <w:rsid w:val="00157E38"/>
    <w:rsid w:val="00157F33"/>
    <w:rsid w:val="0016006E"/>
    <w:rsid w:val="00160682"/>
    <w:rsid w:val="001609CC"/>
    <w:rsid w:val="00160DB7"/>
    <w:rsid w:val="00160DB8"/>
    <w:rsid w:val="00161115"/>
    <w:rsid w:val="00161BC0"/>
    <w:rsid w:val="00161DFD"/>
    <w:rsid w:val="00161F2D"/>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5C4"/>
    <w:rsid w:val="0019472C"/>
    <w:rsid w:val="00194892"/>
    <w:rsid w:val="00194D21"/>
    <w:rsid w:val="0019529A"/>
    <w:rsid w:val="00195AC5"/>
    <w:rsid w:val="00195CA8"/>
    <w:rsid w:val="0019622D"/>
    <w:rsid w:val="0019642C"/>
    <w:rsid w:val="001966FE"/>
    <w:rsid w:val="0019699D"/>
    <w:rsid w:val="00196C4B"/>
    <w:rsid w:val="00196CEF"/>
    <w:rsid w:val="00197589"/>
    <w:rsid w:val="00197864"/>
    <w:rsid w:val="0019788B"/>
    <w:rsid w:val="00197AFA"/>
    <w:rsid w:val="001A0012"/>
    <w:rsid w:val="001A0144"/>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84A"/>
    <w:rsid w:val="001B6B76"/>
    <w:rsid w:val="001B6CDB"/>
    <w:rsid w:val="001B72CE"/>
    <w:rsid w:val="001B7329"/>
    <w:rsid w:val="001B73BC"/>
    <w:rsid w:val="001B7732"/>
    <w:rsid w:val="001C0159"/>
    <w:rsid w:val="001C0850"/>
    <w:rsid w:val="001C0955"/>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0F"/>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616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7B"/>
    <w:rsid w:val="002521E3"/>
    <w:rsid w:val="00252565"/>
    <w:rsid w:val="002526DC"/>
    <w:rsid w:val="00252DFB"/>
    <w:rsid w:val="00253099"/>
    <w:rsid w:val="00253294"/>
    <w:rsid w:val="002533CB"/>
    <w:rsid w:val="0025370D"/>
    <w:rsid w:val="0025379F"/>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82C"/>
    <w:rsid w:val="002A39AE"/>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728"/>
    <w:rsid w:val="003048BB"/>
    <w:rsid w:val="00304E91"/>
    <w:rsid w:val="00305196"/>
    <w:rsid w:val="003051FA"/>
    <w:rsid w:val="003057D8"/>
    <w:rsid w:val="00305ACD"/>
    <w:rsid w:val="00305D3D"/>
    <w:rsid w:val="0030602B"/>
    <w:rsid w:val="003060FD"/>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554"/>
    <w:rsid w:val="00327749"/>
    <w:rsid w:val="003277FD"/>
    <w:rsid w:val="00327C20"/>
    <w:rsid w:val="00327F6F"/>
    <w:rsid w:val="00327F90"/>
    <w:rsid w:val="003301F4"/>
    <w:rsid w:val="003303EE"/>
    <w:rsid w:val="003306DE"/>
    <w:rsid w:val="0033086A"/>
    <w:rsid w:val="003309EA"/>
    <w:rsid w:val="003310DC"/>
    <w:rsid w:val="00331C23"/>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76B"/>
    <w:rsid w:val="003378A7"/>
    <w:rsid w:val="00337A6D"/>
    <w:rsid w:val="00337E83"/>
    <w:rsid w:val="0034010D"/>
    <w:rsid w:val="00340593"/>
    <w:rsid w:val="003409A4"/>
    <w:rsid w:val="003409E3"/>
    <w:rsid w:val="00340A59"/>
    <w:rsid w:val="00340AC8"/>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9C3"/>
    <w:rsid w:val="00346C00"/>
    <w:rsid w:val="00346DF9"/>
    <w:rsid w:val="003476A6"/>
    <w:rsid w:val="00347DAF"/>
    <w:rsid w:val="00350490"/>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F4A"/>
    <w:rsid w:val="0035700D"/>
    <w:rsid w:val="003571B6"/>
    <w:rsid w:val="00357848"/>
    <w:rsid w:val="0035788B"/>
    <w:rsid w:val="00357A83"/>
    <w:rsid w:val="00357DF5"/>
    <w:rsid w:val="00357E28"/>
    <w:rsid w:val="00357EC3"/>
    <w:rsid w:val="00357EE5"/>
    <w:rsid w:val="00360077"/>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8D8"/>
    <w:rsid w:val="00371B77"/>
    <w:rsid w:val="00371ED7"/>
    <w:rsid w:val="00372437"/>
    <w:rsid w:val="003724D1"/>
    <w:rsid w:val="00372D77"/>
    <w:rsid w:val="00372EFC"/>
    <w:rsid w:val="00373174"/>
    <w:rsid w:val="00373333"/>
    <w:rsid w:val="0037370B"/>
    <w:rsid w:val="00373727"/>
    <w:rsid w:val="00373782"/>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C1"/>
    <w:rsid w:val="0038118E"/>
    <w:rsid w:val="003812A2"/>
    <w:rsid w:val="0038179D"/>
    <w:rsid w:val="003818CE"/>
    <w:rsid w:val="00381EB6"/>
    <w:rsid w:val="003825E5"/>
    <w:rsid w:val="00382A8D"/>
    <w:rsid w:val="00382B87"/>
    <w:rsid w:val="00382BF6"/>
    <w:rsid w:val="00382E2C"/>
    <w:rsid w:val="003832CB"/>
    <w:rsid w:val="00383AA0"/>
    <w:rsid w:val="00383C95"/>
    <w:rsid w:val="00383F00"/>
    <w:rsid w:val="00383F98"/>
    <w:rsid w:val="00384051"/>
    <w:rsid w:val="00384100"/>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718C"/>
    <w:rsid w:val="003971DD"/>
    <w:rsid w:val="00397328"/>
    <w:rsid w:val="00397541"/>
    <w:rsid w:val="00397571"/>
    <w:rsid w:val="003976EA"/>
    <w:rsid w:val="00397A00"/>
    <w:rsid w:val="00397A26"/>
    <w:rsid w:val="00397DD5"/>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757"/>
    <w:rsid w:val="003F596B"/>
    <w:rsid w:val="003F5B1C"/>
    <w:rsid w:val="003F5C46"/>
    <w:rsid w:val="003F5F1B"/>
    <w:rsid w:val="003F5F92"/>
    <w:rsid w:val="003F62C8"/>
    <w:rsid w:val="003F6640"/>
    <w:rsid w:val="003F6B8E"/>
    <w:rsid w:val="003F6E81"/>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88C"/>
    <w:rsid w:val="00484DD6"/>
    <w:rsid w:val="00484DFD"/>
    <w:rsid w:val="00485024"/>
    <w:rsid w:val="004851DC"/>
    <w:rsid w:val="00485380"/>
    <w:rsid w:val="004857AB"/>
    <w:rsid w:val="00485ACB"/>
    <w:rsid w:val="00486B95"/>
    <w:rsid w:val="004872DE"/>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67F"/>
    <w:rsid w:val="004966C5"/>
    <w:rsid w:val="00496AB0"/>
    <w:rsid w:val="00496B09"/>
    <w:rsid w:val="00496CFE"/>
    <w:rsid w:val="0049709B"/>
    <w:rsid w:val="0049719C"/>
    <w:rsid w:val="00497305"/>
    <w:rsid w:val="004975F7"/>
    <w:rsid w:val="004A003C"/>
    <w:rsid w:val="004A04DB"/>
    <w:rsid w:val="004A072F"/>
    <w:rsid w:val="004A0C1C"/>
    <w:rsid w:val="004A0FAB"/>
    <w:rsid w:val="004A1715"/>
    <w:rsid w:val="004A1890"/>
    <w:rsid w:val="004A1968"/>
    <w:rsid w:val="004A1AB9"/>
    <w:rsid w:val="004A1B68"/>
    <w:rsid w:val="004A1C1E"/>
    <w:rsid w:val="004A1CEC"/>
    <w:rsid w:val="004A1F70"/>
    <w:rsid w:val="004A2084"/>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52"/>
    <w:rsid w:val="005955E7"/>
    <w:rsid w:val="005957B1"/>
    <w:rsid w:val="005959C0"/>
    <w:rsid w:val="00595B11"/>
    <w:rsid w:val="00595E1D"/>
    <w:rsid w:val="005965D2"/>
    <w:rsid w:val="0059692C"/>
    <w:rsid w:val="00596BEB"/>
    <w:rsid w:val="00596CA3"/>
    <w:rsid w:val="00596D4B"/>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CE"/>
    <w:rsid w:val="0067312A"/>
    <w:rsid w:val="00673271"/>
    <w:rsid w:val="006732A9"/>
    <w:rsid w:val="006735BA"/>
    <w:rsid w:val="0067375C"/>
    <w:rsid w:val="00673865"/>
    <w:rsid w:val="00673964"/>
    <w:rsid w:val="00673B78"/>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B10"/>
    <w:rsid w:val="00683B96"/>
    <w:rsid w:val="00683D0E"/>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5F0"/>
    <w:rsid w:val="006B376E"/>
    <w:rsid w:val="006B37CF"/>
    <w:rsid w:val="006B390B"/>
    <w:rsid w:val="006B4179"/>
    <w:rsid w:val="006B424E"/>
    <w:rsid w:val="006B4777"/>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CC8"/>
    <w:rsid w:val="006D2E95"/>
    <w:rsid w:val="006D35C1"/>
    <w:rsid w:val="006D36BE"/>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C2"/>
    <w:rsid w:val="00703DEB"/>
    <w:rsid w:val="00703E00"/>
    <w:rsid w:val="00703E36"/>
    <w:rsid w:val="00704FBA"/>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DCD"/>
    <w:rsid w:val="00716FA9"/>
    <w:rsid w:val="00717E21"/>
    <w:rsid w:val="00717FFA"/>
    <w:rsid w:val="007200E5"/>
    <w:rsid w:val="007207CF"/>
    <w:rsid w:val="00720CEF"/>
    <w:rsid w:val="00720F68"/>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6EE"/>
    <w:rsid w:val="00730FCC"/>
    <w:rsid w:val="007312C9"/>
    <w:rsid w:val="00731431"/>
    <w:rsid w:val="007319DA"/>
    <w:rsid w:val="00731BF8"/>
    <w:rsid w:val="00732345"/>
    <w:rsid w:val="0073235F"/>
    <w:rsid w:val="0073266D"/>
    <w:rsid w:val="00732BDE"/>
    <w:rsid w:val="00733307"/>
    <w:rsid w:val="00733350"/>
    <w:rsid w:val="007334CB"/>
    <w:rsid w:val="007335F1"/>
    <w:rsid w:val="0073384A"/>
    <w:rsid w:val="00733A5A"/>
    <w:rsid w:val="00733DA6"/>
    <w:rsid w:val="00733F22"/>
    <w:rsid w:val="0073422F"/>
    <w:rsid w:val="00734744"/>
    <w:rsid w:val="0073483C"/>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22D"/>
    <w:rsid w:val="007763BA"/>
    <w:rsid w:val="0077687B"/>
    <w:rsid w:val="00776F77"/>
    <w:rsid w:val="0077711E"/>
    <w:rsid w:val="00777393"/>
    <w:rsid w:val="00777422"/>
    <w:rsid w:val="00777578"/>
    <w:rsid w:val="00777CEC"/>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109C"/>
    <w:rsid w:val="007A11CB"/>
    <w:rsid w:val="007A1283"/>
    <w:rsid w:val="007A1C0E"/>
    <w:rsid w:val="007A1E5C"/>
    <w:rsid w:val="007A295A"/>
    <w:rsid w:val="007A2DAB"/>
    <w:rsid w:val="007A2EFE"/>
    <w:rsid w:val="007A33F2"/>
    <w:rsid w:val="007A38F2"/>
    <w:rsid w:val="007A3A3E"/>
    <w:rsid w:val="007A3BD4"/>
    <w:rsid w:val="007A3CB4"/>
    <w:rsid w:val="007A4153"/>
    <w:rsid w:val="007A41CB"/>
    <w:rsid w:val="007A41D7"/>
    <w:rsid w:val="007A4272"/>
    <w:rsid w:val="007A4636"/>
    <w:rsid w:val="007A477D"/>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3A7"/>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A77"/>
    <w:rsid w:val="008B4AE1"/>
    <w:rsid w:val="008B4CCD"/>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C2"/>
    <w:rsid w:val="008D71B4"/>
    <w:rsid w:val="008D77E6"/>
    <w:rsid w:val="008D79B2"/>
    <w:rsid w:val="008D7A40"/>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EA"/>
    <w:rsid w:val="008F03E0"/>
    <w:rsid w:val="008F042D"/>
    <w:rsid w:val="008F096E"/>
    <w:rsid w:val="008F0F4C"/>
    <w:rsid w:val="008F1168"/>
    <w:rsid w:val="008F118E"/>
    <w:rsid w:val="008F11BF"/>
    <w:rsid w:val="008F1412"/>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C3D"/>
    <w:rsid w:val="00923FD1"/>
    <w:rsid w:val="00924128"/>
    <w:rsid w:val="00924531"/>
    <w:rsid w:val="00924557"/>
    <w:rsid w:val="009245EC"/>
    <w:rsid w:val="009246FE"/>
    <w:rsid w:val="009247C4"/>
    <w:rsid w:val="00924930"/>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12CA"/>
    <w:rsid w:val="0093131C"/>
    <w:rsid w:val="00931359"/>
    <w:rsid w:val="0093181D"/>
    <w:rsid w:val="009318E0"/>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370"/>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379F"/>
    <w:rsid w:val="00993B1C"/>
    <w:rsid w:val="00993D05"/>
    <w:rsid w:val="0099423E"/>
    <w:rsid w:val="00994391"/>
    <w:rsid w:val="00994448"/>
    <w:rsid w:val="0099450C"/>
    <w:rsid w:val="00994841"/>
    <w:rsid w:val="00994C2A"/>
    <w:rsid w:val="00994E4B"/>
    <w:rsid w:val="00994F67"/>
    <w:rsid w:val="009950C4"/>
    <w:rsid w:val="009950CE"/>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E"/>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612A"/>
    <w:rsid w:val="00A66244"/>
    <w:rsid w:val="00A6701C"/>
    <w:rsid w:val="00A670A6"/>
    <w:rsid w:val="00A67164"/>
    <w:rsid w:val="00A67A08"/>
    <w:rsid w:val="00A67AA2"/>
    <w:rsid w:val="00A67AF7"/>
    <w:rsid w:val="00A67CDD"/>
    <w:rsid w:val="00A67D11"/>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ABA"/>
    <w:rsid w:val="00A80485"/>
    <w:rsid w:val="00A80584"/>
    <w:rsid w:val="00A80B31"/>
    <w:rsid w:val="00A8112C"/>
    <w:rsid w:val="00A81A27"/>
    <w:rsid w:val="00A81BD1"/>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8E5"/>
    <w:rsid w:val="00AA4AE5"/>
    <w:rsid w:val="00AA5019"/>
    <w:rsid w:val="00AA5A97"/>
    <w:rsid w:val="00AA61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500"/>
    <w:rsid w:val="00AF3604"/>
    <w:rsid w:val="00AF3739"/>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C46"/>
    <w:rsid w:val="00B22021"/>
    <w:rsid w:val="00B2234B"/>
    <w:rsid w:val="00B22354"/>
    <w:rsid w:val="00B223DC"/>
    <w:rsid w:val="00B22B5B"/>
    <w:rsid w:val="00B23167"/>
    <w:rsid w:val="00B231AD"/>
    <w:rsid w:val="00B23464"/>
    <w:rsid w:val="00B2362D"/>
    <w:rsid w:val="00B2391E"/>
    <w:rsid w:val="00B2473A"/>
    <w:rsid w:val="00B24762"/>
    <w:rsid w:val="00B247D8"/>
    <w:rsid w:val="00B24F40"/>
    <w:rsid w:val="00B25161"/>
    <w:rsid w:val="00B25410"/>
    <w:rsid w:val="00B25B52"/>
    <w:rsid w:val="00B25E94"/>
    <w:rsid w:val="00B25F1B"/>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2034"/>
    <w:rsid w:val="00B5265F"/>
    <w:rsid w:val="00B52715"/>
    <w:rsid w:val="00B52880"/>
    <w:rsid w:val="00B5298F"/>
    <w:rsid w:val="00B52BD1"/>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7B69"/>
    <w:rsid w:val="00B57C88"/>
    <w:rsid w:val="00B601E1"/>
    <w:rsid w:val="00B603E6"/>
    <w:rsid w:val="00B60417"/>
    <w:rsid w:val="00B607AF"/>
    <w:rsid w:val="00B609E6"/>
    <w:rsid w:val="00B60DDA"/>
    <w:rsid w:val="00B60F29"/>
    <w:rsid w:val="00B60FBF"/>
    <w:rsid w:val="00B61066"/>
    <w:rsid w:val="00B617B4"/>
    <w:rsid w:val="00B621CD"/>
    <w:rsid w:val="00B62D8E"/>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F2"/>
    <w:rsid w:val="00B731BD"/>
    <w:rsid w:val="00B7359B"/>
    <w:rsid w:val="00B73627"/>
    <w:rsid w:val="00B73829"/>
    <w:rsid w:val="00B73AC0"/>
    <w:rsid w:val="00B73C5E"/>
    <w:rsid w:val="00B7423A"/>
    <w:rsid w:val="00B74528"/>
    <w:rsid w:val="00B74B31"/>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159"/>
    <w:rsid w:val="00B9068F"/>
    <w:rsid w:val="00B907DB"/>
    <w:rsid w:val="00B909E3"/>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9AF"/>
    <w:rsid w:val="00B93BB1"/>
    <w:rsid w:val="00B93CB2"/>
    <w:rsid w:val="00B93CF4"/>
    <w:rsid w:val="00B93D2B"/>
    <w:rsid w:val="00B93DC0"/>
    <w:rsid w:val="00B94584"/>
    <w:rsid w:val="00B945B3"/>
    <w:rsid w:val="00B94648"/>
    <w:rsid w:val="00B94C1E"/>
    <w:rsid w:val="00B9501C"/>
    <w:rsid w:val="00B95171"/>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B05"/>
    <w:rsid w:val="00BA20CD"/>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368"/>
    <w:rsid w:val="00C163F6"/>
    <w:rsid w:val="00C16485"/>
    <w:rsid w:val="00C16684"/>
    <w:rsid w:val="00C16A22"/>
    <w:rsid w:val="00C16A9D"/>
    <w:rsid w:val="00C16D19"/>
    <w:rsid w:val="00C16E5A"/>
    <w:rsid w:val="00C1734F"/>
    <w:rsid w:val="00C179D0"/>
    <w:rsid w:val="00C17D21"/>
    <w:rsid w:val="00C17EBD"/>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245"/>
    <w:rsid w:val="00C75477"/>
    <w:rsid w:val="00C754B2"/>
    <w:rsid w:val="00C7564E"/>
    <w:rsid w:val="00C75C9C"/>
    <w:rsid w:val="00C75FE3"/>
    <w:rsid w:val="00C76342"/>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8E"/>
    <w:rsid w:val="00C97947"/>
    <w:rsid w:val="00C979C5"/>
    <w:rsid w:val="00C97A92"/>
    <w:rsid w:val="00C97E45"/>
    <w:rsid w:val="00C97EFF"/>
    <w:rsid w:val="00C97FA5"/>
    <w:rsid w:val="00CA0546"/>
    <w:rsid w:val="00CA0640"/>
    <w:rsid w:val="00CA0A3C"/>
    <w:rsid w:val="00CA0BBB"/>
    <w:rsid w:val="00CA0CAA"/>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77F"/>
    <w:rsid w:val="00CC0914"/>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601A"/>
    <w:rsid w:val="00CF639E"/>
    <w:rsid w:val="00CF6D91"/>
    <w:rsid w:val="00CF7907"/>
    <w:rsid w:val="00CF7978"/>
    <w:rsid w:val="00CF7AB9"/>
    <w:rsid w:val="00CF7C10"/>
    <w:rsid w:val="00CF7F49"/>
    <w:rsid w:val="00D000D6"/>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C35"/>
    <w:rsid w:val="00D54C59"/>
    <w:rsid w:val="00D55171"/>
    <w:rsid w:val="00D55252"/>
    <w:rsid w:val="00D55493"/>
    <w:rsid w:val="00D55A48"/>
    <w:rsid w:val="00D55B5D"/>
    <w:rsid w:val="00D55C12"/>
    <w:rsid w:val="00D55CBA"/>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205D"/>
    <w:rsid w:val="00DC23F2"/>
    <w:rsid w:val="00DC2422"/>
    <w:rsid w:val="00DC29E7"/>
    <w:rsid w:val="00DC29F7"/>
    <w:rsid w:val="00DC2A9D"/>
    <w:rsid w:val="00DC2FA5"/>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28F8"/>
    <w:rsid w:val="00E22AA2"/>
    <w:rsid w:val="00E22C2C"/>
    <w:rsid w:val="00E22CBE"/>
    <w:rsid w:val="00E22DC2"/>
    <w:rsid w:val="00E23743"/>
    <w:rsid w:val="00E23B08"/>
    <w:rsid w:val="00E2462B"/>
    <w:rsid w:val="00E248FE"/>
    <w:rsid w:val="00E24AB6"/>
    <w:rsid w:val="00E24C70"/>
    <w:rsid w:val="00E24D17"/>
    <w:rsid w:val="00E24FA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F65"/>
    <w:rsid w:val="00E531B4"/>
    <w:rsid w:val="00E531CD"/>
    <w:rsid w:val="00E53411"/>
    <w:rsid w:val="00E53481"/>
    <w:rsid w:val="00E536F1"/>
    <w:rsid w:val="00E53F68"/>
    <w:rsid w:val="00E53F9E"/>
    <w:rsid w:val="00E54029"/>
    <w:rsid w:val="00E54233"/>
    <w:rsid w:val="00E54AA0"/>
    <w:rsid w:val="00E54BD5"/>
    <w:rsid w:val="00E54BFA"/>
    <w:rsid w:val="00E54CA6"/>
    <w:rsid w:val="00E54D58"/>
    <w:rsid w:val="00E54F6F"/>
    <w:rsid w:val="00E5537E"/>
    <w:rsid w:val="00E5555D"/>
    <w:rsid w:val="00E55875"/>
    <w:rsid w:val="00E5628B"/>
    <w:rsid w:val="00E563DC"/>
    <w:rsid w:val="00E564DB"/>
    <w:rsid w:val="00E56900"/>
    <w:rsid w:val="00E57074"/>
    <w:rsid w:val="00E57101"/>
    <w:rsid w:val="00E5739D"/>
    <w:rsid w:val="00E573F0"/>
    <w:rsid w:val="00E57415"/>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C65"/>
    <w:rsid w:val="00E82CCD"/>
    <w:rsid w:val="00E8360F"/>
    <w:rsid w:val="00E83A2B"/>
    <w:rsid w:val="00E83ADC"/>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BDE"/>
    <w:rsid w:val="00E91D88"/>
    <w:rsid w:val="00E91DB7"/>
    <w:rsid w:val="00E91F29"/>
    <w:rsid w:val="00E91F59"/>
    <w:rsid w:val="00E921D7"/>
    <w:rsid w:val="00E922CB"/>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186"/>
    <w:rsid w:val="00E9756E"/>
    <w:rsid w:val="00E977B1"/>
    <w:rsid w:val="00E978A0"/>
    <w:rsid w:val="00E97A7E"/>
    <w:rsid w:val="00EA01B5"/>
    <w:rsid w:val="00EA0707"/>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908"/>
    <w:rsid w:val="00EA7CB0"/>
    <w:rsid w:val="00EA7D45"/>
    <w:rsid w:val="00EA7E03"/>
    <w:rsid w:val="00EA7EAA"/>
    <w:rsid w:val="00EB0264"/>
    <w:rsid w:val="00EB094C"/>
    <w:rsid w:val="00EB1059"/>
    <w:rsid w:val="00EB12CE"/>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2041"/>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F21"/>
    <w:rsid w:val="00EC650B"/>
    <w:rsid w:val="00EC66BE"/>
    <w:rsid w:val="00EC6A3A"/>
    <w:rsid w:val="00EC6F1A"/>
    <w:rsid w:val="00EC71F6"/>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C1"/>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663"/>
    <w:rsid w:val="00F946D0"/>
    <w:rsid w:val="00F9491F"/>
    <w:rsid w:val="00F94F34"/>
    <w:rsid w:val="00F94FD9"/>
    <w:rsid w:val="00F950AC"/>
    <w:rsid w:val="00F9551F"/>
    <w:rsid w:val="00F95818"/>
    <w:rsid w:val="00F9593E"/>
    <w:rsid w:val="00F95D0A"/>
    <w:rsid w:val="00F95F86"/>
    <w:rsid w:val="00F9618E"/>
    <w:rsid w:val="00F967F8"/>
    <w:rsid w:val="00F96A18"/>
    <w:rsid w:val="00F96A7E"/>
    <w:rsid w:val="00F96E03"/>
    <w:rsid w:val="00F971F2"/>
    <w:rsid w:val="00F97472"/>
    <w:rsid w:val="00F974B9"/>
    <w:rsid w:val="00F978C7"/>
    <w:rsid w:val="00F979D7"/>
    <w:rsid w:val="00F97DDA"/>
    <w:rsid w:val="00FA022C"/>
    <w:rsid w:val="00FA041E"/>
    <w:rsid w:val="00FA04CD"/>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787"/>
    <w:rsid w:val="00FB596A"/>
    <w:rsid w:val="00FB5AF8"/>
    <w:rsid w:val="00FB5CB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A88"/>
    <w:rsid w:val="00FC1B64"/>
    <w:rsid w:val="00FC1FF8"/>
    <w:rsid w:val="00FC2186"/>
    <w:rsid w:val="00FC24AB"/>
    <w:rsid w:val="00FC2500"/>
    <w:rsid w:val="00FC2658"/>
    <w:rsid w:val="00FC2659"/>
    <w:rsid w:val="00FC2A78"/>
    <w:rsid w:val="00FC2ACE"/>
    <w:rsid w:val="00FC2C4F"/>
    <w:rsid w:val="00FC2CD1"/>
    <w:rsid w:val="00FC3317"/>
    <w:rsid w:val="00FC3F97"/>
    <w:rsid w:val="00FC4352"/>
    <w:rsid w:val="00FC465A"/>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C8"/>
    <w:rsid w:val="00FE4C51"/>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016724E7"/>
  <w15:docId w15:val="{EFA3198D-EF53-44D6-AD90-97B064C5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FB0844A6-76E2-4A6D-8AEA-A47F99C14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21</Pages>
  <Words>16561</Words>
  <Characters>94400</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110740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DTWANG</cp:lastModifiedBy>
  <cp:revision>29</cp:revision>
  <cp:lastPrinted>2019-06-10T05:56:00Z</cp:lastPrinted>
  <dcterms:created xsi:type="dcterms:W3CDTF">2020-05-25T17:55:00Z</dcterms:created>
  <dcterms:modified xsi:type="dcterms:W3CDTF">2020-07-20T21:54:00Z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id="3bv9R2yB"/&gt;&lt;style id="http://www.zotero.org/styles/organic-geochemistry" hasBibliography="1" bibliographyStyleHasBeenSet="1"/&gt;&lt;prefs&gt;&lt;pref name="fieldType" value="Field"/&gt;&lt;/prefs&gt;&lt;/data&gt;</vt:lpwstr>
  </property>
</Properties>
</file>