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55C" w:rsidRPr="00F6660B" w:rsidRDefault="0040255C" w:rsidP="0040255C">
      <w:pPr>
        <w:rPr>
          <w:b/>
          <w:sz w:val="28"/>
        </w:rPr>
      </w:pPr>
      <w:r w:rsidRPr="00F6660B">
        <w:rPr>
          <w:b/>
          <w:sz w:val="28"/>
        </w:rPr>
        <w:t xml:space="preserve">Appendix </w:t>
      </w:r>
      <w:r>
        <w:rPr>
          <w:b/>
          <w:sz w:val="28"/>
        </w:rPr>
        <w:t>2</w:t>
      </w:r>
      <w:r w:rsidRPr="00F6660B">
        <w:rPr>
          <w:b/>
          <w:sz w:val="28"/>
        </w:rPr>
        <w:t>: Single-Sided Normal Distribution</w:t>
      </w:r>
    </w:p>
    <w:p w:rsidR="0040255C" w:rsidRPr="00235AAA" w:rsidRDefault="0040255C" w:rsidP="0040255C">
      <w:pPr>
        <w:spacing w:after="120"/>
      </w:pPr>
      <w:r w:rsidRPr="00235AAA">
        <w:t xml:space="preserve">The table </w:t>
      </w:r>
      <w:r>
        <w:t>below</w:t>
      </w:r>
      <w:r w:rsidRPr="00235AAA">
        <w:t xml:space="preserve"> gives the proportion, </w:t>
      </w:r>
      <m:oMath>
        <m:r>
          <w:rPr>
            <w:rFonts w:ascii="Cambria Math" w:hAnsi="Cambria Math"/>
          </w:rPr>
          <m:t>P</m:t>
        </m:r>
      </m:oMath>
      <w:r w:rsidRPr="00235AAA">
        <w:t xml:space="preserve">, of the area under a normal distribution curve that lies to the right of a deviation, </w:t>
      </w:r>
      <m:oMath>
        <m:r>
          <w:rPr>
            <w:rFonts w:ascii="Cambria Math" w:hAnsi="Cambria Math"/>
          </w:rPr>
          <m:t>z</m:t>
        </m:r>
      </m:oMath>
      <w:r>
        <w:t>, which is defined as</w:t>
      </w:r>
    </w:p>
    <w:p w:rsidR="0040255C" w:rsidRPr="00235AAA" w:rsidRDefault="0040255C" w:rsidP="0040255C">
      <w:pPr>
        <w:spacing w:after="1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40255C" w:rsidRPr="00235AAA" w:rsidRDefault="0040255C" w:rsidP="0040255C">
      <w:pPr>
        <w:spacing w:after="120"/>
      </w:pPr>
      <w:r>
        <w:t xml:space="preserve">where </w:t>
      </w:r>
      <m:oMath>
        <m:r>
          <w:rPr>
            <w:rFonts w:ascii="Cambria Math" w:hAnsi="Cambria Math"/>
          </w:rPr>
          <m:t>μ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σ</m:t>
        </m:r>
      </m:oMath>
      <w:r>
        <w:t xml:space="preserve"> are</w:t>
      </w:r>
      <w:r w:rsidRPr="00235AAA">
        <w:t xml:space="preserve"> the distribution’s mean and standard deviation</w:t>
      </w:r>
      <w:r>
        <w:t xml:space="preserve">, respectively, and </w:t>
      </w:r>
      <w:r w:rsidRPr="00235AAA">
        <w:t xml:space="preserve">where </w:t>
      </w:r>
      <m:oMath>
        <m:r>
          <w:rPr>
            <w:rFonts w:ascii="Cambria Math" w:hAnsi="Cambria Math"/>
          </w:rPr>
          <m:t>x</m:t>
        </m:r>
      </m:oMath>
      <w:r w:rsidRPr="00235AAA">
        <w:t xml:space="preserve"> is the value for which the devia</w:t>
      </w:r>
      <w:r>
        <w:t>tion is defined</w:t>
      </w:r>
      <w:r w:rsidRPr="00235AAA">
        <w:t xml:space="preserve">. For example, the area under a normal distribution to the right of a deviation of </w:t>
      </w:r>
      <w:r>
        <w:t>+</w:t>
      </w:r>
      <w:r w:rsidRPr="00235AAA">
        <w:t xml:space="preserve">0.04 is 0.4840 (see entry in </w:t>
      </w:r>
      <w:r w:rsidRPr="00B30B59">
        <w:rPr>
          <w:color w:val="FF0000"/>
        </w:rPr>
        <w:t>red</w:t>
      </w:r>
      <w:r w:rsidRPr="00235AAA">
        <w:t>), or 48.40% of the total area. The area to the left of the deviation i</w:t>
      </w:r>
      <w:r>
        <w:t xml:space="preserve">s </w:t>
      </w:r>
      <m:oMath>
        <m:r>
          <m:rPr>
            <m:nor/>
          </m:rPr>
          <w:rPr>
            <w:rFonts w:ascii="Adobe Garamond Pro" w:hAnsi="Adobe Garamond Pro"/>
          </w:rPr>
          <m:t>1</m:t>
        </m:r>
        <m:r>
          <w:rPr>
            <w:rFonts w:ascii="Cambria Math" w:hAnsi="Cambria Math"/>
          </w:rPr>
          <m:t>-P</m:t>
        </m:r>
      </m:oMath>
      <w:r>
        <w:t>.</w:t>
      </w:r>
      <w:r w:rsidRPr="00235AAA">
        <w:t xml:space="preserve"> For a deviation of </w:t>
      </w:r>
      <w:r>
        <w:t>+</w:t>
      </w:r>
      <w:r w:rsidRPr="00235AAA">
        <w:t>0.04, this is 1</w:t>
      </w:r>
      <w:r>
        <w:t xml:space="preserve"> </w:t>
      </w:r>
      <w:r w:rsidRPr="00235AAA">
        <w:t>–</w:t>
      </w:r>
      <w:r>
        <w:t xml:space="preserve"> </w:t>
      </w:r>
      <w:r w:rsidRPr="00235AAA">
        <w:t>0.4840, or 51.60%.</w:t>
      </w:r>
      <w:r>
        <w:t xml:space="preserve"> If</w:t>
      </w:r>
      <w:r w:rsidRPr="00235AAA">
        <w:t xml:space="preserve"> </w:t>
      </w:r>
      <m:oMath>
        <m:r>
          <w:rPr>
            <w:rFonts w:ascii="Cambria Math" w:hAnsi="Cambria Math"/>
          </w:rPr>
          <m:t>x</m:t>
        </m:r>
      </m:oMath>
      <w:r w:rsidRPr="00235AAA">
        <w:t xml:space="preserve"> is smaller than </w:t>
      </w:r>
      <m:oMath>
        <m:r>
          <w:rPr>
            <w:rFonts w:ascii="Cambria Math" w:hAnsi="Cambria Math"/>
          </w:rPr>
          <m:t>μ</m:t>
        </m:r>
      </m:oMath>
      <w:r>
        <w:t xml:space="preserve">, </w:t>
      </w:r>
      <w:r w:rsidRPr="00235AAA">
        <w:t>the</w:t>
      </w:r>
      <w:r>
        <w:t xml:space="preserve">n </w:t>
      </w:r>
      <m:oMath>
        <m:r>
          <w:rPr>
            <w:rFonts w:ascii="Cambria Math" w:hAnsi="Cambria Math"/>
          </w:rPr>
          <m:t>z</m:t>
        </m:r>
      </m:oMath>
      <w:r w:rsidRPr="00235AAA">
        <w:t xml:space="preserve"> is negative. In this case, the values in the table give the area to the left of </w:t>
      </w:r>
      <m:oMath>
        <m:r>
          <w:rPr>
            <w:rFonts w:ascii="Cambria Math" w:hAnsi="Cambria Math"/>
          </w:rPr>
          <m:t>z</m:t>
        </m:r>
      </m:oMath>
      <w:r w:rsidRPr="00235AAA">
        <w:t>. For e</w:t>
      </w:r>
      <w:r w:rsidRPr="00235AAA">
        <w:t>x</w:t>
      </w:r>
      <w:r w:rsidRPr="00235AAA">
        <w:t xml:space="preserve">ample, if </w:t>
      </w:r>
      <m:oMath>
        <m:r>
          <w:rPr>
            <w:rFonts w:ascii="Cambria Math" w:hAnsi="Cambria Math"/>
          </w:rPr>
          <m:t>z</m:t>
        </m:r>
      </m:oMath>
      <w:r w:rsidRPr="00235AAA">
        <w:t xml:space="preserve"> is –0.04, then 48.40% of the area lies to the left of the deviation.</w:t>
      </w:r>
    </w:p>
    <w:p w:rsidR="0040255C" w:rsidRPr="00235AAA" w:rsidRDefault="0040255C" w:rsidP="0040255C">
      <w:pPr>
        <w:spacing w:after="120"/>
      </w:pPr>
      <w:r w:rsidRPr="00235AAA">
        <w:t>To use the single-sided normal distribution table, sketch the normal distribution curve for your problem and shade the area that corresponds to your answer. This divides the normal distribution curve into three regions: the</w:t>
      </w:r>
      <w:r>
        <w:t xml:space="preserve"> shaded</w:t>
      </w:r>
      <w:r w:rsidRPr="00235AAA">
        <w:t xml:space="preserve"> area that corresponds to </w:t>
      </w:r>
      <w:r>
        <w:t>your</w:t>
      </w:r>
      <w:r w:rsidRPr="00235AAA">
        <w:t xml:space="preserve"> answer, the area to the right of this, and the area to the left of this. Calculate the values of </w:t>
      </w:r>
      <m:oMath>
        <m:r>
          <w:rPr>
            <w:rFonts w:ascii="Cambria Math" w:hAnsi="Cambria Math"/>
          </w:rPr>
          <m:t>z</m:t>
        </m:r>
      </m:oMath>
      <w:r w:rsidRPr="00235AAA">
        <w:t xml:space="preserve"> for the limits of the area that corr</w:t>
      </w:r>
      <w:r w:rsidRPr="00235AAA">
        <w:t>e</w:t>
      </w:r>
      <w:r w:rsidRPr="00235AAA">
        <w:t>sponds to your answer. Use the table to find the areas to the right and to</w:t>
      </w:r>
      <w:r>
        <w:t xml:space="preserve"> the left of these deviations, s</w:t>
      </w:r>
      <w:r w:rsidRPr="00235AAA">
        <w:t>ubtract these values from 100% and, voilà, you have your answer.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"/>
        <w:gridCol w:w="680"/>
        <w:gridCol w:w="680"/>
        <w:gridCol w:w="680"/>
        <w:gridCol w:w="680"/>
        <w:gridCol w:w="689"/>
        <w:gridCol w:w="680"/>
        <w:gridCol w:w="680"/>
        <w:gridCol w:w="680"/>
        <w:gridCol w:w="680"/>
        <w:gridCol w:w="680"/>
      </w:tblGrid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i/>
                <w:color w:val="FFFFFF" w:themeColor="background1"/>
                <w:sz w:val="22"/>
                <w:szCs w:val="22"/>
              </w:rPr>
            </w:pPr>
            <w:r>
              <w:rPr>
                <w:i/>
                <w:color w:val="FFFFFF" w:themeColor="background1"/>
                <w:sz w:val="22"/>
                <w:szCs w:val="22"/>
              </w:rPr>
              <w:t>z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0.00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0.01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0.02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0.03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0.04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0.05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0.06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0.07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0.08</w:t>
            </w:r>
          </w:p>
        </w:tc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0.09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0.5000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0.4960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0.4920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0.4880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F6660B" w:rsidRDefault="0040255C" w:rsidP="00DE3AEB">
            <w:pPr>
              <w:jc w:val="center"/>
              <w:rPr>
                <w:b/>
                <w:color w:val="C0504D" w:themeColor="accent2"/>
                <w:sz w:val="22"/>
                <w:szCs w:val="22"/>
              </w:rPr>
            </w:pPr>
            <w:r w:rsidRPr="00F6660B">
              <w:rPr>
                <w:b/>
                <w:color w:val="C0504D" w:themeColor="accent2"/>
                <w:sz w:val="22"/>
                <w:szCs w:val="22"/>
              </w:rPr>
              <w:t>0.4840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0.4801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0.4761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0.4721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0.4681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0.4641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0.4602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0.4562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0.4522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0.4483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0.4443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0.4404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0.4365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0.4325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0.4286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0.4247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0.4207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0.4168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0.4090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0.4502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0.4013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0.3974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0.3396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0.3897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0.3859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0.3821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0.3783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0.3745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0.3707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0.3669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0.3632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0.3594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0.3557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0.3520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0.3483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0.3446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0.3409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0.3372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0.3336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0.3300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0.3264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0.3228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0.3192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0.3156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0.3121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0.3085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0.3050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0.3015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0.2981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0.2946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0.2912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0.2877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0.2843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0.2810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0.2776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0.2743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0.2709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0.2676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0.2643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0.2611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0.2578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0.2546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0.2514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0.2483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0.2451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0.2420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0.2389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0.2358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0.2327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0.2296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0.2266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0.2236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0.2206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0.2177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0.2148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0.2119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0.2090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0.2061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0.2033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0.2005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0.1977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0.1949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0.1922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0.1894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0.1867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0.9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0.1841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0.1814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0.1788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0.1762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0.1736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0.1711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0.1685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0.1660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0.1635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0.1611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0.1587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0.1562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0.1539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0.1515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0.1492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0.1469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0.1446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0.1423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0.1401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0.1379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0.1357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0.1335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0.1314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0.1292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0.1271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0.1251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0.1230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0.1210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0.1190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0.1170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0.1151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0.1131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0.1112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0.1093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0.1075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0.1056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0.1038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0.1020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0.1003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0.0985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0.0968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0.0951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0.0934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0.0918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0.0901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0.0885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0.0869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0.0853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0.0838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0.0823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0.0808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0.0793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0.0778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0.0764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0.0749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0.0735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0.0721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0.0708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0.0694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0.0681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0.0668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0.0655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0.0643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0.0630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0.0618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0.0606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0.0594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0.0582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0.0571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0.0559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0.0505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0.0465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0.0455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0.0466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0.0436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0.0427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0.0418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0.0409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0.0401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0.0392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0.0384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0.0375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0.0367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0.0301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0.0294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1.9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0.0287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0.0281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0.0274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0.0268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0.0262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0.0256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0.0250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0.0244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0.0239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0.0233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0.0202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0.0197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0.0188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0.0183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2.1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0.0179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0.0174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0.0170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0.0166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0.0162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0.0158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0.0154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0.0150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0.0146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0.0143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0.0110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2.3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0.0107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0.0104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0.0102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0.00964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0.00914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0.00866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0.00820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0.00776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0.00734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0.00695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0.00657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2.5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0.00621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0.00587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0.00554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0.00523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0.00494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0.00466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0.00440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0.00415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0.00391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0.00368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2.7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0.00347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0.00326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0.00307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0.00289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0.00272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2.8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0.00256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0.00240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0.00226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0.00212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0.00199</w:t>
            </w:r>
          </w:p>
        </w:tc>
      </w:tr>
      <w:tr w:rsidR="0040255C" w:rsidRPr="00A7496B" w:rsidTr="00DE3AEB">
        <w:trPr>
          <w:trHeight w:val="144"/>
          <w:jc w:val="center"/>
        </w:trPr>
        <w:tc>
          <w:tcPr>
            <w:tcW w:w="0" w:type="auto"/>
            <w:shd w:val="clear" w:color="auto" w:fill="0C0C0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A7496B">
              <w:rPr>
                <w:color w:val="FFFFFF" w:themeColor="background1"/>
                <w:sz w:val="22"/>
                <w:szCs w:val="22"/>
              </w:rPr>
              <w:t>2.9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0.00187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0.00175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0.00164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0.00154</w:t>
            </w:r>
          </w:p>
        </w:tc>
        <w:tc>
          <w:tcPr>
            <w:tcW w:w="0" w:type="auto"/>
            <w:gridSpan w:val="2"/>
            <w:shd w:val="clear" w:color="auto" w:fill="CCCCCC"/>
            <w:tcMar>
              <w:top w:w="0" w:type="dxa"/>
              <w:left w:w="58" w:type="dxa"/>
              <w:bottom w:w="0" w:type="dxa"/>
              <w:right w:w="58" w:type="dxa"/>
            </w:tcMar>
          </w:tcPr>
          <w:p w:rsidR="0040255C" w:rsidRPr="00A7496B" w:rsidRDefault="0040255C" w:rsidP="00DE3AEB">
            <w:pPr>
              <w:jc w:val="left"/>
              <w:rPr>
                <w:sz w:val="22"/>
                <w:szCs w:val="22"/>
              </w:rPr>
            </w:pPr>
            <w:r w:rsidRPr="00A7496B">
              <w:rPr>
                <w:sz w:val="22"/>
                <w:szCs w:val="22"/>
              </w:rPr>
              <w:t>0.00144</w:t>
            </w:r>
          </w:p>
        </w:tc>
      </w:tr>
    </w:tbl>
    <w:p w:rsidR="00F34EAF" w:rsidRDefault="00F34EAF" w:rsidP="0040255C">
      <w:bookmarkStart w:id="0" w:name="_GoBack"/>
      <w:bookmarkEnd w:id="0"/>
    </w:p>
    <w:sectPr w:rsidR="00F34EAF" w:rsidSect="0040255C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55C"/>
    <w:rsid w:val="00125C80"/>
    <w:rsid w:val="001C333A"/>
    <w:rsid w:val="002B0C85"/>
    <w:rsid w:val="003B0C94"/>
    <w:rsid w:val="0040255C"/>
    <w:rsid w:val="00526933"/>
    <w:rsid w:val="005A7D74"/>
    <w:rsid w:val="00616513"/>
    <w:rsid w:val="00934D2F"/>
    <w:rsid w:val="00A00BA4"/>
    <w:rsid w:val="00A55210"/>
    <w:rsid w:val="00AB02BD"/>
    <w:rsid w:val="00AF2FBF"/>
    <w:rsid w:val="00B7518B"/>
    <w:rsid w:val="00E506B0"/>
    <w:rsid w:val="00EE304F"/>
    <w:rsid w:val="00F34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1E2F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5C"/>
    <w:pPr>
      <w:tabs>
        <w:tab w:val="left" w:pos="144"/>
      </w:tabs>
      <w:spacing w:after="0"/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934D2F"/>
    <w:rPr>
      <w:position w:val="-6"/>
      <w:sz w:val="20"/>
    </w:rPr>
  </w:style>
  <w:style w:type="character" w:customStyle="1" w:styleId="superscript">
    <w:name w:val="superscript"/>
    <w:basedOn w:val="DefaultParagraphFont"/>
    <w:rsid w:val="00934D2F"/>
    <w:rPr>
      <w:position w:val="6"/>
      <w:sz w:val="20"/>
    </w:rPr>
  </w:style>
  <w:style w:type="paragraph" w:styleId="BalloonText">
    <w:name w:val="Balloon Text"/>
    <w:basedOn w:val="Normal"/>
    <w:semiHidden/>
    <w:rsid w:val="00F34EAF"/>
    <w:rPr>
      <w:rFonts w:ascii="Lucida Grande" w:hAnsi="Lucida Grande"/>
      <w:sz w:val="18"/>
      <w:szCs w:val="18"/>
    </w:rPr>
  </w:style>
  <w:style w:type="character" w:customStyle="1" w:styleId="subsub">
    <w:name w:val="subsub"/>
    <w:rsid w:val="00A55210"/>
    <w:rPr>
      <w:position w:val="-10"/>
      <w:sz w:val="18"/>
      <w:szCs w:val="18"/>
    </w:rPr>
  </w:style>
  <w:style w:type="paragraph" w:customStyle="1" w:styleId="Header1">
    <w:name w:val="Header_1"/>
    <w:basedOn w:val="Normal"/>
    <w:next w:val="Normal"/>
    <w:qFormat/>
    <w:rsid w:val="00AF2FBF"/>
    <w:pPr>
      <w:tabs>
        <w:tab w:val="clear" w:pos="144"/>
      </w:tabs>
      <w:ind w:left="180" w:hanging="180"/>
    </w:pPr>
    <w:rPr>
      <w:b/>
      <w:bCs/>
      <w:smallCaps/>
      <w:sz w:val="28"/>
      <w:szCs w:val="28"/>
    </w:rPr>
  </w:style>
  <w:style w:type="character" w:customStyle="1" w:styleId="Symbol">
    <w:name w:val="Symbol"/>
    <w:basedOn w:val="DefaultParagraphFont"/>
    <w:uiPriority w:val="1"/>
    <w:qFormat/>
    <w:rsid w:val="00AF2FBF"/>
    <w:rPr>
      <w:rFonts w:ascii="Symbol" w:hAnsi="Symbo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5C"/>
    <w:pPr>
      <w:tabs>
        <w:tab w:val="left" w:pos="144"/>
      </w:tabs>
      <w:spacing w:after="0"/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934D2F"/>
    <w:rPr>
      <w:position w:val="-6"/>
      <w:sz w:val="20"/>
    </w:rPr>
  </w:style>
  <w:style w:type="character" w:customStyle="1" w:styleId="superscript">
    <w:name w:val="superscript"/>
    <w:basedOn w:val="DefaultParagraphFont"/>
    <w:rsid w:val="00934D2F"/>
    <w:rPr>
      <w:position w:val="6"/>
      <w:sz w:val="20"/>
    </w:rPr>
  </w:style>
  <w:style w:type="paragraph" w:styleId="BalloonText">
    <w:name w:val="Balloon Text"/>
    <w:basedOn w:val="Normal"/>
    <w:semiHidden/>
    <w:rsid w:val="00F34EAF"/>
    <w:rPr>
      <w:rFonts w:ascii="Lucida Grande" w:hAnsi="Lucida Grande"/>
      <w:sz w:val="18"/>
      <w:szCs w:val="18"/>
    </w:rPr>
  </w:style>
  <w:style w:type="character" w:customStyle="1" w:styleId="subsub">
    <w:name w:val="subsub"/>
    <w:rsid w:val="00A55210"/>
    <w:rPr>
      <w:position w:val="-10"/>
      <w:sz w:val="18"/>
      <w:szCs w:val="18"/>
    </w:rPr>
  </w:style>
  <w:style w:type="paragraph" w:customStyle="1" w:styleId="Header1">
    <w:name w:val="Header_1"/>
    <w:basedOn w:val="Normal"/>
    <w:next w:val="Normal"/>
    <w:qFormat/>
    <w:rsid w:val="00AF2FBF"/>
    <w:pPr>
      <w:tabs>
        <w:tab w:val="clear" w:pos="144"/>
      </w:tabs>
      <w:ind w:left="180" w:hanging="180"/>
    </w:pPr>
    <w:rPr>
      <w:b/>
      <w:bCs/>
      <w:smallCaps/>
      <w:sz w:val="28"/>
      <w:szCs w:val="28"/>
    </w:rPr>
  </w:style>
  <w:style w:type="character" w:customStyle="1" w:styleId="Symbol">
    <w:name w:val="Symbol"/>
    <w:basedOn w:val="DefaultParagraphFont"/>
    <w:uiPriority w:val="1"/>
    <w:qFormat/>
    <w:rsid w:val="00AF2FBF"/>
    <w:rPr>
      <w:rFonts w:ascii="Symbol" w:hAnsi="Symbo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558</Words>
  <Characters>2868</Characters>
  <Application>Microsoft Macintosh Word</Application>
  <DocSecurity>0</DocSecurity>
  <Lines>324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DePauw University</Company>
  <LinksUpToDate>false</LinksUpToDate>
  <CharactersWithSpaces>3115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Harvey</dc:creator>
  <cp:keywords/>
  <dc:description/>
  <cp:lastModifiedBy>David Harvey</cp:lastModifiedBy>
  <cp:revision>1</cp:revision>
  <cp:lastPrinted>2016-01-15T20:53:00Z</cp:lastPrinted>
  <dcterms:created xsi:type="dcterms:W3CDTF">2016-01-15T20:52:00Z</dcterms:created>
  <dcterms:modified xsi:type="dcterms:W3CDTF">2016-01-15T20:56:00Z</dcterms:modified>
  <cp:category/>
</cp:coreProperties>
</file>