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6B" w:rsidRPr="00470A55" w:rsidRDefault="00EA4C6B" w:rsidP="00EA4C6B">
      <w:pPr>
        <w:rPr>
          <w:b/>
          <w:i/>
          <w:sz w:val="28"/>
        </w:rPr>
      </w:pPr>
      <w:r w:rsidRPr="00F6660B">
        <w:rPr>
          <w:b/>
          <w:sz w:val="28"/>
        </w:rPr>
        <w:t xml:space="preserve">Appendix </w:t>
      </w:r>
      <w:r>
        <w:rPr>
          <w:b/>
          <w:sz w:val="28"/>
        </w:rPr>
        <w:t>3</w:t>
      </w:r>
      <w:r w:rsidRPr="00F6660B">
        <w:rPr>
          <w:b/>
          <w:sz w:val="28"/>
        </w:rPr>
        <w:t xml:space="preserve">: </w:t>
      </w:r>
      <w:r>
        <w:rPr>
          <w:b/>
          <w:sz w:val="28"/>
        </w:rPr>
        <w:t xml:space="preserve">Critical Values of </w:t>
      </w:r>
      <w:r>
        <w:rPr>
          <w:b/>
          <w:i/>
          <w:sz w:val="28"/>
        </w:rPr>
        <w:t>t</w:t>
      </w:r>
    </w:p>
    <w:p w:rsidR="00EA4C6B" w:rsidRDefault="00EA4C6B" w:rsidP="00EA4C6B">
      <w:pPr>
        <w:tabs>
          <w:tab w:val="clear" w:pos="144"/>
        </w:tabs>
        <w:spacing w:after="120"/>
      </w:pPr>
      <w:r w:rsidRPr="00235AAA">
        <w:t xml:space="preserve">The table </w:t>
      </w:r>
      <w:r>
        <w:t>below</w:t>
      </w:r>
      <w:r w:rsidRPr="00235AAA">
        <w:t xml:space="preserve"> gives</w:t>
      </w:r>
      <w:r>
        <w:t xml:space="preserve"> values of </w:t>
      </w:r>
      <m:oMath>
        <m:r>
          <w:rPr>
            <w:rFonts w:ascii="Cambria Math" w:hAnsi="Cambria Math"/>
          </w:rPr>
          <m:t>t(α,ν)</m:t>
        </m:r>
      </m:oMath>
      <w:r>
        <w:t xml:space="preserve"> where </w:t>
      </w:r>
      <m:oMath>
        <m:r>
          <w:rPr>
            <w:rFonts w:ascii="Cambria Math" w:hAnsi="Cambria Math"/>
          </w:rPr>
          <m:t>α</m:t>
        </m:r>
      </m:oMath>
      <w:r>
        <w:t xml:space="preserve"> defines the confidence level and </w:t>
      </w:r>
      <m:oMath>
        <m:r>
          <w:rPr>
            <w:rFonts w:ascii="Cambria Math" w:hAnsi="Cambria Math"/>
          </w:rPr>
          <m:t>ν</m:t>
        </m:r>
      </m:oMath>
      <w:r>
        <w:t xml:space="preserve"> defines the d</w:t>
      </w:r>
      <w:r>
        <w:t>e</w:t>
      </w:r>
      <w:r>
        <w:t xml:space="preserve">grees of freedom. Values for </w:t>
      </w:r>
      <m:oMath>
        <m:r>
          <w:rPr>
            <w:rFonts w:ascii="Cambria Math" w:hAnsi="Cambria Math"/>
          </w:rPr>
          <m:t>α</m:t>
        </m:r>
      </m:oMath>
      <w:r>
        <w:t xml:space="preserve"> are defined as follows</w:t>
      </w:r>
    </w:p>
    <w:p w:rsidR="00EA4C6B" w:rsidRPr="00AB467F" w:rsidRDefault="00EA4C6B" w:rsidP="00EA4C6B">
      <w:pPr>
        <w:tabs>
          <w:tab w:val="clear" w:pos="144"/>
        </w:tabs>
        <w:spacing w:after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α=1-</m:t>
          </m:r>
          <m:r>
            <m:rPr>
              <m:nor/>
            </m:rPr>
            <w:rPr>
              <w:rFonts w:ascii="Cambria Math" w:hAnsi="Cambria Math"/>
            </w:rPr>
            <m:t>confidence level (as fraction)</m:t>
          </m:r>
        </m:oMath>
      </m:oMathPara>
    </w:p>
    <w:p w:rsidR="00EA4C6B" w:rsidRDefault="00EA4C6B" w:rsidP="00EA4C6B">
      <w:pPr>
        <w:tabs>
          <w:tab w:val="clear" w:pos="144"/>
        </w:tabs>
        <w:spacing w:after="120"/>
      </w:pPr>
      <w:r>
        <w:t xml:space="preserve">For example, for a 95% confidence level, </w:t>
      </w:r>
      <m:oMath>
        <m:r>
          <w:rPr>
            <w:rFonts w:ascii="Cambria Math" w:hAnsi="Cambria Math"/>
          </w:rPr>
          <m:t>α=</m:t>
        </m:r>
        <m:r>
          <m:rPr>
            <m:nor/>
          </m:rPr>
          <w:rPr>
            <w:rFonts w:ascii="Adobe Garamond Pro" w:hAnsi="Adobe Garamond Pro"/>
          </w:rPr>
          <m:t>1</m:t>
        </m:r>
        <m:r>
          <w:rPr>
            <w:rFonts w:ascii="Cambria Math" w:hAnsi="Cambria Math"/>
          </w:rPr>
          <m:t>-</m:t>
        </m:r>
        <m:r>
          <m:rPr>
            <m:nor/>
          </m:rPr>
          <w:rPr>
            <w:rFonts w:ascii="Adobe Garamond Pro" w:hAnsi="Adobe Garamond Pro"/>
          </w:rPr>
          <m:t>0.95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Adobe Garamond Pro" w:hAnsi="Adobe Garamond Pro"/>
          </w:rPr>
          <m:t>0.05</m:t>
        </m:r>
      </m:oMath>
      <w:r>
        <w:t xml:space="preserve">. The degrees of freedom is the number of independent measurements given any constraints that we place on the measurements. For example, if we have </w:t>
      </w:r>
      <m:oMath>
        <m:r>
          <w:rPr>
            <w:rFonts w:ascii="Cambria Math" w:hAnsi="Cambria Math"/>
          </w:rPr>
          <m:t>n</m:t>
        </m:r>
      </m:oMath>
      <w:r>
        <w:t xml:space="preserve"> measurements and we calculate their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then we have </w:t>
      </w:r>
      <m:oMath>
        <m:r>
          <w:rPr>
            <w:rFonts w:ascii="Cambria Math" w:hAnsi="Cambria Math"/>
          </w:rPr>
          <m:t>n-</m:t>
        </m:r>
        <m:r>
          <m:rPr>
            <m:nor/>
          </m:rPr>
          <w:rPr>
            <w:rFonts w:ascii="Adobe Garamond Pro" w:hAnsi="Adobe Garamond Pro"/>
          </w:rPr>
          <m:t>1</m:t>
        </m:r>
      </m:oMath>
      <w:r>
        <w:t xml:space="preserve"> d</w:t>
      </w:r>
      <w:r>
        <w:t>e</w:t>
      </w:r>
      <w:r>
        <w:t xml:space="preserve">grees of freedom because the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and the values for the first four measurements,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removes the independence of the fifth measurement,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, whose value is defined exactly as</w:t>
      </w:r>
    </w:p>
    <w:p w:rsidR="00EA4C6B" w:rsidRPr="000765E1" w:rsidRDefault="00EA4C6B" w:rsidP="00EA4C6B">
      <w:pPr>
        <w:tabs>
          <w:tab w:val="clear" w:pos="144"/>
        </w:tabs>
        <w:spacing w:after="1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A4C6B" w:rsidRDefault="00EA4C6B" w:rsidP="00EA4C6B">
      <w:pPr>
        <w:tabs>
          <w:tab w:val="clear" w:pos="144"/>
        </w:tabs>
        <w:spacing w:after="120"/>
      </w:pPr>
      <w:r>
        <w:t xml:space="preserve">The values of </w:t>
      </w:r>
      <m:oMath>
        <m:r>
          <w:rPr>
            <w:rFonts w:ascii="Cambria Math" w:hAnsi="Cambria Math"/>
          </w:rPr>
          <m:t>t</m:t>
        </m:r>
      </m:oMath>
      <w:r>
        <w:t xml:space="preserve"> in this table are two-tailed in that they define a confidence interval that is symme</w:t>
      </w:r>
      <w:r>
        <w:t>t</w:t>
      </w:r>
      <w:r>
        <w:t>rical around the mean. For example, for a 95% confidence interval (</w:t>
      </w:r>
      <m:oMath>
        <m:r>
          <w:rPr>
            <w:rFonts w:ascii="Cambria Math" w:hAnsi="Cambria Math"/>
          </w:rPr>
          <m:t>α=</m:t>
        </m:r>
        <m:r>
          <m:rPr>
            <m:nor/>
          </m:rPr>
          <w:rPr>
            <w:rFonts w:ascii="Adobe Garamond Pro" w:hAnsi="Adobe Garamond Pro"/>
          </w:rPr>
          <m:t>0.05</m:t>
        </m:r>
      </m:oMath>
      <w:r>
        <w:t xml:space="preserve">), half of the area not included within the confidence interval is at the far right of the distribution and half is at the far left of the distribution. For a one-tailed confidence interval, in which the excluded area is on one side of the distribution, divide the values of </w:t>
      </w:r>
      <m:oMath>
        <m:r>
          <w:rPr>
            <w:rFonts w:ascii="Cambria Math" w:hAnsi="Cambria Math"/>
          </w:rPr>
          <m:t>α</m:t>
        </m:r>
      </m:oMath>
      <w:r>
        <w:t xml:space="preserve"> in half; thus, for a one-tailed 95% confidence interval, we use values of </w:t>
      </w:r>
      <m:oMath>
        <m:r>
          <w:rPr>
            <w:rFonts w:ascii="Cambria Math" w:hAnsi="Cambria Math"/>
          </w:rPr>
          <m:t>t</m:t>
        </m:r>
      </m:oMath>
      <w:r>
        <w:t xml:space="preserve"> from the column where </w:t>
      </w:r>
      <m:oMath>
        <m:r>
          <w:rPr>
            <w:rFonts w:ascii="Cambria Math" w:hAnsi="Cambria Math"/>
          </w:rPr>
          <m:t>α=</m:t>
        </m:r>
        <m:r>
          <m:rPr>
            <m:nor/>
          </m:rPr>
          <w:rPr>
            <w:rFonts w:ascii="Adobe Garamond Pro" w:hAnsi="Adobe Garamond Pro"/>
          </w:rPr>
          <m:t>0.05</m:t>
        </m:r>
      </m:oMath>
      <w:r>
        <w:t>.</w:t>
      </w:r>
    </w:p>
    <w:tbl>
      <w:tblPr>
        <w:tblStyle w:val="TableGrid"/>
        <w:tblW w:w="5127" w:type="dxa"/>
        <w:jc w:val="center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"/>
        <w:gridCol w:w="1133"/>
        <w:gridCol w:w="1142"/>
        <w:gridCol w:w="1128"/>
        <w:gridCol w:w="1125"/>
      </w:tblGrid>
      <w:tr w:rsidR="00EA4C6B" w:rsidRPr="000765E1" w:rsidTr="00DE3AEB">
        <w:trPr>
          <w:jc w:val="center"/>
        </w:trPr>
        <w:tc>
          <w:tcPr>
            <w:tcW w:w="599" w:type="dxa"/>
            <w:tcBorders>
              <w:bottom w:val="single" w:sz="8" w:space="0" w:color="auto"/>
            </w:tcBorders>
            <w:shd w:val="clear" w:color="auto" w:fill="0C0C0C"/>
          </w:tcPr>
          <w:p w:rsidR="00EA4C6B" w:rsidRPr="000765E1" w:rsidRDefault="00EA4C6B" w:rsidP="00DE3AEB">
            <w:pPr>
              <w:tabs>
                <w:tab w:val="clear" w:pos="144"/>
              </w:tabs>
              <w:jc w:val="center"/>
              <w:rPr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ν</m:t>
                </m:r>
              </m:oMath>
            </m:oMathPara>
          </w:p>
        </w:tc>
        <w:tc>
          <w:tcPr>
            <w:tcW w:w="1133" w:type="dxa"/>
            <w:tcBorders>
              <w:bottom w:val="single" w:sz="8" w:space="0" w:color="auto"/>
            </w:tcBorders>
            <w:shd w:val="clear" w:color="auto" w:fill="0C0C0C"/>
          </w:tcPr>
          <w:p w:rsidR="00EA4C6B" w:rsidRPr="000765E1" w:rsidRDefault="00EA4C6B" w:rsidP="00DE3AEB">
            <w:pPr>
              <w:tabs>
                <w:tab w:val="clear" w:pos="144"/>
              </w:tabs>
              <w:jc w:val="center"/>
              <w:rPr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α=</m:t>
                </m:r>
                <m:r>
                  <m:rPr>
                    <m:nor/>
                  </m:rPr>
                  <w:rPr>
                    <w:rFonts w:ascii="Adobe Garamond Pro" w:hAnsi="Adobe Garamond Pro"/>
                    <w:color w:val="FFFFFF" w:themeColor="background1"/>
                  </w:rPr>
                  <m:t>0.10</m:t>
                </m:r>
              </m:oMath>
            </m:oMathPara>
          </w:p>
        </w:tc>
        <w:tc>
          <w:tcPr>
            <w:tcW w:w="1142" w:type="dxa"/>
            <w:tcBorders>
              <w:bottom w:val="single" w:sz="8" w:space="0" w:color="auto"/>
            </w:tcBorders>
            <w:shd w:val="clear" w:color="auto" w:fill="0C0C0C"/>
          </w:tcPr>
          <w:p w:rsidR="00EA4C6B" w:rsidRPr="000765E1" w:rsidRDefault="00EA4C6B" w:rsidP="00DE3AEB">
            <w:pPr>
              <w:tabs>
                <w:tab w:val="clear" w:pos="144"/>
              </w:tabs>
              <w:jc w:val="center"/>
              <w:rPr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α=</m:t>
                </m:r>
                <m:r>
                  <m:rPr>
                    <m:nor/>
                  </m:rPr>
                  <w:rPr>
                    <w:rFonts w:ascii="Adobe Garamond Pro" w:hAnsi="Adobe Garamond Pro"/>
                    <w:color w:val="FFFFFF" w:themeColor="background1"/>
                  </w:rPr>
                  <m:t>0.05</m:t>
                </m:r>
              </m:oMath>
            </m:oMathPara>
          </w:p>
        </w:tc>
        <w:tc>
          <w:tcPr>
            <w:tcW w:w="1128" w:type="dxa"/>
            <w:tcBorders>
              <w:bottom w:val="single" w:sz="8" w:space="0" w:color="auto"/>
            </w:tcBorders>
            <w:shd w:val="clear" w:color="auto" w:fill="0C0C0C"/>
          </w:tcPr>
          <w:p w:rsidR="00EA4C6B" w:rsidRPr="000765E1" w:rsidRDefault="00EA4C6B" w:rsidP="00DE3AEB">
            <w:pPr>
              <w:tabs>
                <w:tab w:val="clear" w:pos="144"/>
              </w:tabs>
              <w:jc w:val="center"/>
              <w:rPr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α=</m:t>
                </m:r>
                <m:r>
                  <m:rPr>
                    <m:nor/>
                  </m:rPr>
                  <w:rPr>
                    <w:rFonts w:ascii="Adobe Garamond Pro" w:hAnsi="Adobe Garamond Pro"/>
                    <w:color w:val="FFFFFF" w:themeColor="background1"/>
                  </w:rPr>
                  <m:t>0.02</m:t>
                </m:r>
              </m:oMath>
            </m:oMathPara>
          </w:p>
        </w:tc>
        <w:tc>
          <w:tcPr>
            <w:tcW w:w="1125" w:type="dxa"/>
            <w:tcBorders>
              <w:bottom w:val="single" w:sz="8" w:space="0" w:color="auto"/>
            </w:tcBorders>
            <w:shd w:val="clear" w:color="auto" w:fill="0C0C0C"/>
          </w:tcPr>
          <w:p w:rsidR="00EA4C6B" w:rsidRPr="000765E1" w:rsidRDefault="00EA4C6B" w:rsidP="00DE3AEB">
            <w:pPr>
              <w:tabs>
                <w:tab w:val="clear" w:pos="144"/>
              </w:tabs>
              <w:jc w:val="center"/>
              <w:rPr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α=</m:t>
                </m:r>
                <m:r>
                  <m:rPr>
                    <m:nor/>
                  </m:rPr>
                  <w:rPr>
                    <w:rFonts w:ascii="Adobe Garamond Pro" w:hAnsi="Adobe Garamond Pro"/>
                    <w:color w:val="FFFFFF" w:themeColor="background1"/>
                  </w:rPr>
                  <m:t>0.01</m:t>
                </m:r>
              </m:oMath>
            </m:oMathPara>
          </w:p>
        </w:tc>
      </w:tr>
      <w:tr w:rsidR="00EA4C6B" w:rsidTr="00DE3AEB">
        <w:trPr>
          <w:jc w:val="center"/>
        </w:trPr>
        <w:tc>
          <w:tcPr>
            <w:tcW w:w="599" w:type="dxa"/>
            <w:tcBorders>
              <w:top w:val="single" w:sz="8" w:space="0" w:color="auto"/>
            </w:tcBorders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</w:t>
            </w:r>
          </w:p>
        </w:tc>
        <w:tc>
          <w:tcPr>
            <w:tcW w:w="1133" w:type="dxa"/>
            <w:tcBorders>
              <w:top w:val="single" w:sz="8" w:space="0" w:color="auto"/>
            </w:tcBorders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6.314</w:t>
            </w:r>
          </w:p>
        </w:tc>
        <w:tc>
          <w:tcPr>
            <w:tcW w:w="1142" w:type="dxa"/>
            <w:tcBorders>
              <w:top w:val="single" w:sz="8" w:space="0" w:color="auto"/>
            </w:tcBorders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12.706</w:t>
            </w:r>
          </w:p>
        </w:tc>
        <w:tc>
          <w:tcPr>
            <w:tcW w:w="1128" w:type="dxa"/>
            <w:tcBorders>
              <w:top w:val="single" w:sz="8" w:space="0" w:color="auto"/>
            </w:tcBorders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31.821</w:t>
            </w:r>
          </w:p>
        </w:tc>
        <w:tc>
          <w:tcPr>
            <w:tcW w:w="1125" w:type="dxa"/>
            <w:tcBorders>
              <w:top w:val="single" w:sz="8" w:space="0" w:color="auto"/>
            </w:tcBorders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63.657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2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2.920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4.303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6.965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9.925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3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2.353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3.182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4.541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5.841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4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2.132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2.776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3.747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4.604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5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2.015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2.571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3.365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4.032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6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1.943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2.447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3.143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3.707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7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1.895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2.365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2.998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3.499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8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1.860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2.306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2.896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3.255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9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1.833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2.262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2.821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3.250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10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1.812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2.228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2.764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3.169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12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1.782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2.179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2.681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3.055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14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1.761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2.145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2.624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2.977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16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1.746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2.120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2.583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2.921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18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1.734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2.101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2.552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2.878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20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1.725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2.086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2.528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2.845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30</w:t>
            </w:r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1.697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2.042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2.457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2.750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</w:tcPr>
          <w:p w:rsidR="00EA4C6B" w:rsidRDefault="00EA4C6B" w:rsidP="00DE3AEB">
            <w:pPr>
              <w:tabs>
                <w:tab w:val="clear" w:pos="144"/>
                <w:tab w:val="decimal" w:pos="296"/>
              </w:tabs>
            </w:pPr>
            <w:r>
              <w:t>50</w:t>
            </w:r>
          </w:p>
        </w:tc>
        <w:tc>
          <w:tcPr>
            <w:tcW w:w="1133" w:type="dxa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1.676</w:t>
            </w:r>
          </w:p>
        </w:tc>
        <w:tc>
          <w:tcPr>
            <w:tcW w:w="1142" w:type="dxa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2.009</w:t>
            </w:r>
          </w:p>
        </w:tc>
        <w:tc>
          <w:tcPr>
            <w:tcW w:w="1128" w:type="dxa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2.311</w:t>
            </w:r>
          </w:p>
        </w:tc>
        <w:tc>
          <w:tcPr>
            <w:tcW w:w="1125" w:type="dxa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2.678</w:t>
            </w:r>
          </w:p>
        </w:tc>
      </w:tr>
      <w:tr w:rsidR="00EA4C6B" w:rsidTr="00DE3AEB">
        <w:trPr>
          <w:jc w:val="center"/>
        </w:trPr>
        <w:tc>
          <w:tcPr>
            <w:tcW w:w="599" w:type="dxa"/>
            <w:shd w:val="clear" w:color="auto" w:fill="CCCCCC"/>
          </w:tcPr>
          <w:p w:rsidR="00EA4C6B" w:rsidRPr="006B135B" w:rsidRDefault="00EA4C6B" w:rsidP="00DE3AEB">
            <w:pPr>
              <w:tabs>
                <w:tab w:val="clear" w:pos="144"/>
              </w:tabs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3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</w:tabs>
              <w:jc w:val="center"/>
            </w:pPr>
            <w:r>
              <w:t>1.645</w:t>
            </w:r>
          </w:p>
        </w:tc>
        <w:tc>
          <w:tcPr>
            <w:tcW w:w="1142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64"/>
              </w:tabs>
            </w:pPr>
            <w:r>
              <w:t>1.960</w:t>
            </w:r>
          </w:p>
        </w:tc>
        <w:tc>
          <w:tcPr>
            <w:tcW w:w="1128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02"/>
              </w:tabs>
            </w:pPr>
            <w:r>
              <w:t>2.326</w:t>
            </w:r>
          </w:p>
        </w:tc>
        <w:tc>
          <w:tcPr>
            <w:tcW w:w="1125" w:type="dxa"/>
            <w:shd w:val="clear" w:color="auto" w:fill="CCCCCC"/>
          </w:tcPr>
          <w:p w:rsidR="00EA4C6B" w:rsidRDefault="00EA4C6B" w:rsidP="00DE3AEB">
            <w:pPr>
              <w:tabs>
                <w:tab w:val="clear" w:pos="144"/>
                <w:tab w:val="decimal" w:pos="344"/>
              </w:tabs>
            </w:pPr>
            <w:r>
              <w:t>2.576</w:t>
            </w:r>
          </w:p>
        </w:tc>
      </w:tr>
    </w:tbl>
    <w:p w:rsidR="00EA4C6B" w:rsidRPr="00235AAA" w:rsidRDefault="00EA4C6B" w:rsidP="00EA4C6B">
      <w:pPr>
        <w:tabs>
          <w:tab w:val="clear" w:pos="144"/>
        </w:tabs>
        <w:spacing w:after="120"/>
        <w:rPr>
          <w:rFonts w:cs="Adobe Garamond Pro"/>
          <w:color w:val="000000"/>
          <w:sz w:val="23"/>
          <w:szCs w:val="23"/>
        </w:rPr>
      </w:pPr>
      <w:r w:rsidRPr="00235AAA">
        <w:t xml:space="preserve"> </w:t>
      </w:r>
    </w:p>
    <w:p w:rsidR="00F34EAF" w:rsidRDefault="00F34EAF">
      <w:bookmarkStart w:id="0" w:name="_GoBack"/>
      <w:bookmarkEnd w:id="0"/>
    </w:p>
    <w:sectPr w:rsidR="00F34EAF" w:rsidSect="009C5147">
      <w:pgSz w:w="12240" w:h="15840"/>
      <w:pgMar w:top="1440" w:right="1440" w:bottom="1440" w:left="1440" w:header="144" w:footer="14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B"/>
    <w:rsid w:val="00125C80"/>
    <w:rsid w:val="001C333A"/>
    <w:rsid w:val="002B0C85"/>
    <w:rsid w:val="003B0C94"/>
    <w:rsid w:val="00526933"/>
    <w:rsid w:val="005A7D74"/>
    <w:rsid w:val="00616513"/>
    <w:rsid w:val="00934D2F"/>
    <w:rsid w:val="00A00BA4"/>
    <w:rsid w:val="00A55210"/>
    <w:rsid w:val="00AB02BD"/>
    <w:rsid w:val="00AF2FBF"/>
    <w:rsid w:val="00B7518B"/>
    <w:rsid w:val="00E506B0"/>
    <w:rsid w:val="00EA4C6B"/>
    <w:rsid w:val="00EE304F"/>
    <w:rsid w:val="00F34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E2F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B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paragraph" w:customStyle="1" w:styleId="Header1">
    <w:name w:val="Header_1"/>
    <w:basedOn w:val="Normal"/>
    <w:next w:val="Normal"/>
    <w:qFormat/>
    <w:rsid w:val="00AF2FBF"/>
    <w:pPr>
      <w:tabs>
        <w:tab w:val="clear" w:pos="144"/>
      </w:tabs>
      <w:ind w:left="180" w:hanging="180"/>
    </w:pPr>
    <w:rPr>
      <w:b/>
      <w:bCs/>
      <w:smallCaps/>
      <w:sz w:val="28"/>
      <w:szCs w:val="28"/>
    </w:rPr>
  </w:style>
  <w:style w:type="character" w:customStyle="1" w:styleId="Symbol">
    <w:name w:val="Symbol"/>
    <w:basedOn w:val="DefaultParagraphFont"/>
    <w:uiPriority w:val="1"/>
    <w:qFormat/>
    <w:rsid w:val="00AF2FBF"/>
    <w:rPr>
      <w:rFonts w:ascii="Symbol" w:hAnsi="Symbol"/>
      <w:sz w:val="22"/>
    </w:rPr>
  </w:style>
  <w:style w:type="table" w:styleId="TableGrid">
    <w:name w:val="Table Grid"/>
    <w:basedOn w:val="TableNormal"/>
    <w:uiPriority w:val="59"/>
    <w:rsid w:val="00EA4C6B"/>
    <w:pPr>
      <w:spacing w:after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B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paragraph" w:customStyle="1" w:styleId="Header1">
    <w:name w:val="Header_1"/>
    <w:basedOn w:val="Normal"/>
    <w:next w:val="Normal"/>
    <w:qFormat/>
    <w:rsid w:val="00AF2FBF"/>
    <w:pPr>
      <w:tabs>
        <w:tab w:val="clear" w:pos="144"/>
      </w:tabs>
      <w:ind w:left="180" w:hanging="180"/>
    </w:pPr>
    <w:rPr>
      <w:b/>
      <w:bCs/>
      <w:smallCaps/>
      <w:sz w:val="28"/>
      <w:szCs w:val="28"/>
    </w:rPr>
  </w:style>
  <w:style w:type="character" w:customStyle="1" w:styleId="Symbol">
    <w:name w:val="Symbol"/>
    <w:basedOn w:val="DefaultParagraphFont"/>
    <w:uiPriority w:val="1"/>
    <w:qFormat/>
    <w:rsid w:val="00AF2FBF"/>
    <w:rPr>
      <w:rFonts w:ascii="Symbol" w:hAnsi="Symbol"/>
      <w:sz w:val="22"/>
    </w:rPr>
  </w:style>
  <w:style w:type="table" w:styleId="TableGrid">
    <w:name w:val="Table Grid"/>
    <w:basedOn w:val="TableNormal"/>
    <w:uiPriority w:val="59"/>
    <w:rsid w:val="00EA4C6B"/>
    <w:pPr>
      <w:spacing w:after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1454</Characters>
  <Application>Microsoft Macintosh Word</Application>
  <DocSecurity>0</DocSecurity>
  <Lines>112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DePauw University</Company>
  <LinksUpToDate>false</LinksUpToDate>
  <CharactersWithSpaces>1664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dc:description/>
  <cp:lastModifiedBy>David Harvey</cp:lastModifiedBy>
  <cp:revision>1</cp:revision>
  <cp:lastPrinted>2016-01-15T20:57:00Z</cp:lastPrinted>
  <dcterms:created xsi:type="dcterms:W3CDTF">2016-01-15T20:57:00Z</dcterms:created>
  <dcterms:modified xsi:type="dcterms:W3CDTF">2016-01-15T20:58:00Z</dcterms:modified>
  <cp:category/>
</cp:coreProperties>
</file>