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Bdr>
          <w:bottom w:val="single" w:sz="12" w:space="2" w:color="1F3864"/>
        </w:pBdr>
      </w:pPr>
      <w:r>
        <w:rPr>
          <w:rFonts w:ascii="Cambria" w:hAnsi="Cambria" w:eastAsia="Cambria"/>
          <w:b/>
          <w:i w:val="0"/>
          <w:color w:val="1F3864"/>
          <w:sz w:val="38"/>
        </w:rPr>
        <w:t>PowerShield-FL: A Lightweight, Privacy-Aware, and Communication-Efficient Federated Learning Framework for Electricity-Theft Detection</w:t>
      </w:r>
    </w:p>
    <w:p>
      <w:pPr>
        <w:spacing w:after="30" w:line="240" w:lineRule="auto"/>
        <w:jc w:val="center"/>
      </w:pPr>
      <w:r>
        <w:rPr>
          <w:rFonts w:ascii="Cambria" w:hAnsi="Cambria" w:eastAsia="Cambria"/>
          <w:b/>
          <w:i w:val="0"/>
          <w:color w:val="222222"/>
          <w:sz w:val="22"/>
        </w:rPr>
        <w:t>Author Name</w:t>
      </w:r>
    </w:p>
    <w:p>
      <w:pPr>
        <w:spacing w:after="30" w:line="240" w:lineRule="auto"/>
        <w:jc w:val="center"/>
      </w:pPr>
      <w:r>
        <w:rPr>
          <w:rFonts w:ascii="Cambria" w:hAnsi="Cambria" w:eastAsia="Cambria"/>
          <w:b w:val="0"/>
          <w:i w:val="0"/>
          <w:color w:val="595959"/>
          <w:sz w:val="18"/>
        </w:rPr>
        <w:t>Department of Computer Science and Engineering</w:t>
      </w:r>
    </w:p>
    <w:p>
      <w:pPr>
        <w:spacing w:after="30" w:line="240" w:lineRule="auto"/>
        <w:jc w:val="center"/>
      </w:pPr>
      <w:r>
        <w:rPr>
          <w:rFonts w:ascii="Cambria" w:hAnsi="Cambria" w:eastAsia="Cambria"/>
          <w:b w:val="0"/>
          <w:i w:val="0"/>
          <w:color w:val="595959"/>
          <w:sz w:val="18"/>
        </w:rPr>
        <w:t>[Institution]</w:t>
      </w:r>
    </w:p>
    <w:p>
      <w:pPr>
        <w:spacing w:after="30" w:line="240" w:lineRule="auto"/>
        <w:jc w:val="center"/>
      </w:pPr>
      <w:r>
        <w:rPr>
          <w:rFonts w:ascii="Cambria" w:hAnsi="Cambria" w:eastAsia="Cambria"/>
          <w:b w:val="0"/>
          <w:i w:val="0"/>
          <w:color w:val="595959"/>
          <w:sz w:val="18"/>
        </w:rPr>
        <w:t>[City, Country]</w:t>
      </w:r>
    </w:p>
    <w:p>
      <w:pPr>
        <w:spacing w:after="30" w:line="240" w:lineRule="auto"/>
        <w:jc w:val="center"/>
      </w:pPr>
      <w:r>
        <w:rPr>
          <w:rFonts w:ascii="Cambria" w:hAnsi="Cambria" w:eastAsia="Cambria"/>
          <w:b w:val="0"/>
          <w:i w:val="0"/>
          <w:color w:val="595959"/>
          <w:sz w:val="18"/>
        </w:rPr>
        <w:t>[email@example.com]</w:t>
      </w:r>
    </w:p>
    <w:p>
      <w:pPr>
        <w:spacing w:after="30" w:line="240" w:lineRule="auto"/>
        <w:jc w:val="center"/>
      </w:pPr>
      <w:r>
        <w:rPr>
          <w:rFonts w:ascii="Cambria" w:hAnsi="Cambria" w:eastAsia="Cambria"/>
          <w:b/>
          <w:i w:val="0"/>
          <w:color w:val="222222"/>
          <w:sz w:val="22"/>
        </w:rPr>
        <w:t>Manuscript draft — 26 October 2026</w:t>
      </w:r>
    </w:p>
    <w:tbl>
      <w:tblPr>
        <w:tblW w:type="auto" w:w="0"/>
        <w:jc w:val="center"/>
        <w:tblLayout w:type="fixed"/>
        <w:tblLook w:firstColumn="1" w:firstRow="1" w:lastColumn="0" w:lastRow="0" w:noHBand="0" w:noVBand="1" w:val="04A0"/>
      </w:tblPr>
      <w:tblGrid>
        <w:gridCol w:w="9878"/>
      </w:tblGrid>
      <w:tr>
        <w:tc>
          <w:tcPr>
            <w:tcW w:type="dxa" w:w="9878"/>
            <w:shd w:val="clear" w:color="auto" w:fill="FFF4D6"/>
            <w:tcMar>
              <w:top w:w="110" w:type="dxa"/>
              <w:start w:w="150" w:type="dxa"/>
              <w:bottom w:w="110" w:type="dxa"/>
              <w:end w:w="150" w:type="dxa"/>
            </w:tcMar>
            <w:tcBorders>
              <w:top w:val="single" w:sz="4" w:space="0" w:color="C00000"/>
              <w:bottom w:val="single" w:sz="4" w:space="0" w:color="C00000"/>
              <w:right w:val="single" w:sz="4" w:space="0" w:color="C00000"/>
              <w:left w:val="single" w:sz="24" w:space="0" w:color="C00000"/>
            </w:tcBorders>
          </w:tcPr>
          <w:p>
            <w:pPr>
              <w:spacing w:after="60" w:line="254" w:lineRule="auto"/>
            </w:pPr>
            <w:r>
              <w:rPr>
                <w:rFonts w:ascii="Cambria" w:hAnsi="Cambria" w:eastAsia="Cambria"/>
                <w:b/>
                <w:i w:val="0"/>
                <w:color w:val="222222"/>
                <w:sz w:val="18"/>
              </w:rPr>
              <w:t>DATA STATUS — SYNTHETIC DEMO DATA.</w:t>
            </w:r>
            <w:r>
              <w:rPr>
                <w:rFonts w:ascii="Cambria" w:hAnsi="Cambria" w:eastAsia="Cambria"/>
                <w:b w:val="0"/>
                <w:i w:val="0"/>
                <w:color w:val="222222"/>
                <w:sz w:val="18"/>
              </w:rPr>
              <w:t xml:space="preserve"> All experimental numbers in this manuscript were produced by the final QUICK-mode suite </w:t>
            </w:r>
            <w:r>
              <w:rPr>
                <w:rFonts w:ascii="Consolas" w:hAnsi="Consolas" w:eastAsia="Consolas"/>
                <w:b w:val="0"/>
                <w:i w:val="0"/>
                <w:color w:val="222222"/>
                <w:sz w:val="16"/>
              </w:rPr>
              <w:t>experiment_20261025_014623_793809_suite_s42</w:t>
            </w:r>
            <w:r>
              <w:rPr>
                <w:rFonts w:ascii="Cambria" w:hAnsi="Cambria" w:eastAsia="Cambria"/>
                <w:b w:val="0"/>
                <w:i w:val="0"/>
                <w:color w:val="222222"/>
                <w:sz w:val="18"/>
              </w:rPr>
              <w:t xml:space="preserve"> on a synthetic smart-meter benchmark. No real utility or customer data were used. </w:t>
            </w:r>
            <w:r>
              <w:rPr>
                <w:rFonts w:ascii="Cambria" w:hAnsi="Cambria" w:eastAsia="Cambria"/>
                <w:b/>
                <w:i w:val="0"/>
                <w:color w:val="222222"/>
                <w:sz w:val="18"/>
              </w:rPr>
              <w:t>Full mode is NOT RUN. Real-data execution is DATASET NOT CONFIGURED.</w:t>
            </w:r>
          </w:p>
          <w:p>
            <w:pPr>
              <w:spacing w:after="60" w:line="254" w:lineRule="auto"/>
            </w:pPr>
            <w:r>
              <w:rPr>
                <w:rFonts w:ascii="Cambria" w:hAnsi="Cambria" w:eastAsia="Cambria"/>
                <w:b/>
                <w:i w:val="0"/>
                <w:color w:val="222222"/>
                <w:sz w:val="18"/>
              </w:rPr>
              <w:t>CLAIM STATUS.</w:t>
            </w:r>
            <w:r>
              <w:rPr>
                <w:rFonts w:ascii="Cambria" w:hAnsi="Cambria" w:eastAsia="Cambria"/>
                <w:b w:val="0"/>
                <w:i w:val="0"/>
                <w:color w:val="222222"/>
                <w:sz w:val="18"/>
              </w:rPr>
              <w:t xml:space="preserve"> The results are single-seed, descriptive measurements. No statistical significance, formal end-to-end differential privacy, production secure aggregation, or real-world deployment claim is made.</w:t>
            </w:r>
          </w:p>
        </w:tc>
      </w:tr>
    </w:tbl>
    <w:p>
      <w:pPr>
        <w:spacing w:after="40"/>
      </w:pPr>
    </w:p>
    <w:p>
      <w:pPr>
        <w:pStyle w:val="Heading1"/>
        <w:pBdr>
          <w:bottom w:val="single" w:sz="8" w:space="2" w:color="D9E2F3"/>
        </w:pBdr>
      </w:pPr>
      <w:r>
        <w:rPr>
          <w:rFonts w:ascii="Cambria" w:hAnsi="Cambria" w:eastAsia="Cambria"/>
          <w:b/>
          <w:i w:val="0"/>
          <w:color w:val="1F3864"/>
          <w:sz w:val="26"/>
        </w:rPr>
        <w:t>Abstract</w:t>
      </w:r>
    </w:p>
    <w:p>
      <w:pPr>
        <w:spacing w:after="100" w:line="264" w:lineRule="auto"/>
        <w:ind w:left="259" w:right="259"/>
        <w:jc w:val="both"/>
      </w:pPr>
      <w:r>
        <w:rPr>
          <w:rFonts w:ascii="Cambria" w:hAnsi="Cambria" w:eastAsia="Cambria"/>
          <w:b w:val="0"/>
          <w:i w:val="0"/>
          <w:color w:val="222222"/>
          <w:sz w:val="19"/>
        </w:rPr>
        <w:t xml:space="preserve">Electricity theft and other non-technical losses impose substantial costs on utilities, but centralized theft detection requires pooling sensitive smart-meter records. Federated learning (FL) offers an alternative: clients train locally and share model updates rather than raw consumption data. This paper presents </w:t>
      </w:r>
      <w:r>
        <w:rPr>
          <w:rFonts w:ascii="Cambria" w:hAnsi="Cambria" w:eastAsia="Cambria"/>
          <w:b/>
          <w:i w:val="0"/>
          <w:color w:val="222222"/>
          <w:sz w:val="19"/>
        </w:rPr>
        <w:t>PowerShield-FL</w:t>
      </w:r>
      <w:r>
        <w:rPr>
          <w:rFonts w:ascii="Cambria" w:hAnsi="Cambria" w:eastAsia="Cambria"/>
          <w:b w:val="0"/>
          <w:i w:val="0"/>
          <w:color w:val="222222"/>
          <w:sz w:val="19"/>
        </w:rPr>
        <w:t xml:space="preserve">, an end-to-end research framework that combines a lightweight multi-layer perceptron, consumer-level non-IID client simulation, update clipping with Gaussian perturbation, measured communication compression, adaptive size-quality-reliability aggregation, and post-hoc explainability. We evaluate the framework on a synthetic 240-consumer benchmark in QUICK mode with five clients, eight federated rounds, and one seed. At the window level, PowerShield-FL reaches F1 = 0.9969 (precision = 1.0000, recall = 0.9938), compared with F1 = 0.9938 for FedAvg, while transmitting 902,449 bytes rather than 3,453,520 bytes—a measured reduction of 73.87%. The proposed pipeline matches the F1 of a centralized Random Forest (0.9969) without pooling raw records, although the centralized model is trained on pooled data and the comparison is not compute-matched. The apparent +0.0031 F1 advantage over FedAvg corresponds to </w:t>
      </w:r>
      <w:r>
        <w:rPr>
          <w:rFonts w:ascii="Cambria" w:hAnsi="Cambria" w:eastAsia="Cambria"/>
          <w:b/>
          <w:i w:val="0"/>
          <w:color w:val="222222"/>
          <w:sz w:val="19"/>
        </w:rPr>
        <w:t>one additional true-positive window</w:t>
      </w:r>
      <w:r>
        <w:rPr>
          <w:rFonts w:ascii="Cambria" w:hAnsi="Cambria" w:eastAsia="Cambria"/>
          <w:b w:val="0"/>
          <w:i w:val="0"/>
          <w:color w:val="222222"/>
          <w:sz w:val="19"/>
        </w:rPr>
        <w:t xml:space="preserve"> out of 162 theft windows and is not statistically significant. More importantly, consumer-level F1 is only 0.25 for both methods at a fixed mean-probability threshold of 0.5, even though consumer-level ROC-AUC is 1.0; the gap is a calibration and threshold problem, not a ranking failure. The privacy layer is update-level clipping plus Gaussian noise with single-release ε estimates between 807 and 4,845; secure aggregation is simulated and disabled, and no formal end-to-end differential-privacy guarantee is claimed. Full mode and real-data experiments are </w:t>
      </w:r>
      <w:r>
        <w:rPr>
          <w:rFonts w:ascii="Cambria" w:hAnsi="Cambria" w:eastAsia="Cambria"/>
          <w:b/>
          <w:i w:val="0"/>
          <w:color w:val="222222"/>
          <w:sz w:val="19"/>
        </w:rPr>
        <w:t>NOT RUN</w:t>
      </w:r>
      <w:r>
        <w:rPr>
          <w:rFonts w:ascii="Cambria" w:hAnsi="Cambria" w:eastAsia="Cambria"/>
          <w:b w:val="0"/>
          <w:i w:val="0"/>
          <w:color w:val="222222"/>
          <w:sz w:val="19"/>
        </w:rPr>
        <w:t xml:space="preserve"> and </w:t>
      </w:r>
      <w:r>
        <w:rPr>
          <w:rFonts w:ascii="Cambria" w:hAnsi="Cambria" w:eastAsia="Cambria"/>
          <w:b/>
          <w:i w:val="0"/>
          <w:color w:val="222222"/>
          <w:sz w:val="19"/>
        </w:rPr>
        <w:t>DATASET NOT CONFIGURED</w:t>
      </w:r>
      <w:r>
        <w:rPr>
          <w:rFonts w:ascii="Cambria" w:hAnsi="Cambria" w:eastAsia="Cambria"/>
          <w:b w:val="0"/>
          <w:i w:val="0"/>
          <w:color w:val="222222"/>
          <w:sz w:val="19"/>
        </w:rPr>
        <w:t>, respectively. The study supports the feasibility of lightweight, communication-efficient FL on synthetic data—not real-world deployment.</w:t>
      </w:r>
    </w:p>
    <w:p>
      <w:pPr>
        <w:spacing w:after="100" w:line="264" w:lineRule="auto"/>
        <w:ind w:left="259" w:right="259"/>
        <w:jc w:val="both"/>
      </w:pPr>
      <w:r>
        <w:rPr>
          <w:rFonts w:ascii="Cambria" w:hAnsi="Cambria" w:eastAsia="Cambria"/>
          <w:b/>
          <w:i w:val="0"/>
          <w:color w:val="222222"/>
          <w:sz w:val="19"/>
        </w:rPr>
        <w:t>Index Terms—</w:t>
      </w:r>
      <w:r>
        <w:rPr>
          <w:rFonts w:ascii="Cambria" w:hAnsi="Cambria" w:eastAsia="Cambria"/>
          <w:b w:val="0"/>
          <w:i w:val="0"/>
          <w:color w:val="222222"/>
          <w:sz w:val="19"/>
        </w:rPr>
        <w:t xml:space="preserve"> federated learning, electricity-theft detection, non-technical loss, smart meters, communication efficiency, differential privacy, non-IID data, explainability.</w:t>
      </w:r>
    </w:p>
    <w:p>
      <w:pPr>
        <w:pStyle w:val="Heading1"/>
        <w:pBdr>
          <w:bottom w:val="single" w:sz="8" w:space="2" w:color="D9E2F3"/>
        </w:pBdr>
      </w:pPr>
      <w:r>
        <w:rPr>
          <w:rFonts w:ascii="Cambria" w:hAnsi="Cambria" w:eastAsia="Cambria"/>
          <w:b/>
          <w:i w:val="0"/>
          <w:color w:val="1F3864"/>
          <w:sz w:val="26"/>
        </w:rPr>
        <w:t>1. Introduction</w:t>
      </w:r>
    </w:p>
    <w:p>
      <w:pPr>
        <w:spacing w:after="100" w:line="264" w:lineRule="auto"/>
        <w:jc w:val="both"/>
      </w:pPr>
      <w:r>
        <w:rPr>
          <w:rFonts w:ascii="Cambria" w:hAnsi="Cambria" w:eastAsia="Cambria"/>
          <w:b w:val="0"/>
          <w:i w:val="0"/>
          <w:color w:val="222222"/>
          <w:sz w:val="20"/>
        </w:rPr>
        <w:t>Electricity theft is a persistent form of non-technical loss (NTL). It reduces utility revenue, distorts load forecasts, and can create safety and fairness problems when metered consumption no longer reflects actual use [15,16]. Smart meters make fine-grained detection possible: consumption trajectories contain signatures such as abrupt level shifts, unusual daily minima, repeated low-consumption days, and changes in peak-to-off-peak behavior. Supervised and deep learning models can learn these signatures when labelled theft records are available [17]. In practice, however, the most useful data are distributed across utilities, retailers, and customers, and centralizing raw meter readings raises privacy, regulatory, and commercial concerns.</w:t>
      </w:r>
    </w:p>
    <w:p>
      <w:pPr>
        <w:spacing w:after="100" w:line="264" w:lineRule="auto"/>
        <w:jc w:val="both"/>
      </w:pPr>
      <w:r>
        <w:rPr>
          <w:rFonts w:ascii="Cambria" w:hAnsi="Cambria" w:eastAsia="Cambria"/>
          <w:b w:val="0"/>
          <w:i w:val="0"/>
          <w:color w:val="222222"/>
          <w:sz w:val="20"/>
        </w:rPr>
        <w:t>Federated learning (FL) replaces data pooling with local training and server-side aggregation [1,2]. Each client computes an update on its private data and transmits only a model update and aggregate statistics. This reduces the immediate exposure of raw records, but it does not automatically solve the underlying problem. Client data are heterogeneous, updates can leak information [7,8], communication can be expensive, and a globally accurate window classifier may still make poor decisions at the consumer level. These issues are especially relevant for electricity theft, where the unit of operational action is a consumer or account, not an isolated sliding window.</w:t>
      </w:r>
    </w:p>
    <w:p>
      <w:pPr>
        <w:spacing w:after="100" w:line="264" w:lineRule="auto"/>
        <w:jc w:val="both"/>
      </w:pPr>
      <w:r>
        <w:rPr>
          <w:rFonts w:ascii="Cambria" w:hAnsi="Cambria" w:eastAsia="Cambria"/>
          <w:b w:val="0"/>
          <w:i w:val="0"/>
          <w:color w:val="222222"/>
          <w:sz w:val="20"/>
        </w:rPr>
        <w:t>This paper asks four questions: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RQ1:</w:t>
      </w:r>
      <w:r>
        <w:rPr>
          <w:rFonts w:ascii="Cambria" w:hAnsi="Cambria" w:eastAsia="Cambria"/>
          <w:b w:val="0"/>
          <w:i w:val="0"/>
          <w:color w:val="222222"/>
          <w:sz w:val="20"/>
        </w:rPr>
        <w:t xml:space="preserve"> Can a lightweight FL model match centralized baselines on a controlled electricity-theft benchmark?</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RQ2:</w:t>
      </w:r>
      <w:r>
        <w:rPr>
          <w:rFonts w:ascii="Cambria" w:hAnsi="Cambria" w:eastAsia="Cambria"/>
          <w:b w:val="0"/>
          <w:i w:val="0"/>
          <w:color w:val="222222"/>
          <w:sz w:val="20"/>
        </w:rPr>
        <w:t xml:space="preserve"> How much communication traffic is actually saved when updates and broadcasts are compressed?</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RQ3:</w:t>
      </w:r>
      <w:r>
        <w:rPr>
          <w:rFonts w:ascii="Cambria" w:hAnsi="Cambria" w:eastAsia="Cambria"/>
          <w:b w:val="0"/>
          <w:i w:val="0"/>
          <w:color w:val="222222"/>
          <w:sz w:val="20"/>
        </w:rPr>
        <w:t xml:space="preserve"> What happens to utility when clipping and Gaussian noise are enabled, and what privacy claim is justified?</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RQ4:</w:t>
      </w:r>
      <w:r>
        <w:rPr>
          <w:rFonts w:ascii="Cambria" w:hAnsi="Cambria" w:eastAsia="Cambria"/>
          <w:b w:val="0"/>
          <w:i w:val="0"/>
          <w:color w:val="222222"/>
          <w:sz w:val="20"/>
        </w:rPr>
        <w:t xml:space="preserve"> Does strong window-level performance translate into useful consumer-level decisions?</w:t>
      </w:r>
    </w:p>
    <w:p>
      <w:pPr>
        <w:spacing w:after="100" w:line="264" w:lineRule="auto"/>
        <w:jc w:val="both"/>
      </w:pPr>
      <w:r>
        <w:rPr>
          <w:rFonts w:ascii="Cambria" w:hAnsi="Cambria" w:eastAsia="Cambria"/>
          <w:b w:val="0"/>
          <w:i w:val="0"/>
          <w:color w:val="222222"/>
          <w:sz w:val="20"/>
        </w:rPr>
        <w:t xml:space="preserve">We study these questions with </w:t>
      </w:r>
      <w:r>
        <w:rPr>
          <w:rFonts w:ascii="Cambria" w:hAnsi="Cambria" w:eastAsia="Cambria"/>
          <w:b/>
          <w:i w:val="0"/>
          <w:color w:val="222222"/>
          <w:sz w:val="20"/>
        </w:rPr>
        <w:t>PowerShield-FL</w:t>
      </w:r>
      <w:r>
        <w:rPr>
          <w:rFonts w:ascii="Cambria" w:hAnsi="Cambria" w:eastAsia="Cambria"/>
          <w:b w:val="0"/>
          <w:i w:val="0"/>
          <w:color w:val="222222"/>
          <w:sz w:val="20"/>
        </w:rPr>
        <w:t xml:space="preserve">, a reproducible framework that integrates preprocessing, non-IID client simulation, FedAvg and adaptive aggregation, a privacy layer, measured compression, detection thresholds, explainability, and a dashboard. The empirical work uses a synthetic benchmark in QUICK mode. The benchmark is deliberately labelled </w:t>
      </w:r>
      <w:r>
        <w:rPr>
          <w:rFonts w:ascii="Cambria" w:hAnsi="Cambria" w:eastAsia="Cambria"/>
          <w:b/>
          <w:i w:val="0"/>
          <w:color w:val="222222"/>
          <w:sz w:val="20"/>
        </w:rPr>
        <w:t>SYNTHETIC DEMO DATA</w:t>
      </w:r>
      <w:r>
        <w:rPr>
          <w:rFonts w:ascii="Cambria" w:hAnsi="Cambria" w:eastAsia="Cambria"/>
          <w:b w:val="0"/>
          <w:i w:val="0"/>
          <w:color w:val="222222"/>
          <w:sz w:val="20"/>
        </w:rPr>
        <w:t xml:space="preserve"> throughout; it is a controlled testbed, not evidence about a real utility.</w:t>
      </w:r>
    </w:p>
    <w:p>
      <w:pPr>
        <w:spacing w:after="100" w:line="264" w:lineRule="auto"/>
        <w:jc w:val="both"/>
      </w:pPr>
      <w:r>
        <w:rPr>
          <w:rFonts w:ascii="Cambria" w:hAnsi="Cambria" w:eastAsia="Cambria"/>
          <w:b w:val="0"/>
          <w:i w:val="0"/>
          <w:color w:val="222222"/>
          <w:sz w:val="20"/>
        </w:rPr>
        <w:t>The main contributions are:</w:t>
      </w:r>
    </w:p>
    <w:p>
      <w:pPr>
        <w:spacing w:after="60" w:line="259" w:lineRule="auto"/>
        <w:ind w:left="461" w:hanging="317"/>
      </w:pPr>
      <w:r>
        <w:rPr>
          <w:b w:val="0"/>
          <w:i w:val="0"/>
          <w:color w:val="2E5C8A"/>
          <w:sz w:val="20"/>
        </w:rPr>
        <w:t xml:space="preserve">1.  </w:t>
      </w:r>
      <w:r>
        <w:rPr>
          <w:rFonts w:ascii="Cambria" w:hAnsi="Cambria" w:eastAsia="Cambria"/>
          <w:b/>
          <w:i w:val="0"/>
          <w:color w:val="222222"/>
          <w:sz w:val="20"/>
        </w:rPr>
        <w:t>An end-to-end FL framework</w:t>
      </w:r>
      <w:r>
        <w:rPr>
          <w:rFonts w:ascii="Cambria" w:hAnsi="Cambria" w:eastAsia="Cambria"/>
          <w:b w:val="0"/>
          <w:i w:val="0"/>
          <w:color w:val="222222"/>
          <w:sz w:val="20"/>
        </w:rPr>
        <w:t xml:space="preserve"> for electricity-theft detection that keeps raw windows client-local and transmits only </w:t>
      </w:r>
      <w:r>
        <w:rPr>
          <w:rFonts w:ascii="Consolas" w:hAnsi="Consolas" w:eastAsia="Consolas"/>
          <w:b w:val="0"/>
          <w:i w:val="0"/>
          <w:color w:val="222222"/>
          <w:sz w:val="19"/>
        </w:rPr>
        <w:t>ClientUpdate</w:t>
      </w:r>
      <w:r>
        <w:rPr>
          <w:rFonts w:ascii="Cambria" w:hAnsi="Cambria" w:eastAsia="Cambria"/>
          <w:b w:val="0"/>
          <w:i w:val="0"/>
          <w:color w:val="222222"/>
          <w:sz w:val="20"/>
        </w:rPr>
        <w:t xml:space="preserve"> objects (model delta plus aggregate statistics).</w:t>
      </w:r>
    </w:p>
    <w:p>
      <w:pPr>
        <w:spacing w:after="60" w:line="259" w:lineRule="auto"/>
        <w:ind w:left="461" w:hanging="317"/>
      </w:pPr>
      <w:r>
        <w:rPr>
          <w:b w:val="0"/>
          <w:i w:val="0"/>
          <w:color w:val="2E5C8A"/>
          <w:sz w:val="20"/>
        </w:rPr>
        <w:t xml:space="preserve">2.  </w:t>
      </w:r>
      <w:r>
        <w:rPr>
          <w:rFonts w:ascii="Cambria" w:hAnsi="Cambria" w:eastAsia="Cambria"/>
          <w:b/>
          <w:i w:val="0"/>
          <w:color w:val="222222"/>
          <w:sz w:val="20"/>
        </w:rPr>
        <w:t>A leakage-safe consumer-level pipeline</w:t>
      </w:r>
      <w:r>
        <w:rPr>
          <w:rFonts w:ascii="Cambria" w:hAnsi="Cambria" w:eastAsia="Cambria"/>
          <w:b w:val="0"/>
          <w:i w:val="0"/>
          <w:color w:val="222222"/>
          <w:sz w:val="20"/>
        </w:rPr>
        <w:t xml:space="preserve"> in which consumers—not windows—are split into train, validation, and test sets; scalers and outlier bounds are fitted on training consumers only.</w:t>
      </w:r>
    </w:p>
    <w:p>
      <w:pPr>
        <w:spacing w:after="60" w:line="259" w:lineRule="auto"/>
        <w:ind w:left="461" w:hanging="317"/>
      </w:pPr>
      <w:r>
        <w:rPr>
          <w:b w:val="0"/>
          <w:i w:val="0"/>
          <w:color w:val="2E5C8A"/>
          <w:sz w:val="20"/>
        </w:rPr>
        <w:t xml:space="preserve">3.  </w:t>
      </w:r>
      <w:r>
        <w:rPr>
          <w:rFonts w:ascii="Cambria" w:hAnsi="Cambria" w:eastAsia="Cambria"/>
          <w:b/>
          <w:i w:val="0"/>
          <w:color w:val="222222"/>
          <w:sz w:val="20"/>
        </w:rPr>
        <w:t>A measured systems evaluation</w:t>
      </w:r>
      <w:r>
        <w:rPr>
          <w:rFonts w:ascii="Cambria" w:hAnsi="Cambria" w:eastAsia="Cambria"/>
          <w:b w:val="0"/>
          <w:i w:val="0"/>
          <w:color w:val="222222"/>
          <w:sz w:val="20"/>
        </w:rPr>
        <w:t xml:space="preserve"> covering window-level detection, actual serialized bytes, privacy-related perturbation, scalability, adaptive aggregation diagnostics, and model explanations.</w:t>
      </w:r>
    </w:p>
    <w:p>
      <w:pPr>
        <w:spacing w:after="60" w:line="259" w:lineRule="auto"/>
        <w:ind w:left="461" w:hanging="317"/>
      </w:pPr>
      <w:r>
        <w:rPr>
          <w:b w:val="0"/>
          <w:i w:val="0"/>
          <w:color w:val="2E5C8A"/>
          <w:sz w:val="20"/>
        </w:rPr>
        <w:t xml:space="preserve">4.  </w:t>
      </w:r>
      <w:r>
        <w:rPr>
          <w:rFonts w:ascii="Cambria" w:hAnsi="Cambria" w:eastAsia="Cambria"/>
          <w:b/>
          <w:i w:val="0"/>
          <w:color w:val="222222"/>
          <w:sz w:val="20"/>
        </w:rPr>
        <w:t>A candid negative result:</w:t>
      </w:r>
      <w:r>
        <w:rPr>
          <w:rFonts w:ascii="Cambria" w:hAnsi="Cambria" w:eastAsia="Cambria"/>
          <w:b w:val="0"/>
          <w:i w:val="0"/>
          <w:color w:val="222222"/>
          <w:sz w:val="20"/>
        </w:rPr>
        <w:t xml:space="preserve"> high window-level F1 does not imply useful consumer-level F1. At a fixed consumer threshold, both FedAvg and PowerShield-FL detect only one of seven theft consumers, despite perfect consumer-level ranking.</w:t>
      </w:r>
    </w:p>
    <w:p>
      <w:pPr>
        <w:spacing w:after="100" w:line="264" w:lineRule="auto"/>
        <w:jc w:val="both"/>
      </w:pPr>
      <w:r>
        <w:rPr>
          <w:rFonts w:ascii="Cambria" w:hAnsi="Cambria" w:eastAsia="Cambria"/>
          <w:b w:val="0"/>
          <w:i w:val="0"/>
          <w:color w:val="222222"/>
          <w:sz w:val="20"/>
        </w:rPr>
        <w:t>The remainder of the paper is organized as follows. Section 2 reviews related work. Section 3 describes the methodology. Section 4 presents the experimental setup. Section 5 reports results. Section 6 discusses implications and threats to validity. Section 7 states limitations, and Section 8 concludes.</w:t>
      </w:r>
    </w:p>
    <w:p>
      <w:pPr>
        <w:pStyle w:val="Heading1"/>
        <w:pBdr>
          <w:bottom w:val="single" w:sz="8" w:space="2" w:color="D9E2F3"/>
        </w:pBdr>
      </w:pPr>
      <w:r>
        <w:rPr>
          <w:rFonts w:ascii="Cambria" w:hAnsi="Cambria" w:eastAsia="Cambria"/>
          <w:b/>
          <w:i w:val="0"/>
          <w:color w:val="1F3864"/>
          <w:sz w:val="26"/>
        </w:rPr>
        <w:t>2. Related Work</w:t>
      </w:r>
    </w:p>
    <w:p>
      <w:pPr>
        <w:pStyle w:val="Heading2"/>
      </w:pPr>
      <w:r>
        <w:rPr>
          <w:rFonts w:ascii="Cambria" w:hAnsi="Cambria" w:eastAsia="Cambria"/>
          <w:b/>
          <w:i w:val="0"/>
          <w:color w:val="2E5C8A"/>
          <w:sz w:val="22"/>
        </w:rPr>
        <w:t>2.1 Electricity-Theft Detection</w:t>
      </w:r>
    </w:p>
    <w:p>
      <w:pPr>
        <w:spacing w:after="100" w:line="264" w:lineRule="auto"/>
        <w:jc w:val="both"/>
      </w:pPr>
      <w:r>
        <w:rPr>
          <w:rFonts w:ascii="Cambria" w:hAnsi="Cambria" w:eastAsia="Cambria"/>
          <w:b w:val="0"/>
          <w:i w:val="0"/>
          <w:color w:val="222222"/>
          <w:sz w:val="20"/>
        </w:rPr>
        <w:t>Electricity-theft detection is usually framed as a supervised classification problem over consumption features, load profiles, or raw time series. Classical approaches use statistical tests, rule-based thresholds, and customer-level features; machine-learning approaches include logistic regression, support vector machines, random forests [19], gradient boosting, and neural networks [15,16]. Deep models can learn temporal patterns directly, but they require more data and compute and are harder to explain. The SGCC dataset has become a common benchmark for data-driven theft detection [17].</w:t>
      </w:r>
    </w:p>
    <w:p>
      <w:pPr>
        <w:spacing w:after="100" w:line="264" w:lineRule="auto"/>
        <w:jc w:val="both"/>
      </w:pPr>
      <w:r>
        <w:rPr>
          <w:rFonts w:ascii="Cambria" w:hAnsi="Cambria" w:eastAsia="Cambria"/>
          <w:b w:val="0"/>
          <w:i w:val="0"/>
          <w:color w:val="222222"/>
          <w:sz w:val="20"/>
        </w:rPr>
        <w:t>Three evaluation issues recur in this literature. First, consumer labels are often much scarcer than window labels, and window-level accuracy can overstate consumer-level usefulness. Second, class imbalance is severe; precision, recall, and PR-AUC are more informative than accuracy. Third, reported performance is often obtained after pooling all records, which is precisely the setting that FL is meant to avoid. PowerShield-FL addresses these issues by reporting both window- and consumer-level results and by making the centralized versus federated trade-off explicit.</w:t>
      </w:r>
    </w:p>
    <w:p>
      <w:pPr>
        <w:pStyle w:val="Heading2"/>
      </w:pPr>
      <w:r>
        <w:rPr>
          <w:rFonts w:ascii="Cambria" w:hAnsi="Cambria" w:eastAsia="Cambria"/>
          <w:b/>
          <w:i w:val="0"/>
          <w:color w:val="2E5C8A"/>
          <w:sz w:val="22"/>
        </w:rPr>
        <w:t>2.2 Federated Learning and Heterogeneity</w:t>
      </w:r>
    </w:p>
    <w:p>
      <w:pPr>
        <w:spacing w:after="100" w:line="264" w:lineRule="auto"/>
        <w:jc w:val="both"/>
      </w:pPr>
      <w:r>
        <w:rPr>
          <w:rFonts w:ascii="Cambria" w:hAnsi="Cambria" w:eastAsia="Cambria"/>
          <w:b w:val="0"/>
          <w:i w:val="0"/>
          <w:color w:val="222222"/>
          <w:sz w:val="20"/>
        </w:rPr>
        <w:t>Early federated optimization work studied distributed training without centralized data [25], and FedAvg became the canonical algorithm: clients perform local stochastic gradient descent, and the server averages their updates weighted by sample count [1]. Its behavior degrades when client distributions differ. FedProx adds a proximal term to limit client drift [3], SCAFFOLD uses control variates to correct client drift [4], and adaptive server optimizers adjust global updates [24]. Non-IID partitioning is commonly simulated with Dirichlet label proportions or quantity skew [5,6]. In this work, clients are formed at the consumer level with a Dirichlet label partition and an additional quantity skew, producing deliberately uneven client sizes and theft ratios.</w:t>
      </w:r>
    </w:p>
    <w:p>
      <w:pPr>
        <w:pStyle w:val="Heading2"/>
      </w:pPr>
      <w:r>
        <w:rPr>
          <w:rFonts w:ascii="Cambria" w:hAnsi="Cambria" w:eastAsia="Cambria"/>
          <w:b/>
          <w:i w:val="0"/>
          <w:color w:val="2E5C8A"/>
          <w:sz w:val="22"/>
        </w:rPr>
        <w:t>2.3 Privacy and Secure Aggregation</w:t>
      </w:r>
    </w:p>
    <w:p>
      <w:pPr>
        <w:spacing w:after="100" w:line="264" w:lineRule="auto"/>
        <w:jc w:val="both"/>
      </w:pPr>
      <w:r>
        <w:rPr>
          <w:rFonts w:ascii="Cambria" w:hAnsi="Cambria" w:eastAsia="Cambria"/>
          <w:b w:val="0"/>
          <w:i w:val="0"/>
          <w:color w:val="222222"/>
          <w:sz w:val="20"/>
        </w:rPr>
        <w:t>FL reduces raw-data exposure but does not by itself provide differential privacy (DP). Membership-inference and gradient-leakage attacks show that updates can reveal information about training records [7,8]. DP provides a formal framework for limiting the influence of any single record [9,11], and secure aggregation prevents the server from observing individual updates [10]. Practical FL systems often combine clipping, noise, and secure aggregation.</w:t>
      </w:r>
    </w:p>
    <w:p>
      <w:pPr>
        <w:spacing w:after="100" w:line="264" w:lineRule="auto"/>
        <w:jc w:val="both"/>
      </w:pPr>
      <w:r>
        <w:rPr>
          <w:rFonts w:ascii="Cambria" w:hAnsi="Cambria" w:eastAsia="Cambria"/>
          <w:b w:val="0"/>
          <w:i w:val="0"/>
          <w:color w:val="222222"/>
          <w:sz w:val="20"/>
        </w:rPr>
        <w:t>These mechanisms have costs. DP noise can reduce utility, clipping introduces bias when updates are large, and secure aggregation adds cryptographic overhead. Moreover, a single-release Gaussian-mechanism estimate is not an end-to-end DP guarantee: composition across rounds, client sampling, and the threat model must be accounted for. PowerShield-FL implements clipping and Gaussian perturbation as a research layer, reports single-release ε estimates, and explicitly avoids claiming a formal end-to-end guarantee. Secure aggregation is implemented only as a simulated additive-masking demonstration and is disabled in the reported runs.</w:t>
      </w:r>
    </w:p>
    <w:p>
      <w:pPr>
        <w:pStyle w:val="Heading2"/>
      </w:pPr>
      <w:r>
        <w:rPr>
          <w:rFonts w:ascii="Cambria" w:hAnsi="Cambria" w:eastAsia="Cambria"/>
          <w:b/>
          <w:i w:val="0"/>
          <w:color w:val="2E5C8A"/>
          <w:sz w:val="22"/>
        </w:rPr>
        <w:t>2.4 Communication-Efficient FL</w:t>
      </w:r>
    </w:p>
    <w:p>
      <w:pPr>
        <w:spacing w:after="100" w:line="264" w:lineRule="auto"/>
        <w:jc w:val="both"/>
      </w:pPr>
      <w:r>
        <w:rPr>
          <w:rFonts w:ascii="Cambria" w:hAnsi="Cambria" w:eastAsia="Cambria"/>
          <w:b w:val="0"/>
          <w:i w:val="0"/>
          <w:color w:val="222222"/>
          <w:sz w:val="20"/>
        </w:rPr>
        <w:t>Communication is often the bottleneck in FL. Quantization reduces the number of bits per parameter [12], gradient compression sends only selected coordinates [13], and sparse ternary compression combines sparsification with quantization [14]. These methods trade accuracy for bandwidth. The trade-off depends on model size, sparsity, and whether indices or metadata dominate the payload.</w:t>
      </w:r>
    </w:p>
    <w:p>
      <w:pPr>
        <w:spacing w:after="100" w:line="264" w:lineRule="auto"/>
        <w:jc w:val="both"/>
      </w:pPr>
      <w:r>
        <w:rPr>
          <w:rFonts w:ascii="Cambria" w:hAnsi="Cambria" w:eastAsia="Cambria"/>
          <w:b w:val="0"/>
          <w:i w:val="0"/>
          <w:color w:val="222222"/>
          <w:sz w:val="20"/>
        </w:rPr>
        <w:t>A central methodological point is that compression should be measured from actual serialized bytes, not estimated from parameter counts. PowerShield-FL instruments upload and download traffic, including per-tensor headers and top-k indices. It compares dense float32, dense int8 quantization, top-k sparsification, and top-k plus int8. For a small dense model, dense int8 is expected to be competitive because top-k must transmit integer indices; the experiments test this expectation rather than assuming it.</w:t>
      </w:r>
    </w:p>
    <w:p>
      <w:pPr>
        <w:pStyle w:val="Heading2"/>
      </w:pPr>
      <w:r>
        <w:rPr>
          <w:rFonts w:ascii="Cambria" w:hAnsi="Cambria" w:eastAsia="Cambria"/>
          <w:b/>
          <w:i w:val="0"/>
          <w:color w:val="2E5C8A"/>
          <w:sz w:val="22"/>
        </w:rPr>
        <w:t>2.5 Explainability and the Evaluation Gap</w:t>
      </w:r>
    </w:p>
    <w:p>
      <w:pPr>
        <w:spacing w:after="100" w:line="264" w:lineRule="auto"/>
        <w:jc w:val="both"/>
      </w:pPr>
      <w:r>
        <w:rPr>
          <w:rFonts w:ascii="Cambria" w:hAnsi="Cambria" w:eastAsia="Cambria"/>
          <w:b w:val="0"/>
          <w:i w:val="0"/>
          <w:color w:val="222222"/>
          <w:sz w:val="20"/>
        </w:rPr>
        <w:t>Explainability is important in security operations: an analyst needs to know why a consumer or window was flagged. SHAP provides additive feature attributions under a cooperative-game interpretation [18], and permutation importance measures the drop in a model score when a feature is shuffled. Both are model-specific diagnostic tools, not causal explanations.</w:t>
      </w:r>
    </w:p>
    <w:p>
      <w:pPr>
        <w:spacing w:after="100" w:line="264" w:lineRule="auto"/>
        <w:jc w:val="both"/>
      </w:pPr>
      <w:r>
        <w:rPr>
          <w:rFonts w:ascii="Cambria" w:hAnsi="Cambria" w:eastAsia="Cambria"/>
          <w:b w:val="0"/>
          <w:i w:val="0"/>
          <w:color w:val="222222"/>
          <w:sz w:val="20"/>
        </w:rPr>
        <w:t>The literature on FL for energy analytics is growing, but evaluation practices remain uneven. Window-level F1 is often reported without byte-level communication, consumer-level decisions, calibration, or statistical uncertainty. This paper does not claim a new state-of-the-art detector. It contributes a transparent, reproducible evaluation of an integrated FL pipeline under a controlled synthetic workload, including the failure modes that a deployment-oriented study should expose.</w:t>
      </w:r>
    </w:p>
    <w:p>
      <w:pPr>
        <w:pStyle w:val="Heading1"/>
        <w:pBdr>
          <w:bottom w:val="single" w:sz="8" w:space="2" w:color="D9E2F3"/>
        </w:pBdr>
      </w:pPr>
      <w:r>
        <w:rPr>
          <w:rFonts w:ascii="Cambria" w:hAnsi="Cambria" w:eastAsia="Cambria"/>
          <w:b/>
          <w:i w:val="0"/>
          <w:color w:val="1F3864"/>
          <w:sz w:val="26"/>
        </w:rPr>
        <w:t>3. Methodology</w:t>
      </w:r>
    </w:p>
    <w:p>
      <w:pPr>
        <w:pStyle w:val="Heading2"/>
      </w:pPr>
      <w:r>
        <w:rPr>
          <w:rFonts w:ascii="Cambria" w:hAnsi="Cambria" w:eastAsia="Cambria"/>
          <w:b/>
          <w:i w:val="0"/>
          <w:color w:val="2E5C8A"/>
          <w:sz w:val="22"/>
        </w:rPr>
        <w:t>3.1 Problem Setting</w:t>
      </w:r>
    </w:p>
    <w:p>
      <w:pPr>
        <w:spacing w:after="100" w:line="264" w:lineRule="auto"/>
        <w:jc w:val="both"/>
      </w:pPr>
      <w:r>
        <w:rPr>
          <w:rFonts w:ascii="Cambria" w:hAnsi="Cambria" w:eastAsia="Cambria"/>
          <w:b w:val="0"/>
          <w:i w:val="0"/>
          <w:color w:val="222222"/>
          <w:sz w:val="20"/>
        </w:rPr>
        <w:t xml:space="preserve">Let consumers be indexed by </w:t>
      </w:r>
      <w:r>
        <w:rPr>
          <w:rFonts w:ascii="Cambria" w:hAnsi="Cambria" w:eastAsia="Cambria"/>
          <w:b w:val="0"/>
          <w:i/>
          <w:color w:val="222222"/>
          <w:sz w:val="20"/>
        </w:rPr>
        <w:t>c</w:t>
      </w:r>
      <w:r>
        <w:rPr>
          <w:rFonts w:ascii="Cambria" w:hAnsi="Cambria" w:eastAsia="Cambria"/>
          <w:b w:val="0"/>
          <w:i w:val="0"/>
          <w:color w:val="222222"/>
          <w:sz w:val="20"/>
        </w:rPr>
        <w:t xml:space="preserve"> and let each consumer have a sequence of half-hourly meter readings. A sliding window of </w:t>
      </w:r>
      <w:r>
        <w:rPr>
          <w:rFonts w:ascii="Cambria" w:hAnsi="Cambria" w:eastAsia="Cambria"/>
          <w:b w:val="0"/>
          <w:i/>
          <w:color w:val="222222"/>
          <w:sz w:val="20"/>
        </w:rPr>
        <w:t>W</w:t>
      </w:r>
      <w:r>
        <w:rPr>
          <w:rFonts w:ascii="Cambria" w:hAnsi="Cambria" w:eastAsia="Cambria"/>
          <w:b w:val="0"/>
          <w:i w:val="0"/>
          <w:color w:val="222222"/>
          <w:sz w:val="20"/>
        </w:rPr>
        <w:t xml:space="preserve"> days is represented by a feature vector </w:t>
      </w:r>
      <w:r>
        <w:rPr>
          <w:rFonts w:ascii="Cambria" w:hAnsi="Cambria" w:eastAsia="Cambria"/>
          <w:b/>
          <w:i w:val="0"/>
          <w:color w:val="222222"/>
          <w:sz w:val="20"/>
        </w:rPr>
        <w:t>x</w:t>
      </w:r>
      <w:r>
        <w:rPr>
          <w:rFonts w:ascii="Cambria" w:hAnsi="Cambria" w:eastAsia="Cambria"/>
          <w:b w:val="0"/>
          <w:i w:val="0"/>
          <w:color w:val="222222"/>
          <w:sz w:val="20"/>
        </w:rPr>
        <w:t xml:space="preserve"> and a binary label </w:t>
      </w:r>
      <w:r>
        <w:rPr>
          <w:rFonts w:ascii="Cambria" w:hAnsi="Cambria" w:eastAsia="Cambria"/>
          <w:b w:val="0"/>
          <w:i/>
          <w:color w:val="222222"/>
          <w:sz w:val="20"/>
        </w:rPr>
        <w:t>y</w:t>
      </w:r>
      <w:r>
        <w:rPr>
          <w:rFonts w:ascii="Cambria" w:hAnsi="Cambria" w:eastAsia="Cambria"/>
          <w:b w:val="0"/>
          <w:i w:val="0"/>
          <w:color w:val="222222"/>
          <w:sz w:val="20"/>
        </w:rPr>
        <w:t xml:space="preserve"> ∈ {0,1}. The global model </w:t>
      </w:r>
      <w:r>
        <w:rPr>
          <w:rFonts w:ascii="Cambria" w:hAnsi="Cambria" w:eastAsia="Cambria"/>
          <w:b w:val="0"/>
          <w:i/>
          <w:color w:val="222222"/>
          <w:sz w:val="20"/>
        </w:rPr>
        <w:t>f</w:t>
      </w:r>
      <w:r>
        <w:rPr>
          <w:rFonts w:ascii="Cambria" w:hAnsi="Cambria" w:eastAsia="Cambria"/>
          <w:b w:val="0"/>
          <w:i w:val="0"/>
          <w:color w:val="222222"/>
          <w:sz w:val="20"/>
        </w:rPr>
        <w:t xml:space="preserve">θ maps </w:t>
      </w:r>
      <w:r>
        <w:rPr>
          <w:rFonts w:ascii="Cambria" w:hAnsi="Cambria" w:eastAsia="Cambria"/>
          <w:b/>
          <w:i w:val="0"/>
          <w:color w:val="222222"/>
          <w:sz w:val="20"/>
        </w:rPr>
        <w:t>x</w:t>
      </w:r>
      <w:r>
        <w:rPr>
          <w:rFonts w:ascii="Cambria" w:hAnsi="Cambria" w:eastAsia="Cambria"/>
          <w:b w:val="0"/>
          <w:i w:val="0"/>
          <w:color w:val="222222"/>
          <w:sz w:val="20"/>
        </w:rPr>
        <w:t xml:space="preserve"> to a theft probability. In federated training, </w:t>
      </w:r>
      <w:r>
        <w:rPr>
          <w:rFonts w:ascii="Cambria" w:hAnsi="Cambria" w:eastAsia="Cambria"/>
          <w:b w:val="0"/>
          <w:i/>
          <w:color w:val="222222"/>
          <w:sz w:val="20"/>
        </w:rPr>
        <w:t>K</w:t>
      </w:r>
      <w:r>
        <w:rPr>
          <w:rFonts w:ascii="Cambria" w:hAnsi="Cambria" w:eastAsia="Cambria"/>
          <w:b w:val="0"/>
          <w:i w:val="0"/>
          <w:color w:val="222222"/>
          <w:sz w:val="20"/>
        </w:rPr>
        <w:t xml:space="preserve"> clients hold disjoint subsets of consumers; client </w:t>
      </w:r>
      <w:r>
        <w:rPr>
          <w:rFonts w:ascii="Cambria" w:hAnsi="Cambria" w:eastAsia="Cambria"/>
          <w:b w:val="0"/>
          <w:i/>
          <w:color w:val="222222"/>
          <w:sz w:val="20"/>
        </w:rPr>
        <w:t>k</w:t>
      </w:r>
      <w:r>
        <w:rPr>
          <w:rFonts w:ascii="Cambria" w:hAnsi="Cambria" w:eastAsia="Cambria"/>
          <w:b w:val="0"/>
          <w:i w:val="0"/>
          <w:color w:val="222222"/>
          <w:sz w:val="20"/>
        </w:rPr>
        <w:t xml:space="preserve"> has </w:t>
      </w:r>
      <w:r>
        <w:rPr>
          <w:rFonts w:ascii="Cambria" w:hAnsi="Cambria" w:eastAsia="Cambria"/>
          <w:b w:val="0"/>
          <w:i/>
          <w:color w:val="222222"/>
          <w:sz w:val="20"/>
        </w:rPr>
        <w:t>n</w:t>
      </w:r>
      <w:r>
        <w:rPr>
          <w:rFonts w:ascii="Cambria" w:hAnsi="Cambria" w:eastAsia="Cambria"/>
          <w:b w:val="0"/>
          <w:i w:val="0"/>
          <w:color w:val="222222"/>
          <w:sz w:val="20"/>
        </w:rPr>
        <w:t>ₖ training windows. The server never receives raw windows, timestamps, or customer identifiers.</w:t>
      </w:r>
    </w:p>
    <w:p>
      <w:pPr>
        <w:spacing w:after="100" w:line="264" w:lineRule="auto"/>
        <w:jc w:val="both"/>
      </w:pPr>
      <w:r>
        <w:rPr>
          <w:rFonts w:ascii="Cambria" w:hAnsi="Cambria" w:eastAsia="Cambria"/>
          <w:b w:val="0"/>
          <w:i w:val="0"/>
          <w:color w:val="222222"/>
          <w:sz w:val="20"/>
        </w:rPr>
        <w:t>The optimization objective is the class-weighted binary cross-entropy</w:t>
      </w:r>
    </w:p>
    <w:p>
      <w:pPr>
        <w:spacing w:before="40" w:after="100"/>
        <w:jc w:val="center"/>
      </w:pPr>
      <w:r>
        <w:rPr>
          <w:rFonts w:ascii="Cambria Math" w:hAnsi="Cambria Math" w:eastAsia="Cambria Math"/>
          <w:b w:val="0"/>
          <w:i w:val="0"/>
          <w:color w:val="222222"/>
          <w:sz w:val="21"/>
        </w:rPr>
        <w:t>L(θ) = Σₖ (nₖ / N) · Lₖ(θ),</w:t>
      </w:r>
    </w:p>
    <w:p>
      <w:pPr>
        <w:spacing w:after="100" w:line="264" w:lineRule="auto"/>
        <w:jc w:val="both"/>
      </w:pPr>
      <w:r>
        <w:rPr>
          <w:rFonts w:ascii="Cambria" w:hAnsi="Cambria" w:eastAsia="Cambria"/>
          <w:b w:val="0"/>
          <w:i w:val="0"/>
          <w:color w:val="222222"/>
          <w:sz w:val="20"/>
        </w:rPr>
        <w:t xml:space="preserve">where </w:t>
      </w:r>
      <w:r>
        <w:rPr>
          <w:rFonts w:ascii="Cambria" w:hAnsi="Cambria" w:eastAsia="Cambria"/>
          <w:b w:val="0"/>
          <w:i/>
          <w:color w:val="222222"/>
          <w:sz w:val="20"/>
        </w:rPr>
        <w:t>L</w:t>
      </w:r>
      <w:r>
        <w:rPr>
          <w:rFonts w:ascii="Cambria" w:hAnsi="Cambria" w:eastAsia="Cambria"/>
          <w:b w:val="0"/>
          <w:i w:val="0"/>
          <w:color w:val="222222"/>
          <w:sz w:val="20"/>
        </w:rPr>
        <w:t xml:space="preserve">ₖ is the local loss on client </w:t>
      </w:r>
      <w:r>
        <w:rPr>
          <w:rFonts w:ascii="Cambria" w:hAnsi="Cambria" w:eastAsia="Cambria"/>
          <w:b w:val="0"/>
          <w:i/>
          <w:color w:val="222222"/>
          <w:sz w:val="20"/>
        </w:rPr>
        <w:t>k</w:t>
      </w:r>
      <w:r>
        <w:rPr>
          <w:rFonts w:ascii="Cambria" w:hAnsi="Cambria" w:eastAsia="Cambria"/>
          <w:b w:val="0"/>
          <w:i w:val="0"/>
          <w:color w:val="222222"/>
          <w:sz w:val="20"/>
        </w:rPr>
        <w:t xml:space="preserve"> and </w:t>
      </w:r>
      <w:r>
        <w:rPr>
          <w:rFonts w:ascii="Cambria" w:hAnsi="Cambria" w:eastAsia="Cambria"/>
          <w:b w:val="0"/>
          <w:i/>
          <w:color w:val="222222"/>
          <w:sz w:val="20"/>
        </w:rPr>
        <w:t>N</w:t>
      </w:r>
      <w:r>
        <w:rPr>
          <w:rFonts w:ascii="Cambria" w:hAnsi="Cambria" w:eastAsia="Cambria"/>
          <w:b w:val="0"/>
          <w:i w:val="0"/>
          <w:color w:val="222222"/>
          <w:sz w:val="20"/>
        </w:rPr>
        <w:t xml:space="preserve"> = Σₖ </w:t>
      </w:r>
      <w:r>
        <w:rPr>
          <w:rFonts w:ascii="Cambria" w:hAnsi="Cambria" w:eastAsia="Cambria"/>
          <w:b w:val="0"/>
          <w:i/>
          <w:color w:val="222222"/>
          <w:sz w:val="20"/>
        </w:rPr>
        <w:t>n</w:t>
      </w:r>
      <w:r>
        <w:rPr>
          <w:rFonts w:ascii="Cambria" w:hAnsi="Cambria" w:eastAsia="Cambria"/>
          <w:b w:val="0"/>
          <w:i w:val="0"/>
          <w:color w:val="222222"/>
          <w:sz w:val="20"/>
        </w:rPr>
        <w:t>ₖ. Class weights compensate for the low theft prevalence in the training split. The server-side evaluation uses a held-out set of consumers that are disjoint from all clients.</w:t>
      </w:r>
    </w:p>
    <w:p>
      <w:pPr>
        <w:pStyle w:val="Heading2"/>
      </w:pPr>
      <w:r>
        <w:rPr>
          <w:rFonts w:ascii="Cambria" w:hAnsi="Cambria" w:eastAsia="Cambria"/>
          <w:b/>
          <w:i w:val="0"/>
          <w:color w:val="2E5C8A"/>
          <w:sz w:val="22"/>
        </w:rPr>
        <w:t>3.2 Framework Overview</w:t>
      </w:r>
    </w:p>
    <w:p>
      <w:pPr>
        <w:spacing w:after="100" w:line="264" w:lineRule="auto"/>
        <w:jc w:val="both"/>
      </w:pPr>
      <w:r>
        <w:rPr>
          <w:rFonts w:ascii="Cambria" w:hAnsi="Cambria" w:eastAsia="Cambria"/>
          <w:b w:val="0"/>
          <w:i w:val="0"/>
          <w:color w:val="222222"/>
          <w:sz w:val="20"/>
        </w:rPr>
        <w:t xml:space="preserve">Figure 1 summarizes the pipeline. Raw smart-meter panels are split by consumer into training, validation, and test sets. Training consumers are assigned to simulated clients. Each client fits a local copy of the lightweight model, clips and perturbs its update, optionally compresses it, and sends a </w:t>
      </w:r>
      <w:r>
        <w:rPr>
          <w:rFonts w:ascii="Consolas" w:hAnsi="Consolas" w:eastAsia="Consolas"/>
          <w:b w:val="0"/>
          <w:i w:val="0"/>
          <w:color w:val="222222"/>
          <w:sz w:val="19"/>
        </w:rPr>
        <w:t>ClientUpdate</w:t>
      </w:r>
      <w:r>
        <w:rPr>
          <w:rFonts w:ascii="Cambria" w:hAnsi="Cambria" w:eastAsia="Cambria"/>
          <w:b w:val="0"/>
          <w:i w:val="0"/>
          <w:color w:val="222222"/>
          <w:sz w:val="20"/>
        </w:rPr>
        <w:t xml:space="preserve"> to the server. The server decompresses, aggregates with either FedAvg or the adaptive rule, and broadcasts the new global model. The global model is evaluated at the window level and at the consumer level. Explainability tools operate on the final global model.</w:t>
      </w:r>
    </w:p>
    <w:p>
      <w:pPr>
        <w:keepNext/>
        <w:spacing w:before="120" w:after="40"/>
        <w:jc w:val="center"/>
      </w:pPr>
      <w:r>
        <w:drawing>
          <wp:inline xmlns:a="http://schemas.openxmlformats.org/drawingml/2006/main" xmlns:pic="http://schemas.openxmlformats.org/drawingml/2006/picture">
            <wp:extent cx="6126480" cy="3012816"/>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11"/>
                    <a:stretch>
                      <a:fillRect/>
                    </a:stretch>
                  </pic:blipFill>
                  <pic:spPr>
                    <a:xfrm>
                      <a:off x="0" y="0"/>
                      <a:ext cx="6126480" cy="3012816"/>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1.</w:t>
      </w:r>
      <w:r>
        <w:rPr>
          <w:rFonts w:ascii="Cambria" w:hAnsi="Cambria" w:eastAsia="Cambria"/>
          <w:b w:val="0"/>
          <w:i w:val="0"/>
          <w:color w:val="595959"/>
          <w:sz w:val="17"/>
        </w:rPr>
        <w:t xml:space="preserve"> Conceptual overview of PowerShield-FL. The diagram is illustrative; no measured values are encoded in it. Raw windows, timestamps, and customer identifiers remain client-local. The privacy boundary separates client-side data from the server-visible </w:t>
      </w:r>
      <w:r>
        <w:rPr>
          <w:rFonts w:ascii="Consolas" w:hAnsi="Consolas" w:eastAsia="Consolas"/>
          <w:b w:val="0"/>
          <w:i w:val="0"/>
          <w:color w:val="595959"/>
          <w:sz w:val="16"/>
        </w:rPr>
        <w:t>ClientUpdate</w:t>
      </w:r>
      <w:r>
        <w:rPr>
          <w:rFonts w:ascii="Cambria" w:hAnsi="Cambria" w:eastAsia="Cambria"/>
          <w:b w:val="0"/>
          <w:i w:val="0"/>
          <w:color w:val="595959"/>
          <w:sz w:val="17"/>
        </w:rPr>
        <w:t xml:space="preserve"> stream.</w:t>
      </w:r>
    </w:p>
    <w:tbl>
      <w:tblPr>
        <w:tblW w:type="auto" w:w="0"/>
        <w:jc w:val="center"/>
        <w:tblLayout w:type="fixed"/>
        <w:tblLook w:firstColumn="1" w:firstRow="1" w:lastColumn="0" w:lastRow="0" w:noHBand="0" w:noVBand="1" w:val="04A0"/>
      </w:tblPr>
      <w:tblGrid>
        <w:gridCol w:w="9878"/>
      </w:tblGrid>
      <w:tr>
        <w:tc>
          <w:tcPr>
            <w:tcW w:type="dxa" w:w="9878"/>
            <w:shd w:val="clear" w:color="auto" w:fill="EAF1F8"/>
            <w:tcMar>
              <w:top w:w="110" w:type="dxa"/>
              <w:start w:w="150" w:type="dxa"/>
              <w:bottom w:w="110" w:type="dxa"/>
              <w:end w:w="150" w:type="dxa"/>
            </w:tcMar>
            <w:tcBorders>
              <w:top w:val="single" w:sz="4" w:space="0" w:color="2F5D8A"/>
              <w:bottom w:val="single" w:sz="4" w:space="0" w:color="2F5D8A"/>
              <w:right w:val="single" w:sz="4" w:space="0" w:color="2F5D8A"/>
              <w:left w:val="single" w:sz="24" w:space="0" w:color="2F5D8A"/>
            </w:tcBorders>
          </w:tcPr>
          <w:p>
            <w:pPr>
              <w:spacing w:after="60" w:line="254" w:lineRule="auto"/>
            </w:pPr>
            <w:r>
              <w:rPr>
                <w:rFonts w:ascii="Cambria" w:hAnsi="Cambria" w:eastAsia="Cambria"/>
                <w:b/>
                <w:i w:val="0"/>
                <w:color w:val="222222"/>
                <w:sz w:val="18"/>
              </w:rPr>
              <w:t>Threat model.</w:t>
            </w:r>
            <w:r>
              <w:rPr>
                <w:rFonts w:ascii="Cambria" w:hAnsi="Cambria" w:eastAsia="Cambria"/>
                <w:b w:val="0"/>
                <w:i w:val="0"/>
                <w:color w:val="222222"/>
                <w:sz w:val="18"/>
              </w:rPr>
              <w:t xml:space="preserve"> Clients are honest and the server is honest-but-curious. The server observes only </w:t>
            </w:r>
            <w:r>
              <w:rPr>
                <w:rFonts w:ascii="Consolas" w:hAnsi="Consolas" w:eastAsia="Consolas"/>
                <w:b w:val="0"/>
                <w:i w:val="0"/>
                <w:color w:val="222222"/>
                <w:sz w:val="16"/>
              </w:rPr>
              <w:t>ClientUpdate</w:t>
            </w:r>
            <w:r>
              <w:rPr>
                <w:rFonts w:ascii="Cambria" w:hAnsi="Cambria" w:eastAsia="Cambria"/>
                <w:b w:val="0"/>
                <w:i w:val="0"/>
                <w:color w:val="222222"/>
                <w:sz w:val="18"/>
              </w:rPr>
              <w:t xml:space="preserve"> objects, not raw data. We do not evaluate malicious clients, poisoning, backdoors, or active inference attacks. The privacy layer is a perturbation mechanism, not a formal DP system. Secure aggregation is simulated and disabled.</w:t>
            </w:r>
          </w:p>
        </w:tc>
      </w:tr>
    </w:tbl>
    <w:p>
      <w:pPr>
        <w:spacing w:after="40"/>
      </w:pPr>
    </w:p>
    <w:p>
      <w:pPr>
        <w:pStyle w:val="Heading2"/>
      </w:pPr>
      <w:r>
        <w:rPr>
          <w:rFonts w:ascii="Cambria" w:hAnsi="Cambria" w:eastAsia="Cambria"/>
          <w:b/>
          <w:i w:val="0"/>
          <w:color w:val="2E5C8A"/>
          <w:sz w:val="22"/>
        </w:rPr>
        <w:t>3.3 Data Construction and Leakage Control</w:t>
      </w:r>
    </w:p>
    <w:p>
      <w:pPr>
        <w:spacing w:after="100" w:line="264" w:lineRule="auto"/>
        <w:jc w:val="both"/>
      </w:pPr>
      <w:r>
        <w:rPr>
          <w:rFonts w:ascii="Cambria" w:hAnsi="Cambria" w:eastAsia="Cambria"/>
          <w:b w:val="0"/>
          <w:i w:val="0"/>
          <w:color w:val="222222"/>
          <w:sz w:val="20"/>
        </w:rPr>
        <w:t>The synthetic generator creates 240 consumers over 180 days at 30-minute resolution: 2,073,600 raw rows in total. Each consumer has a base load, an intraday profile, seasonal and weekend factors, Gaussian noise, missing values, and occasional spikes. Fifteen percent of consumers (36 of 240) are assigned a theft episode. For a theft consumer, metered consumption is multiplied by a scale factor between 0.35 and 0.85 from a random activation day, with a 25% chance that a given day is inactive; the activation day lies between 25% and 85% of the observation period. These settings produce a detectable but non-trivial pattern of level reduction.</w:t>
      </w:r>
    </w:p>
    <w:p>
      <w:pPr>
        <w:spacing w:after="100" w:line="264" w:lineRule="auto"/>
        <w:jc w:val="both"/>
      </w:pPr>
      <w:r>
        <w:rPr>
          <w:rFonts w:ascii="Cambria" w:hAnsi="Cambria" w:eastAsia="Cambria"/>
          <w:b w:val="0"/>
          <w:i w:val="0"/>
          <w:color w:val="222222"/>
          <w:sz w:val="20"/>
        </w:rPr>
        <w:t xml:space="preserve">The split unit is the </w:t>
      </w:r>
      <w:r>
        <w:rPr>
          <w:rFonts w:ascii="Cambria" w:hAnsi="Cambria" w:eastAsia="Cambria"/>
          <w:b/>
          <w:i w:val="0"/>
          <w:color w:val="222222"/>
          <w:sz w:val="20"/>
        </w:rPr>
        <w:t>consumer</w:t>
      </w:r>
      <w:r>
        <w:rPr>
          <w:rFonts w:ascii="Cambria" w:hAnsi="Cambria" w:eastAsia="Cambria"/>
          <w:b w:val="0"/>
          <w:i w:val="0"/>
          <w:color w:val="222222"/>
          <w:sz w:val="20"/>
        </w:rPr>
        <w:t>, not the window. Consumers are divided into 156 training, 36 validation, and 48 test consumers (65%/15%/20%). All windows from a consumer remain in exactly one split. Cleaning statistics, outlier bounds, and feature scalers are fitted on training consumers only and then applied to validation and test consumers. This prevents identity leakage and avoids fitting preprocessing objects on held-out data.</w:t>
      </w:r>
    </w:p>
    <w:p>
      <w:pPr>
        <w:spacing w:after="100" w:line="264" w:lineRule="auto"/>
        <w:jc w:val="both"/>
      </w:pPr>
      <w:r>
        <w:rPr>
          <w:rFonts w:ascii="Cambria" w:hAnsi="Cambria" w:eastAsia="Cambria"/>
          <w:b w:val="0"/>
          <w:i w:val="0"/>
          <w:color w:val="222222"/>
          <w:sz w:val="20"/>
        </w:rPr>
        <w:t>Each consumer is converted into 14-day sliding windows with a stride of 3 days, yielding 56 windows per consumer and 13,440 windows in total. From each window, the pipeline computes eight intraday block means per day (8 × 14 = 112 values) plus 21 engineered statistics, for 133 features. Engineered features include mean, standard deviation, minimum, maximum, median consumption, peak/off-peak ratios, daily drops, daily-difference variability, night/day ratios, weekend/weekday ratios, and calendar terms. The theft anomalies are clipped rather than deleted during outlier handling, so the label distribution is preserved.</w:t>
      </w:r>
    </w:p>
    <w:p>
      <w:pPr>
        <w:spacing w:after="100" w:line="264" w:lineRule="auto"/>
        <w:jc w:val="both"/>
      </w:pPr>
      <w:r>
        <w:rPr>
          <w:rFonts w:ascii="Cambria" w:hAnsi="Cambria" w:eastAsia="Cambria"/>
          <w:b w:val="0"/>
          <w:i w:val="0"/>
          <w:color w:val="222222"/>
          <w:sz w:val="20"/>
        </w:rPr>
        <w:t>Window labels respect the synthetic theft activation day: a window is positive only if it overlaps the theft period. This avoids labelling pre-theft behavior as theft. The training split contains 8,736 windows with 706 positive windows (8.08%); validation contains 2,016 windows with 176 positives (8.73%); test contains 2,688 windows with 162 positives (6.03%). At the consumer level, the test split contains 7 theft consumers and 41 normal consumers.</w:t>
      </w:r>
    </w:p>
    <w:p>
      <w:pPr>
        <w:pStyle w:val="Heading2"/>
      </w:pPr>
      <w:r>
        <w:rPr>
          <w:rFonts w:ascii="Cambria" w:hAnsi="Cambria" w:eastAsia="Cambria"/>
          <w:b/>
          <w:i w:val="0"/>
          <w:color w:val="2E5C8A"/>
          <w:sz w:val="22"/>
        </w:rPr>
        <w:t>3.4 Lightweight Detector</w:t>
      </w:r>
    </w:p>
    <w:p>
      <w:pPr>
        <w:spacing w:after="100" w:line="264" w:lineRule="auto"/>
        <w:jc w:val="both"/>
      </w:pPr>
      <w:r>
        <w:rPr>
          <w:rFonts w:ascii="Cambria" w:hAnsi="Cambria" w:eastAsia="Cambria"/>
          <w:b w:val="0"/>
          <w:i w:val="0"/>
          <w:color w:val="222222"/>
          <w:sz w:val="20"/>
        </w:rPr>
        <w:t>The proposed detector is a fully connected network:</w:t>
      </w:r>
    </w:p>
    <w:p>
      <w:pPr>
        <w:spacing w:before="40" w:after="100"/>
        <w:jc w:val="center"/>
      </w:pPr>
      <w:r>
        <w:rPr>
          <w:rFonts w:ascii="Cambria Math" w:hAnsi="Cambria Math" w:eastAsia="Cambria Math"/>
          <w:b w:val="0"/>
          <w:i w:val="0"/>
          <w:color w:val="222222"/>
          <w:sz w:val="21"/>
        </w:rPr>
        <w:t>133 → 64 → 32 → 1,</w:t>
      </w:r>
    </w:p>
    <w:p>
      <w:pPr>
        <w:spacing w:after="100" w:line="264" w:lineRule="auto"/>
        <w:jc w:val="both"/>
      </w:pPr>
      <w:r>
        <w:rPr>
          <w:rFonts w:ascii="Cambria" w:hAnsi="Cambria" w:eastAsia="Cambria"/>
          <w:b w:val="0"/>
          <w:i w:val="0"/>
          <w:color w:val="222222"/>
          <w:sz w:val="20"/>
        </w:rPr>
        <w:t>with ReLU activations, dropout 0.2 after each hidden layer, and a single logit output. It has 10,689 trainable parameters and a parameter payload of 41.75 KiB. The loss is class-weighted binary cross-entropy with weights 0.544 for normal windows and 6.187 for theft windows. The optimizer is Adam with learning rate 0.001, weight decay 0.0001, and batch size 128 [22].</w:t>
      </w:r>
    </w:p>
    <w:p>
      <w:pPr>
        <w:spacing w:after="100" w:line="264" w:lineRule="auto"/>
        <w:jc w:val="both"/>
      </w:pPr>
      <w:r>
        <w:rPr>
          <w:rFonts w:ascii="Cambria" w:hAnsi="Cambria" w:eastAsia="Cambria"/>
          <w:b w:val="0"/>
          <w:i w:val="0"/>
          <w:color w:val="222222"/>
          <w:sz w:val="20"/>
        </w:rPr>
        <w:t>This architecture is intentionally small. It is not a claim that a shallow MLP is the best possible detector; it is a controlled test of whether a compact model can operate under FL constraints on CPU hardware. The same architecture is used by FedAvg and PowerShield-FL, which makes the federated comparison architecture-controlled.</w:t>
      </w:r>
    </w:p>
    <w:p>
      <w:pPr>
        <w:pStyle w:val="Heading2"/>
      </w:pPr>
      <w:r>
        <w:rPr>
          <w:rFonts w:ascii="Cambria" w:hAnsi="Cambria" w:eastAsia="Cambria"/>
          <w:b/>
          <w:i w:val="0"/>
          <w:color w:val="2E5C8A"/>
          <w:sz w:val="22"/>
        </w:rPr>
        <w:t>3.5 Federated Training</w:t>
      </w:r>
    </w:p>
    <w:p>
      <w:pPr>
        <w:spacing w:after="100" w:line="264" w:lineRule="auto"/>
        <w:jc w:val="both"/>
      </w:pPr>
      <w:r>
        <w:rPr>
          <w:rFonts w:ascii="Cambria" w:hAnsi="Cambria" w:eastAsia="Cambria"/>
          <w:b w:val="0"/>
          <w:i w:val="0"/>
          <w:color w:val="222222"/>
          <w:sz w:val="20"/>
        </w:rPr>
        <w:t>Training consumers are partitioned across five clients. The partition uses a Dirichlet label partition with concentration α = 0.5 plus quantity skew 0.6, so clients differ in both class balance and sample count [5,6]. Each client reserves 15% of its assigned windows for local validation; the server’s global validation set is a separate set of 36 consumers. All five clients participate in every round. Each round consists of two local epochs over the client’s training windows, followed by aggregation and server-side validation.</w:t>
      </w:r>
    </w:p>
    <w:p>
      <w:pPr>
        <w:spacing w:after="100" w:line="264" w:lineRule="auto"/>
        <w:jc w:val="both"/>
      </w:pPr>
      <w:r>
        <w:rPr>
          <w:rFonts w:ascii="Cambria" w:hAnsi="Cambria" w:eastAsia="Cambria"/>
          <w:b w:val="0"/>
          <w:i w:val="0"/>
          <w:color w:val="222222"/>
          <w:sz w:val="20"/>
        </w:rPr>
        <w:t>FedAvg aggregates client updates by sample count:</w:t>
      </w:r>
    </w:p>
    <w:p>
      <w:pPr>
        <w:spacing w:before="40" w:after="100"/>
        <w:jc w:val="center"/>
      </w:pPr>
      <w:r>
        <w:rPr>
          <w:rFonts w:ascii="Cambria Math" w:hAnsi="Cambria Math" w:eastAsia="Cambria Math"/>
          <w:b w:val="0"/>
          <w:i w:val="0"/>
          <w:color w:val="222222"/>
          <w:sz w:val="21"/>
        </w:rPr>
        <w:t>w(t+1) = Σₖ (nₖ / N) · wₖ(t+1).</w:t>
      </w:r>
    </w:p>
    <w:p>
      <w:pPr>
        <w:spacing w:after="100" w:line="264" w:lineRule="auto"/>
        <w:jc w:val="both"/>
      </w:pPr>
      <w:r>
        <w:rPr>
          <w:rFonts w:ascii="Cambria" w:hAnsi="Cambria" w:eastAsia="Cambria"/>
          <w:b w:val="0"/>
          <w:i w:val="0"/>
          <w:color w:val="222222"/>
          <w:sz w:val="20"/>
        </w:rPr>
        <w:t xml:space="preserve">The FedAvg baseline uses no privacy perturbation and no compression. PowerShield-FL uses the same model, partition, local optimizer, and number of rounds, but adds adaptive aggregation, clipping and Gaussian perturbation, and int8 compression. The headline comparison is therefore a </w:t>
      </w:r>
      <w:r>
        <w:rPr>
          <w:rFonts w:ascii="Cambria" w:hAnsi="Cambria" w:eastAsia="Cambria"/>
          <w:b/>
          <w:i w:val="0"/>
          <w:color w:val="222222"/>
          <w:sz w:val="20"/>
        </w:rPr>
        <w:t>system-level</w:t>
      </w:r>
      <w:r>
        <w:rPr>
          <w:rFonts w:ascii="Cambria" w:hAnsi="Cambria" w:eastAsia="Cambria"/>
          <w:b w:val="0"/>
          <w:i w:val="0"/>
          <w:color w:val="222222"/>
          <w:sz w:val="20"/>
        </w:rPr>
        <w:t xml:space="preserve"> comparison, not an isolated ablation of aggregation. The privacy and communication sweeps in Section 5 vary one layer at a time.</w:t>
      </w:r>
    </w:p>
    <w:p>
      <w:pPr>
        <w:pStyle w:val="Heading2"/>
      </w:pPr>
      <w:r>
        <w:rPr>
          <w:rFonts w:ascii="Cambria" w:hAnsi="Cambria" w:eastAsia="Cambria"/>
          <w:b/>
          <w:i w:val="0"/>
          <w:color w:val="2E5C8A"/>
          <w:sz w:val="22"/>
        </w:rPr>
        <w:t>3.6 Adaptive Aggregation</w:t>
      </w:r>
    </w:p>
    <w:p>
      <w:pPr>
        <w:spacing w:after="100" w:line="264" w:lineRule="auto"/>
        <w:jc w:val="both"/>
      </w:pPr>
      <w:r>
        <w:rPr>
          <w:rFonts w:ascii="Cambria" w:hAnsi="Cambria" w:eastAsia="Cambria"/>
          <w:b w:val="0"/>
          <w:i w:val="0"/>
          <w:color w:val="222222"/>
          <w:sz w:val="20"/>
        </w:rPr>
        <w:t>FedAvg gives a large client substantial influence simply because it has more windows. The adaptive rule multiplies four client-specific factors:</w:t>
      </w:r>
    </w:p>
    <w:p>
      <w:pPr>
        <w:spacing w:before="40" w:after="100"/>
        <w:jc w:val="center"/>
      </w:pPr>
      <w:r>
        <w:rPr>
          <w:rFonts w:ascii="Cambria Math" w:hAnsi="Cambria Math" w:eastAsia="Cambria Math"/>
          <w:b w:val="0"/>
          <w:i w:val="0"/>
          <w:color w:val="222222"/>
          <w:sz w:val="21"/>
        </w:rPr>
        <w:t>aₖ ∝ (nₖ / N)^α · qₖ^β · rₖ^γ · bₖ,</w:t>
      </w:r>
    </w:p>
    <w:p>
      <w:pPr>
        <w:spacing w:after="100" w:line="264" w:lineRule="auto"/>
        <w:jc w:val="both"/>
      </w:pPr>
      <w:r>
        <w:rPr>
          <w:rFonts w:ascii="Cambria" w:hAnsi="Cambria" w:eastAsia="Cambria"/>
          <w:b w:val="0"/>
          <w:i w:val="0"/>
          <w:color w:val="222222"/>
          <w:sz w:val="20"/>
        </w:rPr>
        <w:t xml:space="preserve">where </w:t>
      </w:r>
      <w:r>
        <w:rPr>
          <w:rFonts w:ascii="Cambria" w:hAnsi="Cambria" w:eastAsia="Cambria"/>
          <w:b w:val="0"/>
          <w:i/>
          <w:color w:val="222222"/>
          <w:sz w:val="20"/>
        </w:rPr>
        <w:t>q</w:t>
      </w:r>
      <w:r>
        <w:rPr>
          <w:rFonts w:ascii="Cambria" w:hAnsi="Cambria" w:eastAsia="Cambria"/>
          <w:b w:val="0"/>
          <w:i w:val="0"/>
          <w:color w:val="222222"/>
          <w:sz w:val="20"/>
        </w:rPr>
        <w:t xml:space="preserve">ₖ is local validation quality, </w:t>
      </w:r>
      <w:r>
        <w:rPr>
          <w:rFonts w:ascii="Cambria" w:hAnsi="Cambria" w:eastAsia="Cambria"/>
          <w:b w:val="0"/>
          <w:i/>
          <w:color w:val="222222"/>
          <w:sz w:val="20"/>
        </w:rPr>
        <w:t>r</w:t>
      </w:r>
      <w:r>
        <w:rPr>
          <w:rFonts w:ascii="Cambria" w:hAnsi="Cambria" w:eastAsia="Cambria"/>
          <w:b w:val="0"/>
          <w:i w:val="0"/>
          <w:color w:val="222222"/>
          <w:sz w:val="20"/>
        </w:rPr>
        <w:t xml:space="preserve">ₖ is update-norm reliability, and </w:t>
      </w:r>
      <w:r>
        <w:rPr>
          <w:rFonts w:ascii="Cambria" w:hAnsi="Cambria" w:eastAsia="Cambria"/>
          <w:b w:val="0"/>
          <w:i/>
          <w:color w:val="222222"/>
          <w:sz w:val="20"/>
        </w:rPr>
        <w:t>b</w:t>
      </w:r>
      <w:r>
        <w:rPr>
          <w:rFonts w:ascii="Cambria" w:hAnsi="Cambria" w:eastAsia="Cambria"/>
          <w:b w:val="0"/>
          <w:i w:val="0"/>
          <w:color w:val="222222"/>
          <w:sz w:val="20"/>
        </w:rPr>
        <w:t xml:space="preserve">ₖ is a class-balance factor. The implementation uses α = 1.0, β = 0.5, γ = 0.5, quality floor 0.1, balance strength λ = 0.2, minimum normalized weight 0.01, and robust clipping of </w:t>
      </w:r>
      <w:r>
        <w:rPr>
          <w:rFonts w:ascii="Cambria" w:hAnsi="Cambria" w:eastAsia="Cambria"/>
          <w:b/>
          <w:i w:val="0"/>
          <w:color w:val="222222"/>
          <w:sz w:val="20"/>
        </w:rPr>
        <w:t>normalized client weights</w:t>
      </w:r>
      <w:r>
        <w:rPr>
          <w:rFonts w:ascii="Cambria" w:hAnsi="Cambria" w:eastAsia="Cambria"/>
          <w:b w:val="0"/>
          <w:i w:val="0"/>
          <w:color w:val="222222"/>
          <w:sz w:val="20"/>
        </w:rPr>
        <w:t xml:space="preserve"> at three times the mean weight.</w:t>
      </w:r>
    </w:p>
    <w:p>
      <w:pPr>
        <w:spacing w:after="100" w:line="264" w:lineRule="auto"/>
        <w:jc w:val="both"/>
      </w:pPr>
      <w:r>
        <w:rPr>
          <w:rFonts w:ascii="Cambria" w:hAnsi="Cambria" w:eastAsia="Cambria"/>
          <w:b w:val="0"/>
          <w:i w:val="0"/>
          <w:color w:val="222222"/>
          <w:sz w:val="20"/>
        </w:rPr>
        <w:t>Local quality is</w:t>
      </w:r>
    </w:p>
    <w:p>
      <w:pPr>
        <w:spacing w:before="40" w:after="100"/>
        <w:jc w:val="center"/>
      </w:pPr>
      <w:r>
        <w:rPr>
          <w:rFonts w:ascii="Cambria Math" w:hAnsi="Cambria Math" w:eastAsia="Cambria Math"/>
          <w:b w:val="0"/>
          <w:i w:val="0"/>
          <w:color w:val="222222"/>
          <w:sz w:val="21"/>
        </w:rPr>
        <w:t>qₖ = max(0.5 · F1ₖ + 0.5 · AUCₖ, q_min)</w:t>
      </w:r>
    </w:p>
    <w:p>
      <w:pPr>
        <w:spacing w:after="100" w:line="264" w:lineRule="auto"/>
        <w:jc w:val="both"/>
      </w:pPr>
      <w:r>
        <w:rPr>
          <w:rFonts w:ascii="Cambria" w:hAnsi="Cambria" w:eastAsia="Cambria"/>
          <w:b w:val="0"/>
          <w:i w:val="0"/>
          <w:color w:val="222222"/>
          <w:sz w:val="20"/>
        </w:rPr>
        <w:t xml:space="preserve">when both classes are present in the client’s local validation set; otherwise it is </w:t>
      </w:r>
      <w:r>
        <w:rPr>
          <w:rFonts w:ascii="Consolas" w:hAnsi="Consolas" w:eastAsia="Consolas"/>
          <w:b w:val="0"/>
          <w:i w:val="0"/>
          <w:color w:val="222222"/>
          <w:sz w:val="19"/>
        </w:rPr>
        <w:t>max(0.5, q_min)</w:t>
      </w:r>
      <w:r>
        <w:rPr>
          <w:rFonts w:ascii="Cambria" w:hAnsi="Cambria" w:eastAsia="Cambria"/>
          <w:b w:val="0"/>
          <w:i w:val="0"/>
          <w:color w:val="222222"/>
          <w:sz w:val="20"/>
        </w:rPr>
        <w:t>. The fallback is important: a client with no theft windows cannot have a meaningful local F1, and assigning it zero quality would discard a legitimate source of normal-behavior data. Reliability is</w:t>
      </w:r>
    </w:p>
    <w:p>
      <w:pPr>
        <w:spacing w:before="40" w:after="100"/>
        <w:jc w:val="center"/>
      </w:pPr>
      <w:r>
        <w:rPr>
          <w:rFonts w:ascii="Cambria Math" w:hAnsi="Cambria Math" w:eastAsia="Cambria Math"/>
          <w:b w:val="0"/>
          <w:i w:val="0"/>
          <w:color w:val="222222"/>
          <w:sz w:val="21"/>
        </w:rPr>
        <w:t>rₖ = exp(-| ||Δₖ|| / median(||Δ||) - 1 |),</w:t>
      </w:r>
    </w:p>
    <w:p>
      <w:pPr>
        <w:spacing w:after="100" w:line="264" w:lineRule="auto"/>
        <w:jc w:val="both"/>
      </w:pPr>
      <w:r>
        <w:rPr>
          <w:rFonts w:ascii="Cambria" w:hAnsi="Cambria" w:eastAsia="Cambria"/>
          <w:b w:val="0"/>
          <w:i w:val="0"/>
          <w:color w:val="222222"/>
          <w:sz w:val="20"/>
        </w:rPr>
        <w:t>which penalizes updates whose norm is far from the median. The balance factor is</w:t>
      </w:r>
    </w:p>
    <w:p>
      <w:pPr>
        <w:spacing w:before="40" w:after="100"/>
        <w:jc w:val="center"/>
      </w:pPr>
      <w:r>
        <w:rPr>
          <w:rFonts w:ascii="Cambria Math" w:hAnsi="Cambria Math" w:eastAsia="Cambria Math"/>
          <w:b w:val="0"/>
          <w:i w:val="0"/>
          <w:color w:val="222222"/>
          <w:sz w:val="21"/>
        </w:rPr>
        <w:t>bₖ = (1 - λ) + λ · 2√(pₖ(1 - pₖ)),</w:t>
      </w:r>
    </w:p>
    <w:p>
      <w:pPr>
        <w:spacing w:after="100" w:line="264" w:lineRule="auto"/>
        <w:jc w:val="both"/>
      </w:pPr>
      <w:r>
        <w:rPr>
          <w:rFonts w:ascii="Cambria" w:hAnsi="Cambria" w:eastAsia="Cambria"/>
          <w:b w:val="0"/>
          <w:i w:val="0"/>
          <w:color w:val="222222"/>
          <w:sz w:val="20"/>
        </w:rPr>
        <w:t xml:space="preserve">where </w:t>
      </w:r>
      <w:r>
        <w:rPr>
          <w:rFonts w:ascii="Cambria" w:hAnsi="Cambria" w:eastAsia="Cambria"/>
          <w:b w:val="0"/>
          <w:i/>
          <w:color w:val="222222"/>
          <w:sz w:val="20"/>
        </w:rPr>
        <w:t>p</w:t>
      </w:r>
      <w:r>
        <w:rPr>
          <w:rFonts w:ascii="Cambria" w:hAnsi="Cambria" w:eastAsia="Cambria"/>
          <w:b w:val="0"/>
          <w:i w:val="0"/>
          <w:color w:val="222222"/>
          <w:sz w:val="20"/>
        </w:rPr>
        <w:t>ₖ is the client’s local theft ratio. A client with no theft windows receives the lowest balance factor, but is not removed. The resulting weights are normalized and floored.</w:t>
      </w:r>
    </w:p>
    <w:p>
      <w:pPr>
        <w:pStyle w:val="Heading2"/>
      </w:pPr>
      <w:r>
        <w:rPr>
          <w:rFonts w:ascii="Cambria" w:hAnsi="Cambria" w:eastAsia="Cambria"/>
          <w:b/>
          <w:i w:val="0"/>
          <w:color w:val="2E5C8A"/>
          <w:sz w:val="22"/>
        </w:rPr>
        <w:t>3.7 Privacy Layer</w:t>
      </w:r>
    </w:p>
    <w:p>
      <w:pPr>
        <w:spacing w:after="100" w:line="264" w:lineRule="auto"/>
        <w:jc w:val="both"/>
      </w:pPr>
      <w:r>
        <w:rPr>
          <w:rFonts w:ascii="Cambria" w:hAnsi="Cambria" w:eastAsia="Cambria"/>
          <w:b w:val="0"/>
          <w:i w:val="0"/>
          <w:color w:val="222222"/>
          <w:sz w:val="20"/>
        </w:rPr>
        <w:t>For each client update Δₖ, the privacy layer first performs L2 clipping:</w:t>
      </w:r>
    </w:p>
    <w:p>
      <w:pPr>
        <w:spacing w:before="40" w:after="100"/>
        <w:jc w:val="center"/>
      </w:pPr>
      <w:r>
        <w:rPr>
          <w:rFonts w:ascii="Cambria Math" w:hAnsi="Cambria Math" w:eastAsia="Cambria Math"/>
          <w:b w:val="0"/>
          <w:i w:val="0"/>
          <w:color w:val="222222"/>
          <w:sz w:val="21"/>
        </w:rPr>
        <w:t>Δ′ₖ = Δₖ · min(1, C / ||Δₖ||₂),</w:t>
      </w:r>
    </w:p>
    <w:p>
      <w:pPr>
        <w:spacing w:after="100" w:line="264" w:lineRule="auto"/>
        <w:jc w:val="both"/>
      </w:pPr>
      <w:r>
        <w:rPr>
          <w:rFonts w:ascii="Cambria" w:hAnsi="Cambria" w:eastAsia="Cambria"/>
          <w:b w:val="0"/>
          <w:i w:val="0"/>
          <w:color w:val="222222"/>
          <w:sz w:val="20"/>
        </w:rPr>
        <w:t>with C = 1.0. It then adds element-wise Gaussian noise:</w:t>
      </w:r>
    </w:p>
    <w:p>
      <w:pPr>
        <w:spacing w:before="40" w:after="100"/>
        <w:jc w:val="center"/>
      </w:pPr>
      <w:r>
        <w:rPr>
          <w:rFonts w:ascii="Cambria Math" w:hAnsi="Cambria Math" w:eastAsia="Cambria Math"/>
          <w:b w:val="0"/>
          <w:i w:val="0"/>
          <w:color w:val="222222"/>
          <w:sz w:val="21"/>
        </w:rPr>
        <w:t>Δ̃ₖ = Δ′ₖ + N(0, σ²C²I),</w:t>
      </w:r>
    </w:p>
    <w:p>
      <w:pPr>
        <w:spacing w:after="100" w:line="264" w:lineRule="auto"/>
        <w:jc w:val="both"/>
      </w:pPr>
      <w:r>
        <w:rPr>
          <w:rFonts w:ascii="Cambria" w:hAnsi="Cambria" w:eastAsia="Cambria"/>
          <w:b w:val="0"/>
          <w:i w:val="0"/>
          <w:color w:val="222222"/>
          <w:sz w:val="20"/>
        </w:rPr>
        <w:t>with σ = 0.001 and δ = 10⁻⁵. The server receives Δ̃ₖ, not the raw update. The code reports a single-release Gaussian-mechanism estimate</w:t>
      </w:r>
    </w:p>
    <w:p>
      <w:pPr>
        <w:spacing w:before="40" w:after="100"/>
        <w:jc w:val="center"/>
      </w:pPr>
      <w:r>
        <w:rPr>
          <w:rFonts w:ascii="Cambria Math" w:hAnsi="Cambria Math" w:eastAsia="Cambria Math"/>
          <w:b w:val="0"/>
          <w:i w:val="0"/>
          <w:color w:val="222222"/>
          <w:sz w:val="21"/>
        </w:rPr>
        <w:t>ε ≈ √(2 ln(1.25/δ)) / σ.</w:t>
      </w:r>
    </w:p>
    <w:p>
      <w:pPr>
        <w:spacing w:after="100" w:line="264" w:lineRule="auto"/>
        <w:jc w:val="both"/>
      </w:pPr>
      <w:r>
        <w:rPr>
          <w:rFonts w:ascii="Cambria" w:hAnsi="Cambria" w:eastAsia="Cambria"/>
          <w:b w:val="0"/>
          <w:i w:val="0"/>
          <w:color w:val="222222"/>
          <w:sz w:val="20"/>
        </w:rPr>
        <w:t xml:space="preserve">This estimate is descriptive. It does not account for composition over eight rounds, client sampling, or the fact that secure aggregation is disabled. Formal accounting would require a composition mechanism such as Rényi differential privacy [26] together with an explicit threat model. The paper therefore does </w:t>
      </w:r>
      <w:r>
        <w:rPr>
          <w:rFonts w:ascii="Cambria" w:hAnsi="Cambria" w:eastAsia="Cambria"/>
          <w:b/>
          <w:i w:val="0"/>
          <w:color w:val="222222"/>
          <w:sz w:val="20"/>
        </w:rPr>
        <w:t>not</w:t>
      </w:r>
      <w:r>
        <w:rPr>
          <w:rFonts w:ascii="Cambria" w:hAnsi="Cambria" w:eastAsia="Cambria"/>
          <w:b w:val="0"/>
          <w:i w:val="0"/>
          <w:color w:val="222222"/>
          <w:sz w:val="20"/>
        </w:rPr>
        <w:t xml:space="preserve"> claim that the full training procedure satisfies (ε, δ)-DP. The reported ε values are useful mainly for showing how weak the perturbation is at σ = 0.001: the estimates are in the thousands, not in a regime that would support a meaningful formal guarantee.</w:t>
      </w:r>
    </w:p>
    <w:p>
      <w:pPr>
        <w:spacing w:after="100" w:line="264" w:lineRule="auto"/>
        <w:jc w:val="both"/>
      </w:pPr>
      <w:r>
        <w:rPr>
          <w:rFonts w:ascii="Cambria" w:hAnsi="Cambria" w:eastAsia="Cambria"/>
          <w:b w:val="0"/>
          <w:i w:val="0"/>
          <w:color w:val="222222"/>
          <w:sz w:val="20"/>
        </w:rPr>
        <w:t>Secure aggregation is implemented as a simulated additive-masking demonstration. It is disabled in the main run and in all reported sweeps. No production cryptographic protocol is used, and the server is assumed to observe individual perturbed updates.</w:t>
      </w:r>
    </w:p>
    <w:p>
      <w:pPr>
        <w:pStyle w:val="Heading2"/>
      </w:pPr>
      <w:r>
        <w:rPr>
          <w:rFonts w:ascii="Cambria" w:hAnsi="Cambria" w:eastAsia="Cambria"/>
          <w:b/>
          <w:i w:val="0"/>
          <w:color w:val="2E5C8A"/>
          <w:sz w:val="22"/>
        </w:rPr>
        <w:t>3.8 Communication Layer</w:t>
      </w:r>
    </w:p>
    <w:p>
      <w:pPr>
        <w:spacing w:after="100" w:line="264" w:lineRule="auto"/>
        <w:jc w:val="both"/>
      </w:pPr>
      <w:r>
        <w:rPr>
          <w:rFonts w:ascii="Cambria" w:hAnsi="Cambria" w:eastAsia="Cambria"/>
          <w:b w:val="0"/>
          <w:i w:val="0"/>
          <w:color w:val="222222"/>
          <w:sz w:val="20"/>
        </w:rPr>
        <w:t>The communication layer supports four modes: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None:</w:t>
      </w:r>
      <w:r>
        <w:rPr>
          <w:rFonts w:ascii="Cambria" w:hAnsi="Cambria" w:eastAsia="Cambria"/>
          <w:b w:val="0"/>
          <w:i w:val="0"/>
          <w:color w:val="222222"/>
          <w:sz w:val="20"/>
        </w:rPr>
        <w:t xml:space="preserve"> float32 tensors with a small header.</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Int8 quantization:</w:t>
      </w:r>
      <w:r>
        <w:rPr>
          <w:rFonts w:ascii="Cambria" w:hAnsi="Cambria" w:eastAsia="Cambria"/>
          <w:b w:val="0"/>
          <w:i w:val="0"/>
          <w:color w:val="222222"/>
          <w:sz w:val="20"/>
        </w:rPr>
        <w:t xml:space="preserve"> symmetric per-tensor quantization with a scale and zero-point-free representation.</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Top-k:</w:t>
      </w:r>
      <w:r>
        <w:rPr>
          <w:rFonts w:ascii="Cambria" w:hAnsi="Cambria" w:eastAsia="Cambria"/>
          <w:b w:val="0"/>
          <w:i w:val="0"/>
          <w:color w:val="222222"/>
          <w:sz w:val="20"/>
        </w:rPr>
        <w:t xml:space="preserve"> keep the largest 20% of coordinates by magnitude, transmit values plus int32 indices.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Top-k + int8:</w:t>
      </w:r>
      <w:r>
        <w:rPr>
          <w:rFonts w:ascii="Cambria" w:hAnsi="Cambria" w:eastAsia="Cambria"/>
          <w:b w:val="0"/>
          <w:i w:val="0"/>
          <w:color w:val="222222"/>
          <w:sz w:val="20"/>
        </w:rPr>
        <w:t xml:space="preserve"> top-k selection followed by int8 quantization of the selected values.</w:t>
      </w:r>
    </w:p>
    <w:p>
      <w:pPr>
        <w:spacing w:after="100" w:line="264" w:lineRule="auto"/>
        <w:jc w:val="both"/>
      </w:pPr>
      <w:r>
        <w:rPr>
          <w:rFonts w:ascii="Cambria" w:hAnsi="Cambria" w:eastAsia="Cambria"/>
          <w:b w:val="0"/>
          <w:i w:val="0"/>
          <w:color w:val="222222"/>
          <w:sz w:val="20"/>
        </w:rPr>
        <w:t>For int8 quantization, each tensor uses</w:t>
      </w:r>
    </w:p>
    <w:p>
      <w:pPr>
        <w:spacing w:before="40" w:after="100"/>
        <w:jc w:val="center"/>
      </w:pPr>
      <w:r>
        <w:rPr>
          <w:rFonts w:ascii="Cambria Math" w:hAnsi="Cambria Math" w:eastAsia="Cambria Math"/>
          <w:b w:val="0"/>
          <w:i w:val="0"/>
          <w:color w:val="222222"/>
          <w:sz w:val="21"/>
        </w:rPr>
        <w:t>q = round(v / s), s = max|v| / 127,</w:t>
      </w:r>
    </w:p>
    <w:p>
      <w:pPr>
        <w:spacing w:after="100" w:line="264" w:lineRule="auto"/>
        <w:jc w:val="both"/>
      </w:pPr>
      <w:r>
        <w:rPr>
          <w:rFonts w:ascii="Cambria" w:hAnsi="Cambria" w:eastAsia="Cambria"/>
          <w:b w:val="0"/>
          <w:i w:val="0"/>
          <w:color w:val="222222"/>
          <w:sz w:val="20"/>
        </w:rPr>
        <w:t xml:space="preserve">where </w:t>
      </w:r>
      <w:r>
        <w:rPr>
          <w:rFonts w:ascii="Cambria" w:hAnsi="Cambria" w:eastAsia="Cambria"/>
          <w:b w:val="0"/>
          <w:i/>
          <w:color w:val="222222"/>
          <w:sz w:val="20"/>
        </w:rPr>
        <w:t>s</w:t>
      </w:r>
      <w:r>
        <w:rPr>
          <w:rFonts w:ascii="Cambria" w:hAnsi="Cambria" w:eastAsia="Cambria"/>
          <w:b w:val="0"/>
          <w:i w:val="0"/>
          <w:color w:val="222222"/>
          <w:sz w:val="20"/>
        </w:rPr>
        <w:t xml:space="preserve"> is transmitted as metadata. The default PowerShield-FL configuration uses dense int8 quantization for both client uploads and server broadcasts. Payload sizes are measured from the actual serialized byte streams, including per-tensor headers and top-k indices. They are not estimated from the number of parameters.</w:t>
      </w:r>
    </w:p>
    <w:p>
      <w:pPr>
        <w:pStyle w:val="Heading2"/>
      </w:pPr>
      <w:r>
        <w:rPr>
          <w:rFonts w:ascii="Cambria" w:hAnsi="Cambria" w:eastAsia="Cambria"/>
          <w:b/>
          <w:i w:val="0"/>
          <w:color w:val="2E5C8A"/>
          <w:sz w:val="22"/>
        </w:rPr>
        <w:t>3.9 Detection and Consumer-Level Aggregation</w:t>
      </w:r>
    </w:p>
    <w:p>
      <w:pPr>
        <w:spacing w:after="100" w:line="264" w:lineRule="auto"/>
        <w:jc w:val="both"/>
      </w:pPr>
      <w:r>
        <w:rPr>
          <w:rFonts w:ascii="Cambria" w:hAnsi="Cambria" w:eastAsia="Cambria"/>
          <w:b w:val="0"/>
          <w:i w:val="0"/>
          <w:color w:val="222222"/>
          <w:sz w:val="20"/>
        </w:rPr>
        <w:t xml:space="preserve">The window-level decision threshold is selected on the server validation set from the grid 0.05, 0.10, …, 0.95 by maximizing validation F1. The selected threshold is then frozen and applied once to the held-out test consumers. For interpretation, predictions within ±0.15 of the threshold are labelled </w:t>
      </w:r>
      <w:r>
        <w:rPr>
          <w:rFonts w:ascii="Consolas" w:hAnsi="Consolas" w:eastAsia="Consolas"/>
          <w:b w:val="0"/>
          <w:i w:val="0"/>
          <w:color w:val="222222"/>
          <w:sz w:val="19"/>
        </w:rPr>
        <w:t>UNCERTAIN</w:t>
      </w:r>
      <w:r>
        <w:rPr>
          <w:rFonts w:ascii="Cambria" w:hAnsi="Cambria" w:eastAsia="Cambria"/>
          <w:b w:val="0"/>
          <w:i w:val="0"/>
          <w:color w:val="222222"/>
          <w:sz w:val="20"/>
        </w:rPr>
        <w:t xml:space="preserve">; otherwise they are </w:t>
      </w:r>
      <w:r>
        <w:rPr>
          <w:rFonts w:ascii="Consolas" w:hAnsi="Consolas" w:eastAsia="Consolas"/>
          <w:b w:val="0"/>
          <w:i w:val="0"/>
          <w:color w:val="222222"/>
          <w:sz w:val="19"/>
        </w:rPr>
        <w:t>NORMAL</w:t>
      </w:r>
      <w:r>
        <w:rPr>
          <w:rFonts w:ascii="Cambria" w:hAnsi="Cambria" w:eastAsia="Cambria"/>
          <w:b w:val="0"/>
          <w:i w:val="0"/>
          <w:color w:val="222222"/>
          <w:sz w:val="20"/>
        </w:rPr>
        <w:t xml:space="preserve"> or </w:t>
      </w:r>
      <w:r>
        <w:rPr>
          <w:rFonts w:ascii="Consolas" w:hAnsi="Consolas" w:eastAsia="Consolas"/>
          <w:b w:val="0"/>
          <w:i w:val="0"/>
          <w:color w:val="222222"/>
          <w:sz w:val="19"/>
        </w:rPr>
        <w:t>POTENTIAL_THEFT</w:t>
      </w:r>
      <w:r>
        <w:rPr>
          <w:rFonts w:ascii="Cambria" w:hAnsi="Cambria" w:eastAsia="Cambria"/>
          <w:b w:val="0"/>
          <w:i w:val="0"/>
          <w:color w:val="222222"/>
          <w:sz w:val="20"/>
        </w:rPr>
        <w:t>.</w:t>
      </w:r>
    </w:p>
    <w:p>
      <w:pPr>
        <w:spacing w:after="100" w:line="264" w:lineRule="auto"/>
        <w:jc w:val="both"/>
      </w:pPr>
      <w:r>
        <w:rPr>
          <w:rFonts w:ascii="Cambria" w:hAnsi="Cambria" w:eastAsia="Cambria"/>
          <w:b w:val="0"/>
          <w:i w:val="0"/>
          <w:color w:val="222222"/>
          <w:sz w:val="20"/>
        </w:rPr>
        <w:t>The consumer-level diagnostic is deliberately simple: for each test consumer, average the predicted window probabilities and threshold the mean at 0.5. This is the metric reported in the paper. It is not tuned on validation consumers. The project also contains a positive-window-ratio verdict rule for operational postprocessing, but that rule is not the metric used in the consumer-level table. This distinction matters because the choice of consumer aggregation rule can change the apparent deployment performance.</w:t>
      </w:r>
    </w:p>
    <w:p>
      <w:pPr>
        <w:pStyle w:val="Heading2"/>
      </w:pPr>
      <w:r>
        <w:rPr>
          <w:rFonts w:ascii="Cambria" w:hAnsi="Cambria" w:eastAsia="Cambria"/>
          <w:b/>
          <w:i w:val="0"/>
          <w:color w:val="2E5C8A"/>
          <w:sz w:val="22"/>
        </w:rPr>
        <w:t>3.10 Explainability</w:t>
      </w:r>
    </w:p>
    <w:p>
      <w:pPr>
        <w:spacing w:after="100" w:line="264" w:lineRule="auto"/>
        <w:jc w:val="both"/>
      </w:pPr>
      <w:r>
        <w:rPr>
          <w:rFonts w:ascii="Cambria" w:hAnsi="Cambria" w:eastAsia="Cambria"/>
          <w:b w:val="0"/>
          <w:i w:val="0"/>
          <w:color w:val="222222"/>
          <w:sz w:val="20"/>
        </w:rPr>
        <w:t>Three complementary tools are applied to the final global model:</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Permutation importance:</w:t>
      </w:r>
      <w:r>
        <w:rPr>
          <w:rFonts w:ascii="Cambria" w:hAnsi="Cambria" w:eastAsia="Cambria"/>
          <w:b w:val="0"/>
          <w:i w:val="0"/>
          <w:color w:val="222222"/>
          <w:sz w:val="20"/>
        </w:rPr>
        <w:t xml:space="preserve"> shuffle one feature at a time, measure the drop in ROC-AUC, and repeat five times over 1,500 test windows.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SHAP:</w:t>
      </w:r>
      <w:r>
        <w:rPr>
          <w:rFonts w:ascii="Cambria" w:hAnsi="Cambria" w:eastAsia="Cambria"/>
          <w:b w:val="0"/>
          <w:i w:val="0"/>
          <w:color w:val="222222"/>
          <w:sz w:val="20"/>
        </w:rPr>
        <w:t xml:space="preserve"> KernelExplainer with 40 test windows, a 30-row background sample, and 100 evaluation samples.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Gradient × input:</w:t>
      </w:r>
      <w:r>
        <w:rPr>
          <w:rFonts w:ascii="Cambria" w:hAnsi="Cambria" w:eastAsia="Cambria"/>
          <w:b w:val="0"/>
          <w:i w:val="0"/>
          <w:color w:val="222222"/>
          <w:sz w:val="20"/>
        </w:rPr>
        <w:t xml:space="preserve"> local attributions for 10 correctly classified windows.</w:t>
      </w:r>
    </w:p>
    <w:p>
      <w:pPr>
        <w:spacing w:after="100" w:line="264" w:lineRule="auto"/>
        <w:jc w:val="both"/>
      </w:pPr>
      <w:r>
        <w:rPr>
          <w:rFonts w:ascii="Cambria" w:hAnsi="Cambria" w:eastAsia="Cambria"/>
          <w:b w:val="0"/>
          <w:i w:val="0"/>
          <w:color w:val="222222"/>
          <w:sz w:val="20"/>
        </w:rPr>
        <w:t>These methods answer different questions. Permutation importance measures model reliance at the dataset level; SHAP gives additive local attributions; gradient × input gives a first-order sensitivity view. None establishes causality.</w:t>
      </w:r>
    </w:p>
    <w:p>
      <w:pPr>
        <w:pStyle w:val="Heading1"/>
        <w:pBdr>
          <w:bottom w:val="single" w:sz="8" w:space="2" w:color="D9E2F3"/>
        </w:pBdr>
      </w:pPr>
      <w:r>
        <w:rPr>
          <w:rFonts w:ascii="Cambria" w:hAnsi="Cambria" w:eastAsia="Cambria"/>
          <w:b/>
          <w:i w:val="0"/>
          <w:color w:val="1F3864"/>
          <w:sz w:val="26"/>
        </w:rPr>
        <w:t>4. Experimental Setup</w:t>
      </w:r>
    </w:p>
    <w:p>
      <w:pPr>
        <w:pStyle w:val="Heading2"/>
      </w:pPr>
      <w:r>
        <w:rPr>
          <w:rFonts w:ascii="Cambria" w:hAnsi="Cambria" w:eastAsia="Cambria"/>
          <w:b/>
          <w:i w:val="0"/>
          <w:color w:val="2E5C8A"/>
          <w:sz w:val="22"/>
        </w:rPr>
        <w:t>4.1 Data and Splits</w:t>
      </w:r>
    </w:p>
    <w:p>
      <w:pPr>
        <w:spacing w:after="100" w:line="264" w:lineRule="auto"/>
        <w:jc w:val="both"/>
      </w:pPr>
      <w:r>
        <w:rPr>
          <w:rFonts w:ascii="Cambria" w:hAnsi="Cambria" w:eastAsia="Cambria"/>
          <w:b w:val="0"/>
          <w:i w:val="0"/>
          <w:color w:val="222222"/>
          <w:sz w:val="20"/>
        </w:rPr>
        <w:t xml:space="preserve">Table 1 summarizes the synthetic dataset. The benchmark is generated from seed 42 and is labelled </w:t>
      </w:r>
      <w:r>
        <w:rPr>
          <w:rFonts w:ascii="Cambria" w:hAnsi="Cambria" w:eastAsia="Cambria"/>
          <w:b/>
          <w:i w:val="0"/>
          <w:color w:val="222222"/>
          <w:sz w:val="20"/>
        </w:rPr>
        <w:t>SYNTHETIC DEMO DATA</w:t>
      </w:r>
      <w:r>
        <w:rPr>
          <w:rFonts w:ascii="Cambria" w:hAnsi="Cambria" w:eastAsia="Cambria"/>
          <w:b w:val="0"/>
          <w:i w:val="0"/>
          <w:color w:val="222222"/>
          <w:sz w:val="20"/>
        </w:rPr>
        <w:t xml:space="preserve"> in every artifact. It contains 2,073,600 raw rows, 4,244 missing values, and zero duplicate rows. The 240 consumers are split into 156 training, 36 validation, and 48 test consumers. The training split is used for client partitioning; the validation split is held by the server; the test split is untouched until final evaluation.</w:t>
      </w:r>
    </w:p>
    <w:p>
      <w:pPr>
        <w:keepNext/>
        <w:spacing w:before="140" w:after="60" w:line="240" w:lineRule="auto"/>
        <w:jc w:val="left"/>
      </w:pPr>
      <w:r>
        <w:rPr>
          <w:rFonts w:ascii="Cambria" w:hAnsi="Cambria" w:eastAsia="Cambria"/>
          <w:b/>
          <w:i w:val="0"/>
          <w:color w:val="1F3864"/>
          <w:sz w:val="18"/>
        </w:rPr>
        <w:t>Table 1. Synthetic dataset and split summary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4295"/>
        <w:gridCol w:w="1074"/>
        <w:gridCol w:w="2147"/>
        <w:gridCol w:w="1074"/>
        <w:gridCol w:w="1288"/>
      </w:tblGrid>
      <w:tr>
        <w:trPr>
          <w:tblHeader w:val="true"/>
          <w:cantSplit/>
        </w:trPr>
        <w:tc>
          <w:tcPr>
            <w:tcW w:type="dxa" w:w="4295"/>
            <w:vAlign w:val="center"/>
            <w:shd w:val="clear" w:color="auto" w:fill="1F3864"/>
          </w:tcPr>
          <w:p>
            <w:pPr>
              <w:spacing w:after="0" w:line="240" w:lineRule="auto"/>
              <w:jc w:val="left"/>
            </w:pPr>
            <w:r>
              <w:rPr>
                <w:rFonts w:ascii="Cambria" w:hAnsi="Cambria" w:eastAsia="Cambria"/>
                <w:b/>
                <w:i w:val="0"/>
                <w:color w:val="FFFFFF"/>
                <w:sz w:val="16"/>
              </w:rPr>
              <w:t>Item</w:t>
            </w:r>
          </w:p>
        </w:tc>
        <w:tc>
          <w:tcPr>
            <w:tcW w:type="dxa" w:w="1074"/>
            <w:vAlign w:val="center"/>
            <w:shd w:val="clear" w:color="auto" w:fill="1F3864"/>
          </w:tcPr>
          <w:p>
            <w:pPr>
              <w:spacing w:after="0" w:line="240" w:lineRule="auto"/>
              <w:jc w:val="center"/>
            </w:pPr>
            <w:r>
              <w:rPr>
                <w:rFonts w:ascii="Cambria" w:hAnsi="Cambria" w:eastAsia="Cambria"/>
                <w:b/>
                <w:i w:val="0"/>
                <w:color w:val="FFFFFF"/>
                <w:sz w:val="16"/>
              </w:rPr>
              <w:t>Train</w:t>
            </w:r>
          </w:p>
        </w:tc>
        <w:tc>
          <w:tcPr>
            <w:tcW w:type="dxa" w:w="2147"/>
            <w:vAlign w:val="center"/>
            <w:shd w:val="clear" w:color="auto" w:fill="1F3864"/>
          </w:tcPr>
          <w:p>
            <w:pPr>
              <w:spacing w:after="0" w:line="240" w:lineRule="auto"/>
              <w:jc w:val="center"/>
            </w:pPr>
            <w:r>
              <w:rPr>
                <w:rFonts w:ascii="Cambria" w:hAnsi="Cambria" w:eastAsia="Cambria"/>
                <w:b/>
                <w:i w:val="0"/>
                <w:color w:val="FFFFFF"/>
                <w:sz w:val="16"/>
              </w:rPr>
              <w:t>Validation</w:t>
            </w:r>
          </w:p>
        </w:tc>
        <w:tc>
          <w:tcPr>
            <w:tcW w:type="dxa" w:w="1074"/>
            <w:vAlign w:val="center"/>
            <w:shd w:val="clear" w:color="auto" w:fill="1F3864"/>
          </w:tcPr>
          <w:p>
            <w:pPr>
              <w:spacing w:after="0" w:line="240" w:lineRule="auto"/>
              <w:jc w:val="center"/>
            </w:pPr>
            <w:r>
              <w:rPr>
                <w:rFonts w:ascii="Cambria" w:hAnsi="Cambria" w:eastAsia="Cambria"/>
                <w:b/>
                <w:i w:val="0"/>
                <w:color w:val="FFFFFF"/>
                <w:sz w:val="16"/>
              </w:rPr>
              <w:t>Test</w:t>
            </w:r>
          </w:p>
        </w:tc>
        <w:tc>
          <w:tcPr>
            <w:tcW w:type="dxa" w:w="1288"/>
            <w:vAlign w:val="center"/>
            <w:shd w:val="clear" w:color="auto" w:fill="1F3864"/>
          </w:tcPr>
          <w:p>
            <w:pPr>
              <w:spacing w:after="0" w:line="240" w:lineRule="auto"/>
              <w:jc w:val="center"/>
            </w:pPr>
            <w:r>
              <w:rPr>
                <w:rFonts w:ascii="Cambria" w:hAnsi="Cambria" w:eastAsia="Cambria"/>
                <w:b/>
                <w:i w:val="0"/>
                <w:color w:val="FFFFFF"/>
                <w:sz w:val="16"/>
              </w:rPr>
              <w:t>Total</w:t>
            </w:r>
          </w:p>
        </w:tc>
      </w:tr>
      <w:tr>
        <w:trPr>
          <w:cantSplit/>
        </w:trPr>
        <w:tc>
          <w:tcPr>
            <w:tcW w:type="dxa" w:w="4295"/>
            <w:vAlign w:val="center"/>
          </w:tcPr>
          <w:p>
            <w:pPr>
              <w:spacing w:after="0" w:line="240" w:lineRule="auto"/>
              <w:jc w:val="left"/>
            </w:pPr>
            <w:r>
              <w:rPr>
                <w:rFonts w:ascii="Cambria" w:hAnsi="Cambria" w:eastAsia="Cambria"/>
                <w:b w:val="0"/>
                <w:i w:val="0"/>
                <w:color w:val="222222"/>
                <w:sz w:val="16"/>
              </w:rPr>
              <w:t>Consumers</w:t>
            </w:r>
          </w:p>
        </w:tc>
        <w:tc>
          <w:tcPr>
            <w:tcW w:type="dxa" w:w="1074"/>
            <w:vAlign w:val="center"/>
          </w:tcPr>
          <w:p>
            <w:pPr>
              <w:spacing w:after="0" w:line="240" w:lineRule="auto"/>
              <w:jc w:val="left"/>
            </w:pPr>
            <w:r>
              <w:rPr>
                <w:rFonts w:ascii="Cambria" w:hAnsi="Cambria" w:eastAsia="Cambria"/>
                <w:b w:val="0"/>
                <w:i w:val="0"/>
                <w:color w:val="222222"/>
                <w:sz w:val="16"/>
              </w:rPr>
              <w:t>156</w:t>
            </w:r>
          </w:p>
        </w:tc>
        <w:tc>
          <w:tcPr>
            <w:tcW w:type="dxa" w:w="2147"/>
            <w:vAlign w:val="center"/>
          </w:tcPr>
          <w:p>
            <w:pPr>
              <w:spacing w:after="0" w:line="240" w:lineRule="auto"/>
              <w:jc w:val="left"/>
            </w:pPr>
            <w:r>
              <w:rPr>
                <w:rFonts w:ascii="Cambria" w:hAnsi="Cambria" w:eastAsia="Cambria"/>
                <w:b w:val="0"/>
                <w:i w:val="0"/>
                <w:color w:val="222222"/>
                <w:sz w:val="16"/>
              </w:rPr>
              <w:t>36</w:t>
            </w:r>
          </w:p>
        </w:tc>
        <w:tc>
          <w:tcPr>
            <w:tcW w:type="dxa" w:w="1074"/>
            <w:vAlign w:val="center"/>
          </w:tcPr>
          <w:p>
            <w:pPr>
              <w:spacing w:after="0" w:line="240" w:lineRule="auto"/>
              <w:jc w:val="left"/>
            </w:pPr>
            <w:r>
              <w:rPr>
                <w:rFonts w:ascii="Cambria" w:hAnsi="Cambria" w:eastAsia="Cambria"/>
                <w:b w:val="0"/>
                <w:i w:val="0"/>
                <w:color w:val="222222"/>
                <w:sz w:val="16"/>
              </w:rPr>
              <w:t>48</w:t>
            </w:r>
          </w:p>
        </w:tc>
        <w:tc>
          <w:tcPr>
            <w:tcW w:type="dxa" w:w="1288"/>
            <w:vAlign w:val="center"/>
          </w:tcPr>
          <w:p>
            <w:pPr>
              <w:spacing w:after="0" w:line="240" w:lineRule="auto"/>
              <w:jc w:val="left"/>
            </w:pPr>
            <w:r>
              <w:rPr>
                <w:rFonts w:ascii="Cambria" w:hAnsi="Cambria" w:eastAsia="Cambria"/>
                <w:b w:val="0"/>
                <w:i w:val="0"/>
                <w:color w:val="222222"/>
                <w:sz w:val="16"/>
              </w:rPr>
              <w:t>240</w:t>
            </w:r>
          </w:p>
        </w:tc>
      </w:tr>
      <w:tr>
        <w:trPr>
          <w:cantSplit/>
        </w:trPr>
        <w:tc>
          <w:tcPr>
            <w:tcW w:type="dxa" w:w="4295"/>
            <w:vAlign w:val="center"/>
            <w:shd w:val="clear" w:color="auto" w:fill="F2F5F9"/>
          </w:tcPr>
          <w:p>
            <w:pPr>
              <w:spacing w:after="0" w:line="240" w:lineRule="auto"/>
              <w:jc w:val="left"/>
            </w:pPr>
            <w:r>
              <w:rPr>
                <w:rFonts w:ascii="Cambria" w:hAnsi="Cambria" w:eastAsia="Cambria"/>
                <w:b w:val="0"/>
                <w:i w:val="0"/>
                <w:color w:val="222222"/>
                <w:sz w:val="16"/>
              </w:rPr>
              <w:t>Theft consumers</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24</w:t>
            </w:r>
          </w:p>
        </w:tc>
        <w:tc>
          <w:tcPr>
            <w:tcW w:type="dxa" w:w="2147"/>
            <w:vAlign w:val="center"/>
            <w:shd w:val="clear" w:color="auto" w:fill="F2F5F9"/>
          </w:tcPr>
          <w:p>
            <w:pPr>
              <w:spacing w:after="0" w:line="240" w:lineRule="auto"/>
              <w:jc w:val="left"/>
            </w:pPr>
            <w:r>
              <w:rPr>
                <w:rFonts w:ascii="Cambria" w:hAnsi="Cambria" w:eastAsia="Cambria"/>
                <w:b w:val="0"/>
                <w:i w:val="0"/>
                <w:color w:val="222222"/>
                <w:sz w:val="16"/>
              </w:rPr>
              <w:t>5</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7</w:t>
            </w:r>
          </w:p>
        </w:tc>
        <w:tc>
          <w:tcPr>
            <w:tcW w:type="dxa" w:w="1288"/>
            <w:vAlign w:val="center"/>
            <w:shd w:val="clear" w:color="auto" w:fill="F2F5F9"/>
          </w:tcPr>
          <w:p>
            <w:pPr>
              <w:spacing w:after="0" w:line="240" w:lineRule="auto"/>
              <w:jc w:val="left"/>
            </w:pPr>
            <w:r>
              <w:rPr>
                <w:rFonts w:ascii="Cambria" w:hAnsi="Cambria" w:eastAsia="Cambria"/>
                <w:b w:val="0"/>
                <w:i w:val="0"/>
                <w:color w:val="222222"/>
                <w:sz w:val="16"/>
              </w:rPr>
              <w:t>36</w:t>
            </w:r>
          </w:p>
        </w:tc>
      </w:tr>
      <w:tr>
        <w:trPr>
          <w:cantSplit/>
        </w:trPr>
        <w:tc>
          <w:tcPr>
            <w:tcW w:type="dxa" w:w="4295"/>
            <w:vAlign w:val="center"/>
          </w:tcPr>
          <w:p>
            <w:pPr>
              <w:spacing w:after="0" w:line="240" w:lineRule="auto"/>
              <w:jc w:val="left"/>
            </w:pPr>
            <w:r>
              <w:rPr>
                <w:rFonts w:ascii="Cambria" w:hAnsi="Cambria" w:eastAsia="Cambria"/>
                <w:b w:val="0"/>
                <w:i w:val="0"/>
                <w:color w:val="222222"/>
                <w:sz w:val="16"/>
              </w:rPr>
              <w:t>Windows</w:t>
            </w:r>
          </w:p>
        </w:tc>
        <w:tc>
          <w:tcPr>
            <w:tcW w:type="dxa" w:w="1074"/>
            <w:vAlign w:val="center"/>
          </w:tcPr>
          <w:p>
            <w:pPr>
              <w:spacing w:after="0" w:line="240" w:lineRule="auto"/>
              <w:jc w:val="left"/>
            </w:pPr>
            <w:r>
              <w:rPr>
                <w:rFonts w:ascii="Cambria" w:hAnsi="Cambria" w:eastAsia="Cambria"/>
                <w:b w:val="0"/>
                <w:i w:val="0"/>
                <w:color w:val="222222"/>
                <w:sz w:val="16"/>
              </w:rPr>
              <w:t>8,736</w:t>
            </w:r>
          </w:p>
        </w:tc>
        <w:tc>
          <w:tcPr>
            <w:tcW w:type="dxa" w:w="2147"/>
            <w:vAlign w:val="center"/>
          </w:tcPr>
          <w:p>
            <w:pPr>
              <w:spacing w:after="0" w:line="240" w:lineRule="auto"/>
              <w:jc w:val="left"/>
            </w:pPr>
            <w:r>
              <w:rPr>
                <w:rFonts w:ascii="Cambria" w:hAnsi="Cambria" w:eastAsia="Cambria"/>
                <w:b w:val="0"/>
                <w:i w:val="0"/>
                <w:color w:val="222222"/>
                <w:sz w:val="16"/>
              </w:rPr>
              <w:t>2,016</w:t>
            </w:r>
          </w:p>
        </w:tc>
        <w:tc>
          <w:tcPr>
            <w:tcW w:type="dxa" w:w="1074"/>
            <w:vAlign w:val="center"/>
          </w:tcPr>
          <w:p>
            <w:pPr>
              <w:spacing w:after="0" w:line="240" w:lineRule="auto"/>
              <w:jc w:val="left"/>
            </w:pPr>
            <w:r>
              <w:rPr>
                <w:rFonts w:ascii="Cambria" w:hAnsi="Cambria" w:eastAsia="Cambria"/>
                <w:b w:val="0"/>
                <w:i w:val="0"/>
                <w:color w:val="222222"/>
                <w:sz w:val="16"/>
              </w:rPr>
              <w:t>2,688</w:t>
            </w:r>
          </w:p>
        </w:tc>
        <w:tc>
          <w:tcPr>
            <w:tcW w:type="dxa" w:w="1288"/>
            <w:vAlign w:val="center"/>
          </w:tcPr>
          <w:p>
            <w:pPr>
              <w:spacing w:after="0" w:line="240" w:lineRule="auto"/>
              <w:jc w:val="left"/>
            </w:pPr>
            <w:r>
              <w:rPr>
                <w:rFonts w:ascii="Cambria" w:hAnsi="Cambria" w:eastAsia="Cambria"/>
                <w:b w:val="0"/>
                <w:i w:val="0"/>
                <w:color w:val="222222"/>
                <w:sz w:val="16"/>
              </w:rPr>
              <w:t>13,440</w:t>
            </w:r>
          </w:p>
        </w:tc>
      </w:tr>
      <w:tr>
        <w:trPr>
          <w:cantSplit/>
        </w:trPr>
        <w:tc>
          <w:tcPr>
            <w:tcW w:type="dxa" w:w="4295"/>
            <w:vAlign w:val="center"/>
            <w:shd w:val="clear" w:color="auto" w:fill="F2F5F9"/>
          </w:tcPr>
          <w:p>
            <w:pPr>
              <w:spacing w:after="0" w:line="240" w:lineRule="auto"/>
              <w:jc w:val="left"/>
            </w:pPr>
            <w:r>
              <w:rPr>
                <w:rFonts w:ascii="Cambria" w:hAnsi="Cambria" w:eastAsia="Cambria"/>
                <w:b w:val="0"/>
                <w:i w:val="0"/>
                <w:color w:val="222222"/>
                <w:sz w:val="16"/>
              </w:rPr>
              <w:t>Theft windows</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706</w:t>
            </w:r>
          </w:p>
        </w:tc>
        <w:tc>
          <w:tcPr>
            <w:tcW w:type="dxa" w:w="2147"/>
            <w:vAlign w:val="center"/>
            <w:shd w:val="clear" w:color="auto" w:fill="F2F5F9"/>
          </w:tcPr>
          <w:p>
            <w:pPr>
              <w:spacing w:after="0" w:line="240" w:lineRule="auto"/>
              <w:jc w:val="left"/>
            </w:pPr>
            <w:r>
              <w:rPr>
                <w:rFonts w:ascii="Cambria" w:hAnsi="Cambria" w:eastAsia="Cambria"/>
                <w:b w:val="0"/>
                <w:i w:val="0"/>
                <w:color w:val="222222"/>
                <w:sz w:val="16"/>
              </w:rPr>
              <w:t>176</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162</w:t>
            </w:r>
          </w:p>
        </w:tc>
        <w:tc>
          <w:tcPr>
            <w:tcW w:type="dxa" w:w="1288"/>
            <w:vAlign w:val="center"/>
            <w:shd w:val="clear" w:color="auto" w:fill="F2F5F9"/>
          </w:tcPr>
          <w:p>
            <w:pPr>
              <w:spacing w:after="0" w:line="240" w:lineRule="auto"/>
              <w:jc w:val="left"/>
            </w:pPr>
            <w:r>
              <w:rPr>
                <w:rFonts w:ascii="Cambria" w:hAnsi="Cambria" w:eastAsia="Cambria"/>
                <w:b w:val="0"/>
                <w:i w:val="0"/>
                <w:color w:val="222222"/>
                <w:sz w:val="16"/>
              </w:rPr>
              <w:t>1,044</w:t>
            </w:r>
          </w:p>
        </w:tc>
      </w:tr>
      <w:tr>
        <w:trPr>
          <w:cantSplit/>
        </w:trPr>
        <w:tc>
          <w:tcPr>
            <w:tcW w:type="dxa" w:w="4295"/>
            <w:vAlign w:val="center"/>
          </w:tcPr>
          <w:p>
            <w:pPr>
              <w:spacing w:after="0" w:line="240" w:lineRule="auto"/>
              <w:jc w:val="left"/>
            </w:pPr>
            <w:r>
              <w:rPr>
                <w:rFonts w:ascii="Cambria" w:hAnsi="Cambria" w:eastAsia="Cambria"/>
                <w:b w:val="0"/>
                <w:i w:val="0"/>
                <w:color w:val="222222"/>
                <w:sz w:val="16"/>
              </w:rPr>
              <w:t>Theft ratio</w:t>
            </w:r>
          </w:p>
        </w:tc>
        <w:tc>
          <w:tcPr>
            <w:tcW w:type="dxa" w:w="1074"/>
            <w:vAlign w:val="center"/>
          </w:tcPr>
          <w:p>
            <w:pPr>
              <w:spacing w:after="0" w:line="240" w:lineRule="auto"/>
              <w:jc w:val="left"/>
            </w:pPr>
            <w:r>
              <w:rPr>
                <w:rFonts w:ascii="Cambria" w:hAnsi="Cambria" w:eastAsia="Cambria"/>
                <w:b w:val="0"/>
                <w:i w:val="0"/>
                <w:color w:val="222222"/>
                <w:sz w:val="16"/>
              </w:rPr>
              <w:t>8.08%</w:t>
            </w:r>
          </w:p>
        </w:tc>
        <w:tc>
          <w:tcPr>
            <w:tcW w:type="dxa" w:w="2147"/>
            <w:vAlign w:val="center"/>
          </w:tcPr>
          <w:p>
            <w:pPr>
              <w:spacing w:after="0" w:line="240" w:lineRule="auto"/>
              <w:jc w:val="left"/>
            </w:pPr>
            <w:r>
              <w:rPr>
                <w:rFonts w:ascii="Cambria" w:hAnsi="Cambria" w:eastAsia="Cambria"/>
                <w:b w:val="0"/>
                <w:i w:val="0"/>
                <w:color w:val="222222"/>
                <w:sz w:val="16"/>
              </w:rPr>
              <w:t>8.73%</w:t>
            </w:r>
          </w:p>
        </w:tc>
        <w:tc>
          <w:tcPr>
            <w:tcW w:type="dxa" w:w="1074"/>
            <w:vAlign w:val="center"/>
          </w:tcPr>
          <w:p>
            <w:pPr>
              <w:spacing w:after="0" w:line="240" w:lineRule="auto"/>
              <w:jc w:val="left"/>
            </w:pPr>
            <w:r>
              <w:rPr>
                <w:rFonts w:ascii="Cambria" w:hAnsi="Cambria" w:eastAsia="Cambria"/>
                <w:b w:val="0"/>
                <w:i w:val="0"/>
                <w:color w:val="222222"/>
                <w:sz w:val="16"/>
              </w:rPr>
              <w:t>6.03%</w:t>
            </w:r>
          </w:p>
        </w:tc>
        <w:tc>
          <w:tcPr>
            <w:tcW w:type="dxa" w:w="1288"/>
            <w:vAlign w:val="center"/>
          </w:tcPr>
          <w:p>
            <w:pPr>
              <w:spacing w:after="0" w:line="240" w:lineRule="auto"/>
              <w:jc w:val="left"/>
            </w:pPr>
            <w:r>
              <w:rPr>
                <w:rFonts w:ascii="Cambria" w:hAnsi="Cambria" w:eastAsia="Cambria"/>
                <w:b w:val="0"/>
                <w:i w:val="0"/>
                <w:color w:val="222222"/>
                <w:sz w:val="16"/>
              </w:rPr>
              <w:t>7.77%</w:t>
            </w:r>
          </w:p>
        </w:tc>
      </w:tr>
      <w:tr>
        <w:trPr>
          <w:cantSplit/>
        </w:trPr>
        <w:tc>
          <w:tcPr>
            <w:tcW w:type="dxa" w:w="4295"/>
            <w:vAlign w:val="center"/>
            <w:shd w:val="clear" w:color="auto" w:fill="F2F5F9"/>
          </w:tcPr>
          <w:p>
            <w:pPr>
              <w:spacing w:after="0" w:line="240" w:lineRule="auto"/>
              <w:jc w:val="left"/>
            </w:pPr>
            <w:r>
              <w:rPr>
                <w:rFonts w:ascii="Cambria" w:hAnsi="Cambria" w:eastAsia="Cambria"/>
                <w:b w:val="0"/>
                <w:i w:val="0"/>
                <w:color w:val="222222"/>
                <w:sz w:val="16"/>
              </w:rPr>
              <w:t>Windows per consumer</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56</w:t>
            </w:r>
          </w:p>
        </w:tc>
        <w:tc>
          <w:tcPr>
            <w:tcW w:type="dxa" w:w="2147"/>
            <w:vAlign w:val="center"/>
            <w:shd w:val="clear" w:color="auto" w:fill="F2F5F9"/>
          </w:tcPr>
          <w:p>
            <w:pPr>
              <w:spacing w:after="0" w:line="240" w:lineRule="auto"/>
              <w:jc w:val="left"/>
            </w:pPr>
            <w:r>
              <w:rPr>
                <w:rFonts w:ascii="Cambria" w:hAnsi="Cambria" w:eastAsia="Cambria"/>
                <w:b w:val="0"/>
                <w:i w:val="0"/>
                <w:color w:val="222222"/>
                <w:sz w:val="16"/>
              </w:rPr>
              <w:t>56</w:t>
            </w:r>
          </w:p>
        </w:tc>
        <w:tc>
          <w:tcPr>
            <w:tcW w:type="dxa" w:w="1074"/>
            <w:vAlign w:val="center"/>
            <w:shd w:val="clear" w:color="auto" w:fill="F2F5F9"/>
          </w:tcPr>
          <w:p>
            <w:pPr>
              <w:spacing w:after="0" w:line="240" w:lineRule="auto"/>
              <w:jc w:val="left"/>
            </w:pPr>
            <w:r>
              <w:rPr>
                <w:rFonts w:ascii="Cambria" w:hAnsi="Cambria" w:eastAsia="Cambria"/>
                <w:b w:val="0"/>
                <w:i w:val="0"/>
                <w:color w:val="222222"/>
                <w:sz w:val="16"/>
              </w:rPr>
              <w:t>56</w:t>
            </w:r>
          </w:p>
        </w:tc>
        <w:tc>
          <w:tcPr>
            <w:tcW w:type="dxa" w:w="1288"/>
            <w:vAlign w:val="center"/>
            <w:shd w:val="clear" w:color="auto" w:fill="F2F5F9"/>
          </w:tcPr>
          <w:p>
            <w:pPr>
              <w:spacing w:after="0" w:line="240" w:lineRule="auto"/>
              <w:jc w:val="left"/>
            </w:pPr>
            <w:r>
              <w:rPr>
                <w:rFonts w:ascii="Cambria" w:hAnsi="Cambria" w:eastAsia="Cambria"/>
                <w:b w:val="0"/>
                <w:i w:val="0"/>
                <w:color w:val="222222"/>
                <w:sz w:val="16"/>
              </w:rPr>
              <w:t>56</w:t>
            </w:r>
          </w:p>
        </w:tc>
      </w:tr>
    </w:tbl>
    <w:p>
      <w:pPr>
        <w:spacing w:after="20"/>
      </w:pPr>
    </w:p>
    <w:p>
      <w:pPr>
        <w:spacing w:after="100" w:line="264" w:lineRule="auto"/>
        <w:jc w:val="both"/>
      </w:pPr>
      <w:r>
        <w:rPr>
          <w:rFonts w:ascii="Cambria" w:hAnsi="Cambria" w:eastAsia="Cambria"/>
          <w:b/>
          <w:i w:val="0"/>
          <w:color w:val="222222"/>
          <w:sz w:val="20"/>
        </w:rPr>
        <w:t>Raw data:</w:t>
      </w:r>
      <w:r>
        <w:rPr>
          <w:rFonts w:ascii="Cambria" w:hAnsi="Cambria" w:eastAsia="Cambria"/>
          <w:b w:val="0"/>
          <w:i w:val="0"/>
          <w:color w:val="222222"/>
          <w:sz w:val="20"/>
        </w:rPr>
        <w:t xml:space="preserve"> 2,073,600 rows; 4,244 missing values; 0 duplicate rows; 133 features; 14-day windows; stride 3 days. The theft consumers are 36 of 240 (15%). The total theft-window count and ratio are arithmetic sums over the three splits.</w:t>
      </w:r>
    </w:p>
    <w:p>
      <w:pPr>
        <w:pStyle w:val="Heading2"/>
      </w:pPr>
      <w:r>
        <w:rPr>
          <w:rFonts w:ascii="Cambria" w:hAnsi="Cambria" w:eastAsia="Cambria"/>
          <w:b/>
          <w:i w:val="0"/>
          <w:color w:val="2E5C8A"/>
          <w:sz w:val="22"/>
        </w:rPr>
        <w:t>4.2 Client Simulation</w:t>
      </w:r>
    </w:p>
    <w:p>
      <w:pPr>
        <w:spacing w:after="100" w:line="264" w:lineRule="auto"/>
        <w:jc w:val="both"/>
      </w:pPr>
      <w:r>
        <w:rPr>
          <w:rFonts w:ascii="Cambria" w:hAnsi="Cambria" w:eastAsia="Cambria"/>
          <w:b w:val="0"/>
          <w:i w:val="0"/>
          <w:color w:val="222222"/>
          <w:sz w:val="20"/>
        </w:rPr>
        <w:t>Table 2 reports the realized client partition. Client sizes range from 336 to 3,640 windows, and theft ratios range from 0% to 17.16%. Client 03 contains 43 consumers and no theft windows; this is not a preprocessing error but a consequence of the deliberately heterogeneous partition. The all-normal client tests the adaptive quality fallback and the balance factor.</w:t>
      </w:r>
    </w:p>
    <w:p>
      <w:pPr>
        <w:keepNext/>
        <w:spacing w:before="140" w:after="60" w:line="240" w:lineRule="auto"/>
        <w:jc w:val="left"/>
      </w:pPr>
      <w:r>
        <w:rPr>
          <w:rFonts w:ascii="Cambria" w:hAnsi="Cambria" w:eastAsia="Cambria"/>
          <w:b/>
          <w:i w:val="0"/>
          <w:color w:val="1F3864"/>
          <w:sz w:val="18"/>
        </w:rPr>
        <w:t>Table 2. Realized non-IID client partition of the training consumers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1046"/>
        <w:gridCol w:w="1046"/>
        <w:gridCol w:w="1859"/>
        <w:gridCol w:w="1511"/>
        <w:gridCol w:w="1278"/>
        <w:gridCol w:w="1278"/>
        <w:gridCol w:w="1859"/>
      </w:tblGrid>
      <w:tr>
        <w:trPr>
          <w:tblHeader w:val="true"/>
          <w:cantSplit/>
        </w:trPr>
        <w:tc>
          <w:tcPr>
            <w:tcW w:type="dxa" w:w="1046"/>
            <w:vAlign w:val="center"/>
            <w:shd w:val="clear" w:color="auto" w:fill="1F3864"/>
          </w:tcPr>
          <w:p>
            <w:pPr>
              <w:spacing w:after="0" w:line="240" w:lineRule="auto"/>
              <w:jc w:val="left"/>
            </w:pPr>
            <w:r>
              <w:rPr>
                <w:rFonts w:ascii="Cambria" w:hAnsi="Cambria" w:eastAsia="Cambria"/>
                <w:b/>
                <w:i w:val="0"/>
                <w:color w:val="FFFFFF"/>
                <w:sz w:val="16"/>
              </w:rPr>
              <w:t>Client</w:t>
            </w:r>
          </w:p>
        </w:tc>
        <w:tc>
          <w:tcPr>
            <w:tcW w:type="dxa" w:w="1046"/>
            <w:vAlign w:val="center"/>
            <w:shd w:val="clear" w:color="auto" w:fill="1F3864"/>
          </w:tcPr>
          <w:p>
            <w:pPr>
              <w:spacing w:after="0" w:line="240" w:lineRule="auto"/>
              <w:jc w:val="center"/>
            </w:pPr>
            <w:r>
              <w:rPr>
                <w:rFonts w:ascii="Cambria" w:hAnsi="Cambria" w:eastAsia="Cambria"/>
                <w:b/>
                <w:i w:val="0"/>
                <w:color w:val="FFFFFF"/>
                <w:sz w:val="16"/>
              </w:rPr>
              <w:t>Consumers</w:t>
            </w:r>
          </w:p>
        </w:tc>
        <w:tc>
          <w:tcPr>
            <w:tcW w:type="dxa" w:w="1859"/>
            <w:vAlign w:val="center"/>
            <w:shd w:val="clear" w:color="auto" w:fill="1F3864"/>
          </w:tcPr>
          <w:p>
            <w:pPr>
              <w:spacing w:after="0" w:line="240" w:lineRule="auto"/>
              <w:jc w:val="center"/>
            </w:pPr>
            <w:r>
              <w:rPr>
                <w:rFonts w:ascii="Cambria" w:hAnsi="Cambria" w:eastAsia="Cambria"/>
                <w:b/>
                <w:i w:val="0"/>
                <w:color w:val="FFFFFF"/>
                <w:sz w:val="16"/>
              </w:rPr>
              <w:t>Assigned windows</w:t>
            </w:r>
          </w:p>
        </w:tc>
        <w:tc>
          <w:tcPr>
            <w:tcW w:type="dxa" w:w="1511"/>
            <w:vAlign w:val="center"/>
            <w:shd w:val="clear" w:color="auto" w:fill="1F3864"/>
          </w:tcPr>
          <w:p>
            <w:pPr>
              <w:spacing w:after="0" w:line="240" w:lineRule="auto"/>
              <w:jc w:val="center"/>
            </w:pPr>
            <w:r>
              <w:rPr>
                <w:rFonts w:ascii="Cambria" w:hAnsi="Cambria" w:eastAsia="Cambria"/>
                <w:b/>
                <w:i w:val="0"/>
                <w:color w:val="FFFFFF"/>
                <w:sz w:val="16"/>
              </w:rPr>
              <w:t>Theft windows</w:t>
            </w:r>
          </w:p>
        </w:tc>
        <w:tc>
          <w:tcPr>
            <w:tcW w:type="dxa" w:w="1278"/>
            <w:vAlign w:val="center"/>
            <w:shd w:val="clear" w:color="auto" w:fill="1F3864"/>
          </w:tcPr>
          <w:p>
            <w:pPr>
              <w:spacing w:after="0" w:line="240" w:lineRule="auto"/>
              <w:jc w:val="center"/>
            </w:pPr>
            <w:r>
              <w:rPr>
                <w:rFonts w:ascii="Cambria" w:hAnsi="Cambria" w:eastAsia="Cambria"/>
                <w:b/>
                <w:i w:val="0"/>
                <w:color w:val="FFFFFF"/>
                <w:sz w:val="16"/>
              </w:rPr>
              <w:t>Theft ratio</w:t>
            </w:r>
          </w:p>
        </w:tc>
        <w:tc>
          <w:tcPr>
            <w:tcW w:type="dxa" w:w="1278"/>
            <w:vAlign w:val="center"/>
            <w:shd w:val="clear" w:color="auto" w:fill="1F3864"/>
          </w:tcPr>
          <w:p>
            <w:pPr>
              <w:spacing w:after="0" w:line="240" w:lineRule="auto"/>
              <w:jc w:val="center"/>
            </w:pPr>
            <w:r>
              <w:rPr>
                <w:rFonts w:ascii="Cambria" w:hAnsi="Cambria" w:eastAsia="Cambria"/>
                <w:b/>
                <w:i w:val="0"/>
                <w:color w:val="FFFFFF"/>
                <w:sz w:val="16"/>
              </w:rPr>
              <w:t>Local train</w:t>
            </w:r>
          </w:p>
        </w:tc>
        <w:tc>
          <w:tcPr>
            <w:tcW w:type="dxa" w:w="1859"/>
            <w:vAlign w:val="center"/>
            <w:shd w:val="clear" w:color="auto" w:fill="1F3864"/>
          </w:tcPr>
          <w:p>
            <w:pPr>
              <w:spacing w:after="0" w:line="240" w:lineRule="auto"/>
              <w:jc w:val="center"/>
            </w:pPr>
            <w:r>
              <w:rPr>
                <w:rFonts w:ascii="Cambria" w:hAnsi="Cambria" w:eastAsia="Cambria"/>
                <w:b/>
                <w:i w:val="0"/>
                <w:color w:val="FFFFFF"/>
                <w:sz w:val="16"/>
              </w:rPr>
              <w:t>Local validation</w:t>
            </w:r>
          </w:p>
        </w:tc>
      </w:tr>
      <w:tr>
        <w:trPr>
          <w:cantSplit/>
        </w:trPr>
        <w:tc>
          <w:tcPr>
            <w:tcW w:type="dxa" w:w="1046"/>
            <w:vAlign w:val="center"/>
          </w:tcPr>
          <w:p>
            <w:pPr>
              <w:spacing w:after="0" w:line="240" w:lineRule="auto"/>
              <w:jc w:val="left"/>
            </w:pPr>
            <w:r>
              <w:rPr>
                <w:rFonts w:ascii="Cambria" w:hAnsi="Cambria" w:eastAsia="Cambria"/>
                <w:b w:val="0"/>
                <w:i w:val="0"/>
                <w:color w:val="222222"/>
                <w:sz w:val="16"/>
              </w:rPr>
              <w:t>client_00</w:t>
            </w:r>
          </w:p>
        </w:tc>
        <w:tc>
          <w:tcPr>
            <w:tcW w:type="dxa" w:w="1046"/>
            <w:vAlign w:val="center"/>
          </w:tcPr>
          <w:p>
            <w:pPr>
              <w:spacing w:after="0" w:line="240" w:lineRule="auto"/>
              <w:jc w:val="center"/>
            </w:pPr>
            <w:r>
              <w:rPr>
                <w:rFonts w:ascii="Cambria" w:hAnsi="Cambria" w:eastAsia="Cambria"/>
                <w:b w:val="0"/>
                <w:i w:val="0"/>
                <w:color w:val="222222"/>
                <w:sz w:val="16"/>
              </w:rPr>
              <w:t>36</w:t>
            </w:r>
          </w:p>
        </w:tc>
        <w:tc>
          <w:tcPr>
            <w:tcW w:type="dxa" w:w="1859"/>
            <w:vAlign w:val="center"/>
          </w:tcPr>
          <w:p>
            <w:pPr>
              <w:spacing w:after="0" w:line="240" w:lineRule="auto"/>
              <w:jc w:val="center"/>
            </w:pPr>
            <w:r>
              <w:rPr>
                <w:rFonts w:ascii="Cambria" w:hAnsi="Cambria" w:eastAsia="Cambria"/>
                <w:b w:val="0"/>
                <w:i w:val="0"/>
                <w:color w:val="222222"/>
                <w:sz w:val="16"/>
              </w:rPr>
              <w:t>2,016</w:t>
            </w:r>
          </w:p>
        </w:tc>
        <w:tc>
          <w:tcPr>
            <w:tcW w:type="dxa" w:w="1511"/>
            <w:vAlign w:val="center"/>
          </w:tcPr>
          <w:p>
            <w:pPr>
              <w:spacing w:after="0" w:line="240" w:lineRule="auto"/>
              <w:jc w:val="center"/>
            </w:pPr>
            <w:r>
              <w:rPr>
                <w:rFonts w:ascii="Cambria" w:hAnsi="Cambria" w:eastAsia="Cambria"/>
                <w:b w:val="0"/>
                <w:i w:val="0"/>
                <w:color w:val="222222"/>
                <w:sz w:val="16"/>
              </w:rPr>
              <w:t>346</w:t>
            </w:r>
          </w:p>
        </w:tc>
        <w:tc>
          <w:tcPr>
            <w:tcW w:type="dxa" w:w="1278"/>
            <w:vAlign w:val="center"/>
          </w:tcPr>
          <w:p>
            <w:pPr>
              <w:spacing w:after="0" w:line="240" w:lineRule="auto"/>
              <w:jc w:val="center"/>
            </w:pPr>
            <w:r>
              <w:rPr>
                <w:rFonts w:ascii="Cambria" w:hAnsi="Cambria" w:eastAsia="Cambria"/>
                <w:b w:val="0"/>
                <w:i w:val="0"/>
                <w:color w:val="222222"/>
                <w:sz w:val="16"/>
              </w:rPr>
              <w:t>17.16%</w:t>
            </w:r>
          </w:p>
        </w:tc>
        <w:tc>
          <w:tcPr>
            <w:tcW w:type="dxa" w:w="1278"/>
            <w:vAlign w:val="center"/>
          </w:tcPr>
          <w:p>
            <w:pPr>
              <w:spacing w:after="0" w:line="240" w:lineRule="auto"/>
              <w:jc w:val="center"/>
            </w:pPr>
            <w:r>
              <w:rPr>
                <w:rFonts w:ascii="Cambria" w:hAnsi="Cambria" w:eastAsia="Cambria"/>
                <w:b w:val="0"/>
                <w:i w:val="0"/>
                <w:color w:val="222222"/>
                <w:sz w:val="16"/>
              </w:rPr>
              <w:t>1,714</w:t>
            </w:r>
          </w:p>
        </w:tc>
        <w:tc>
          <w:tcPr>
            <w:tcW w:type="dxa" w:w="1859"/>
            <w:vAlign w:val="center"/>
          </w:tcPr>
          <w:p>
            <w:pPr>
              <w:spacing w:after="0" w:line="240" w:lineRule="auto"/>
              <w:jc w:val="center"/>
            </w:pPr>
            <w:r>
              <w:rPr>
                <w:rFonts w:ascii="Cambria" w:hAnsi="Cambria" w:eastAsia="Cambria"/>
                <w:b w:val="0"/>
                <w:i w:val="0"/>
                <w:color w:val="222222"/>
                <w:sz w:val="16"/>
              </w:rPr>
              <w:t>302</w:t>
            </w:r>
          </w:p>
        </w:tc>
      </w:tr>
      <w:tr>
        <w:trPr>
          <w:cantSplit/>
        </w:trPr>
        <w:tc>
          <w:tcPr>
            <w:tcW w:type="dxa" w:w="1046"/>
            <w:vAlign w:val="center"/>
            <w:shd w:val="clear" w:color="auto" w:fill="F2F5F9"/>
          </w:tcPr>
          <w:p>
            <w:pPr>
              <w:spacing w:after="0" w:line="240" w:lineRule="auto"/>
              <w:jc w:val="left"/>
            </w:pPr>
            <w:r>
              <w:rPr>
                <w:rFonts w:ascii="Cambria" w:hAnsi="Cambria" w:eastAsia="Cambria"/>
                <w:b w:val="0"/>
                <w:i w:val="0"/>
                <w:color w:val="222222"/>
                <w:sz w:val="16"/>
              </w:rPr>
              <w:t>client_01</w:t>
            </w:r>
          </w:p>
        </w:tc>
        <w:tc>
          <w:tcPr>
            <w:tcW w:type="dxa" w:w="1046"/>
            <w:vAlign w:val="center"/>
            <w:shd w:val="clear" w:color="auto" w:fill="F2F5F9"/>
          </w:tcPr>
          <w:p>
            <w:pPr>
              <w:spacing w:after="0" w:line="240" w:lineRule="auto"/>
              <w:jc w:val="center"/>
            </w:pPr>
            <w:r>
              <w:rPr>
                <w:rFonts w:ascii="Cambria" w:hAnsi="Cambria" w:eastAsia="Cambria"/>
                <w:b w:val="0"/>
                <w:i w:val="0"/>
                <w:color w:val="222222"/>
                <w:sz w:val="16"/>
              </w:rPr>
              <w:t>65</w:t>
            </w:r>
          </w:p>
        </w:tc>
        <w:tc>
          <w:tcPr>
            <w:tcW w:type="dxa" w:w="1859"/>
            <w:vAlign w:val="center"/>
            <w:shd w:val="clear" w:color="auto" w:fill="F2F5F9"/>
          </w:tcPr>
          <w:p>
            <w:pPr>
              <w:spacing w:after="0" w:line="240" w:lineRule="auto"/>
              <w:jc w:val="center"/>
            </w:pPr>
            <w:r>
              <w:rPr>
                <w:rFonts w:ascii="Cambria" w:hAnsi="Cambria" w:eastAsia="Cambria"/>
                <w:b w:val="0"/>
                <w:i w:val="0"/>
                <w:color w:val="222222"/>
                <w:sz w:val="16"/>
              </w:rPr>
              <w:t>3,640</w:t>
            </w:r>
          </w:p>
        </w:tc>
        <w:tc>
          <w:tcPr>
            <w:tcW w:type="dxa" w:w="1511"/>
            <w:vAlign w:val="center"/>
            <w:shd w:val="clear" w:color="auto" w:fill="F2F5F9"/>
          </w:tcPr>
          <w:p>
            <w:pPr>
              <w:spacing w:after="0" w:line="240" w:lineRule="auto"/>
              <w:jc w:val="center"/>
            </w:pPr>
            <w:r>
              <w:rPr>
                <w:rFonts w:ascii="Cambria" w:hAnsi="Cambria" w:eastAsia="Cambria"/>
                <w:b w:val="0"/>
                <w:i w:val="0"/>
                <w:color w:val="222222"/>
                <w:sz w:val="16"/>
              </w:rPr>
              <w:t>329</w:t>
            </w:r>
          </w:p>
        </w:tc>
        <w:tc>
          <w:tcPr>
            <w:tcW w:type="dxa" w:w="1278"/>
            <w:vAlign w:val="center"/>
            <w:shd w:val="clear" w:color="auto" w:fill="F2F5F9"/>
          </w:tcPr>
          <w:p>
            <w:pPr>
              <w:spacing w:after="0" w:line="240" w:lineRule="auto"/>
              <w:jc w:val="center"/>
            </w:pPr>
            <w:r>
              <w:rPr>
                <w:rFonts w:ascii="Cambria" w:hAnsi="Cambria" w:eastAsia="Cambria"/>
                <w:b w:val="0"/>
                <w:i w:val="0"/>
                <w:color w:val="222222"/>
                <w:sz w:val="16"/>
              </w:rPr>
              <w:t>9.04%</w:t>
            </w:r>
          </w:p>
        </w:tc>
        <w:tc>
          <w:tcPr>
            <w:tcW w:type="dxa" w:w="1278"/>
            <w:vAlign w:val="center"/>
            <w:shd w:val="clear" w:color="auto" w:fill="F2F5F9"/>
          </w:tcPr>
          <w:p>
            <w:pPr>
              <w:spacing w:after="0" w:line="240" w:lineRule="auto"/>
              <w:jc w:val="center"/>
            </w:pPr>
            <w:r>
              <w:rPr>
                <w:rFonts w:ascii="Cambria" w:hAnsi="Cambria" w:eastAsia="Cambria"/>
                <w:b w:val="0"/>
                <w:i w:val="0"/>
                <w:color w:val="222222"/>
                <w:sz w:val="16"/>
              </w:rPr>
              <w:t>3,094</w:t>
            </w:r>
          </w:p>
        </w:tc>
        <w:tc>
          <w:tcPr>
            <w:tcW w:type="dxa" w:w="1859"/>
            <w:vAlign w:val="center"/>
            <w:shd w:val="clear" w:color="auto" w:fill="F2F5F9"/>
          </w:tcPr>
          <w:p>
            <w:pPr>
              <w:spacing w:after="0" w:line="240" w:lineRule="auto"/>
              <w:jc w:val="center"/>
            </w:pPr>
            <w:r>
              <w:rPr>
                <w:rFonts w:ascii="Cambria" w:hAnsi="Cambria" w:eastAsia="Cambria"/>
                <w:b w:val="0"/>
                <w:i w:val="0"/>
                <w:color w:val="222222"/>
                <w:sz w:val="16"/>
              </w:rPr>
              <w:t>546</w:t>
            </w:r>
          </w:p>
        </w:tc>
      </w:tr>
      <w:tr>
        <w:trPr>
          <w:cantSplit/>
        </w:trPr>
        <w:tc>
          <w:tcPr>
            <w:tcW w:type="dxa" w:w="1046"/>
            <w:vAlign w:val="center"/>
          </w:tcPr>
          <w:p>
            <w:pPr>
              <w:spacing w:after="0" w:line="240" w:lineRule="auto"/>
              <w:jc w:val="left"/>
            </w:pPr>
            <w:r>
              <w:rPr>
                <w:rFonts w:ascii="Cambria" w:hAnsi="Cambria" w:eastAsia="Cambria"/>
                <w:b w:val="0"/>
                <w:i w:val="0"/>
                <w:color w:val="222222"/>
                <w:sz w:val="16"/>
              </w:rPr>
              <w:t>client_02</w:t>
            </w:r>
          </w:p>
        </w:tc>
        <w:tc>
          <w:tcPr>
            <w:tcW w:type="dxa" w:w="1046"/>
            <w:vAlign w:val="center"/>
          </w:tcPr>
          <w:p>
            <w:pPr>
              <w:spacing w:after="0" w:line="240" w:lineRule="auto"/>
              <w:jc w:val="center"/>
            </w:pPr>
            <w:r>
              <w:rPr>
                <w:rFonts w:ascii="Cambria" w:hAnsi="Cambria" w:eastAsia="Cambria"/>
                <w:b w:val="0"/>
                <w:i w:val="0"/>
                <w:color w:val="222222"/>
                <w:sz w:val="16"/>
              </w:rPr>
              <w:t>6</w:t>
            </w:r>
          </w:p>
        </w:tc>
        <w:tc>
          <w:tcPr>
            <w:tcW w:type="dxa" w:w="1859"/>
            <w:vAlign w:val="center"/>
          </w:tcPr>
          <w:p>
            <w:pPr>
              <w:spacing w:after="0" w:line="240" w:lineRule="auto"/>
              <w:jc w:val="center"/>
            </w:pPr>
            <w:r>
              <w:rPr>
                <w:rFonts w:ascii="Cambria" w:hAnsi="Cambria" w:eastAsia="Cambria"/>
                <w:b w:val="0"/>
                <w:i w:val="0"/>
                <w:color w:val="222222"/>
                <w:sz w:val="16"/>
              </w:rPr>
              <w:t>336</w:t>
            </w:r>
          </w:p>
        </w:tc>
        <w:tc>
          <w:tcPr>
            <w:tcW w:type="dxa" w:w="1511"/>
            <w:vAlign w:val="center"/>
          </w:tcPr>
          <w:p>
            <w:pPr>
              <w:spacing w:after="0" w:line="240" w:lineRule="auto"/>
              <w:jc w:val="center"/>
            </w:pPr>
            <w:r>
              <w:rPr>
                <w:rFonts w:ascii="Cambria" w:hAnsi="Cambria" w:eastAsia="Cambria"/>
                <w:b w:val="0"/>
                <w:i w:val="0"/>
                <w:color w:val="222222"/>
                <w:sz w:val="16"/>
              </w:rPr>
              <w:t>18</w:t>
            </w:r>
          </w:p>
        </w:tc>
        <w:tc>
          <w:tcPr>
            <w:tcW w:type="dxa" w:w="1278"/>
            <w:vAlign w:val="center"/>
          </w:tcPr>
          <w:p>
            <w:pPr>
              <w:spacing w:after="0" w:line="240" w:lineRule="auto"/>
              <w:jc w:val="center"/>
            </w:pPr>
            <w:r>
              <w:rPr>
                <w:rFonts w:ascii="Cambria" w:hAnsi="Cambria" w:eastAsia="Cambria"/>
                <w:b w:val="0"/>
                <w:i w:val="0"/>
                <w:color w:val="222222"/>
                <w:sz w:val="16"/>
              </w:rPr>
              <w:t>5.36%</w:t>
            </w:r>
          </w:p>
        </w:tc>
        <w:tc>
          <w:tcPr>
            <w:tcW w:type="dxa" w:w="1278"/>
            <w:vAlign w:val="center"/>
          </w:tcPr>
          <w:p>
            <w:pPr>
              <w:spacing w:after="0" w:line="240" w:lineRule="auto"/>
              <w:jc w:val="center"/>
            </w:pPr>
            <w:r>
              <w:rPr>
                <w:rFonts w:ascii="Cambria" w:hAnsi="Cambria" w:eastAsia="Cambria"/>
                <w:b w:val="0"/>
                <w:i w:val="0"/>
                <w:color w:val="222222"/>
                <w:sz w:val="16"/>
              </w:rPr>
              <w:t>286</w:t>
            </w:r>
          </w:p>
        </w:tc>
        <w:tc>
          <w:tcPr>
            <w:tcW w:type="dxa" w:w="1859"/>
            <w:vAlign w:val="center"/>
          </w:tcPr>
          <w:p>
            <w:pPr>
              <w:spacing w:after="0" w:line="240" w:lineRule="auto"/>
              <w:jc w:val="center"/>
            </w:pPr>
            <w:r>
              <w:rPr>
                <w:rFonts w:ascii="Cambria" w:hAnsi="Cambria" w:eastAsia="Cambria"/>
                <w:b w:val="0"/>
                <w:i w:val="0"/>
                <w:color w:val="222222"/>
                <w:sz w:val="16"/>
              </w:rPr>
              <w:t>50</w:t>
            </w:r>
          </w:p>
        </w:tc>
      </w:tr>
      <w:tr>
        <w:trPr>
          <w:cantSplit/>
        </w:trPr>
        <w:tc>
          <w:tcPr>
            <w:tcW w:type="dxa" w:w="1046"/>
            <w:vAlign w:val="center"/>
            <w:shd w:val="clear" w:color="auto" w:fill="F2F5F9"/>
          </w:tcPr>
          <w:p>
            <w:pPr>
              <w:spacing w:after="0" w:line="240" w:lineRule="auto"/>
              <w:jc w:val="left"/>
            </w:pPr>
            <w:r>
              <w:rPr>
                <w:rFonts w:ascii="Cambria" w:hAnsi="Cambria" w:eastAsia="Cambria"/>
                <w:b w:val="0"/>
                <w:i w:val="0"/>
                <w:color w:val="222222"/>
                <w:sz w:val="16"/>
              </w:rPr>
              <w:t>client_03</w:t>
            </w:r>
          </w:p>
        </w:tc>
        <w:tc>
          <w:tcPr>
            <w:tcW w:type="dxa" w:w="1046"/>
            <w:vAlign w:val="center"/>
            <w:shd w:val="clear" w:color="auto" w:fill="F2F5F9"/>
          </w:tcPr>
          <w:p>
            <w:pPr>
              <w:spacing w:after="0" w:line="240" w:lineRule="auto"/>
              <w:jc w:val="center"/>
            </w:pPr>
            <w:r>
              <w:rPr>
                <w:rFonts w:ascii="Cambria" w:hAnsi="Cambria" w:eastAsia="Cambria"/>
                <w:b w:val="0"/>
                <w:i w:val="0"/>
                <w:color w:val="222222"/>
                <w:sz w:val="16"/>
              </w:rPr>
              <w:t>43</w:t>
            </w:r>
          </w:p>
        </w:tc>
        <w:tc>
          <w:tcPr>
            <w:tcW w:type="dxa" w:w="1859"/>
            <w:vAlign w:val="center"/>
            <w:shd w:val="clear" w:color="auto" w:fill="F2F5F9"/>
          </w:tcPr>
          <w:p>
            <w:pPr>
              <w:spacing w:after="0" w:line="240" w:lineRule="auto"/>
              <w:jc w:val="center"/>
            </w:pPr>
            <w:r>
              <w:rPr>
                <w:rFonts w:ascii="Cambria" w:hAnsi="Cambria" w:eastAsia="Cambria"/>
                <w:b w:val="0"/>
                <w:i w:val="0"/>
                <w:color w:val="222222"/>
                <w:sz w:val="16"/>
              </w:rPr>
              <w:t>2,408</w:t>
            </w:r>
          </w:p>
        </w:tc>
        <w:tc>
          <w:tcPr>
            <w:tcW w:type="dxa" w:w="1511"/>
            <w:vAlign w:val="center"/>
            <w:shd w:val="clear" w:color="auto" w:fill="F2F5F9"/>
          </w:tcPr>
          <w:p>
            <w:pPr>
              <w:spacing w:after="0" w:line="240" w:lineRule="auto"/>
              <w:jc w:val="center"/>
            </w:pPr>
            <w:r>
              <w:rPr>
                <w:rFonts w:ascii="Cambria" w:hAnsi="Cambria" w:eastAsia="Cambria"/>
                <w:b w:val="0"/>
                <w:i w:val="0"/>
                <w:color w:val="222222"/>
                <w:sz w:val="16"/>
              </w:rPr>
              <w:t>0</w:t>
            </w:r>
          </w:p>
        </w:tc>
        <w:tc>
          <w:tcPr>
            <w:tcW w:type="dxa" w:w="1278"/>
            <w:vAlign w:val="center"/>
            <w:shd w:val="clear" w:color="auto" w:fill="F2F5F9"/>
          </w:tcPr>
          <w:p>
            <w:pPr>
              <w:spacing w:after="0" w:line="240" w:lineRule="auto"/>
              <w:jc w:val="center"/>
            </w:pPr>
            <w:r>
              <w:rPr>
                <w:rFonts w:ascii="Cambria" w:hAnsi="Cambria" w:eastAsia="Cambria"/>
                <w:b w:val="0"/>
                <w:i w:val="0"/>
                <w:color w:val="222222"/>
                <w:sz w:val="16"/>
              </w:rPr>
              <w:t>0.00%</w:t>
            </w:r>
          </w:p>
        </w:tc>
        <w:tc>
          <w:tcPr>
            <w:tcW w:type="dxa" w:w="1278"/>
            <w:vAlign w:val="center"/>
            <w:shd w:val="clear" w:color="auto" w:fill="F2F5F9"/>
          </w:tcPr>
          <w:p>
            <w:pPr>
              <w:spacing w:after="0" w:line="240" w:lineRule="auto"/>
              <w:jc w:val="center"/>
            </w:pPr>
            <w:r>
              <w:rPr>
                <w:rFonts w:ascii="Cambria" w:hAnsi="Cambria" w:eastAsia="Cambria"/>
                <w:b w:val="0"/>
                <w:i w:val="0"/>
                <w:color w:val="222222"/>
                <w:sz w:val="16"/>
              </w:rPr>
              <w:t>2,047</w:t>
            </w:r>
          </w:p>
        </w:tc>
        <w:tc>
          <w:tcPr>
            <w:tcW w:type="dxa" w:w="1859"/>
            <w:vAlign w:val="center"/>
            <w:shd w:val="clear" w:color="auto" w:fill="F2F5F9"/>
          </w:tcPr>
          <w:p>
            <w:pPr>
              <w:spacing w:after="0" w:line="240" w:lineRule="auto"/>
              <w:jc w:val="center"/>
            </w:pPr>
            <w:r>
              <w:rPr>
                <w:rFonts w:ascii="Cambria" w:hAnsi="Cambria" w:eastAsia="Cambria"/>
                <w:b w:val="0"/>
                <w:i w:val="0"/>
                <w:color w:val="222222"/>
                <w:sz w:val="16"/>
              </w:rPr>
              <w:t>361</w:t>
            </w:r>
          </w:p>
        </w:tc>
      </w:tr>
      <w:tr>
        <w:trPr>
          <w:cantSplit/>
        </w:trPr>
        <w:tc>
          <w:tcPr>
            <w:tcW w:type="dxa" w:w="1046"/>
            <w:vAlign w:val="center"/>
          </w:tcPr>
          <w:p>
            <w:pPr>
              <w:spacing w:after="0" w:line="240" w:lineRule="auto"/>
              <w:jc w:val="left"/>
            </w:pPr>
            <w:r>
              <w:rPr>
                <w:rFonts w:ascii="Cambria" w:hAnsi="Cambria" w:eastAsia="Cambria"/>
                <w:b w:val="0"/>
                <w:i w:val="0"/>
                <w:color w:val="222222"/>
                <w:sz w:val="16"/>
              </w:rPr>
              <w:t>client_04</w:t>
            </w:r>
          </w:p>
        </w:tc>
        <w:tc>
          <w:tcPr>
            <w:tcW w:type="dxa" w:w="1046"/>
            <w:vAlign w:val="center"/>
          </w:tcPr>
          <w:p>
            <w:pPr>
              <w:spacing w:after="0" w:line="240" w:lineRule="auto"/>
              <w:jc w:val="center"/>
            </w:pPr>
            <w:r>
              <w:rPr>
                <w:rFonts w:ascii="Cambria" w:hAnsi="Cambria" w:eastAsia="Cambria"/>
                <w:b w:val="0"/>
                <w:i w:val="0"/>
                <w:color w:val="222222"/>
                <w:sz w:val="16"/>
              </w:rPr>
              <w:t>6</w:t>
            </w:r>
          </w:p>
        </w:tc>
        <w:tc>
          <w:tcPr>
            <w:tcW w:type="dxa" w:w="1859"/>
            <w:vAlign w:val="center"/>
          </w:tcPr>
          <w:p>
            <w:pPr>
              <w:spacing w:after="0" w:line="240" w:lineRule="auto"/>
              <w:jc w:val="center"/>
            </w:pPr>
            <w:r>
              <w:rPr>
                <w:rFonts w:ascii="Cambria" w:hAnsi="Cambria" w:eastAsia="Cambria"/>
                <w:b w:val="0"/>
                <w:i w:val="0"/>
                <w:color w:val="222222"/>
                <w:sz w:val="16"/>
              </w:rPr>
              <w:t>336</w:t>
            </w:r>
          </w:p>
        </w:tc>
        <w:tc>
          <w:tcPr>
            <w:tcW w:type="dxa" w:w="1511"/>
            <w:vAlign w:val="center"/>
          </w:tcPr>
          <w:p>
            <w:pPr>
              <w:spacing w:after="0" w:line="240" w:lineRule="auto"/>
              <w:jc w:val="center"/>
            </w:pPr>
            <w:r>
              <w:rPr>
                <w:rFonts w:ascii="Cambria" w:hAnsi="Cambria" w:eastAsia="Cambria"/>
                <w:b w:val="0"/>
                <w:i w:val="0"/>
                <w:color w:val="222222"/>
                <w:sz w:val="16"/>
              </w:rPr>
              <w:t>13</w:t>
            </w:r>
          </w:p>
        </w:tc>
        <w:tc>
          <w:tcPr>
            <w:tcW w:type="dxa" w:w="1278"/>
            <w:vAlign w:val="center"/>
          </w:tcPr>
          <w:p>
            <w:pPr>
              <w:spacing w:after="0" w:line="240" w:lineRule="auto"/>
              <w:jc w:val="center"/>
            </w:pPr>
            <w:r>
              <w:rPr>
                <w:rFonts w:ascii="Cambria" w:hAnsi="Cambria" w:eastAsia="Cambria"/>
                <w:b w:val="0"/>
                <w:i w:val="0"/>
                <w:color w:val="222222"/>
                <w:sz w:val="16"/>
              </w:rPr>
              <w:t>3.87%</w:t>
            </w:r>
          </w:p>
        </w:tc>
        <w:tc>
          <w:tcPr>
            <w:tcW w:type="dxa" w:w="1278"/>
            <w:vAlign w:val="center"/>
          </w:tcPr>
          <w:p>
            <w:pPr>
              <w:spacing w:after="0" w:line="240" w:lineRule="auto"/>
              <w:jc w:val="center"/>
            </w:pPr>
            <w:r>
              <w:rPr>
                <w:rFonts w:ascii="Cambria" w:hAnsi="Cambria" w:eastAsia="Cambria"/>
                <w:b w:val="0"/>
                <w:i w:val="0"/>
                <w:color w:val="222222"/>
                <w:sz w:val="16"/>
              </w:rPr>
              <w:t>286</w:t>
            </w:r>
          </w:p>
        </w:tc>
        <w:tc>
          <w:tcPr>
            <w:tcW w:type="dxa" w:w="1859"/>
            <w:vAlign w:val="center"/>
          </w:tcPr>
          <w:p>
            <w:pPr>
              <w:spacing w:after="0" w:line="240" w:lineRule="auto"/>
              <w:jc w:val="center"/>
            </w:pPr>
            <w:r>
              <w:rPr>
                <w:rFonts w:ascii="Cambria" w:hAnsi="Cambria" w:eastAsia="Cambria"/>
                <w:b w:val="0"/>
                <w:i w:val="0"/>
                <w:color w:val="222222"/>
                <w:sz w:val="16"/>
              </w:rPr>
              <w:t>50</w:t>
            </w:r>
          </w:p>
        </w:tc>
      </w:tr>
      <w:tr>
        <w:trPr>
          <w:cantSplit/>
        </w:trPr>
        <w:tc>
          <w:tcPr>
            <w:tcW w:type="dxa" w:w="1046"/>
            <w:vAlign w:val="center"/>
            <w:shd w:val="clear" w:color="auto" w:fill="F2F5F9"/>
          </w:tcPr>
          <w:p>
            <w:pPr>
              <w:spacing w:after="0" w:line="240" w:lineRule="auto"/>
              <w:jc w:val="left"/>
            </w:pPr>
            <w:r>
              <w:rPr>
                <w:rFonts w:ascii="Cambria" w:hAnsi="Cambria" w:eastAsia="Cambria"/>
                <w:b/>
                <w:i w:val="0"/>
                <w:color w:val="222222"/>
                <w:sz w:val="16"/>
              </w:rPr>
              <w:t>Total</w:t>
            </w:r>
          </w:p>
        </w:tc>
        <w:tc>
          <w:tcPr>
            <w:tcW w:type="dxa" w:w="1046"/>
            <w:vAlign w:val="center"/>
            <w:shd w:val="clear" w:color="auto" w:fill="F2F5F9"/>
          </w:tcPr>
          <w:p>
            <w:pPr>
              <w:spacing w:after="0" w:line="240" w:lineRule="auto"/>
              <w:jc w:val="center"/>
            </w:pPr>
            <w:r>
              <w:rPr>
                <w:rFonts w:ascii="Cambria" w:hAnsi="Cambria" w:eastAsia="Cambria"/>
                <w:b/>
                <w:i w:val="0"/>
                <w:color w:val="222222"/>
                <w:sz w:val="16"/>
              </w:rPr>
              <w:t>156</w:t>
            </w:r>
          </w:p>
        </w:tc>
        <w:tc>
          <w:tcPr>
            <w:tcW w:type="dxa" w:w="1859"/>
            <w:vAlign w:val="center"/>
            <w:shd w:val="clear" w:color="auto" w:fill="F2F5F9"/>
          </w:tcPr>
          <w:p>
            <w:pPr>
              <w:spacing w:after="0" w:line="240" w:lineRule="auto"/>
              <w:jc w:val="center"/>
            </w:pPr>
            <w:r>
              <w:rPr>
                <w:rFonts w:ascii="Cambria" w:hAnsi="Cambria" w:eastAsia="Cambria"/>
                <w:b/>
                <w:i w:val="0"/>
                <w:color w:val="222222"/>
                <w:sz w:val="16"/>
              </w:rPr>
              <w:t>8,736</w:t>
            </w:r>
          </w:p>
        </w:tc>
        <w:tc>
          <w:tcPr>
            <w:tcW w:type="dxa" w:w="1511"/>
            <w:vAlign w:val="center"/>
            <w:shd w:val="clear" w:color="auto" w:fill="F2F5F9"/>
          </w:tcPr>
          <w:p>
            <w:pPr>
              <w:spacing w:after="0" w:line="240" w:lineRule="auto"/>
              <w:jc w:val="center"/>
            </w:pPr>
            <w:r>
              <w:rPr>
                <w:rFonts w:ascii="Cambria" w:hAnsi="Cambria" w:eastAsia="Cambria"/>
                <w:b/>
                <w:i w:val="0"/>
                <w:color w:val="222222"/>
                <w:sz w:val="16"/>
              </w:rPr>
              <w:t>706</w:t>
            </w:r>
          </w:p>
        </w:tc>
        <w:tc>
          <w:tcPr>
            <w:tcW w:type="dxa" w:w="1278"/>
            <w:vAlign w:val="center"/>
            <w:shd w:val="clear" w:color="auto" w:fill="F2F5F9"/>
          </w:tcPr>
          <w:p>
            <w:pPr>
              <w:spacing w:after="0" w:line="240" w:lineRule="auto"/>
              <w:jc w:val="center"/>
            </w:pPr>
            <w:r>
              <w:rPr>
                <w:rFonts w:ascii="Cambria" w:hAnsi="Cambria" w:eastAsia="Cambria"/>
                <w:b/>
                <w:i w:val="0"/>
                <w:color w:val="222222"/>
                <w:sz w:val="16"/>
              </w:rPr>
              <w:t>8.08%</w:t>
            </w:r>
          </w:p>
        </w:tc>
        <w:tc>
          <w:tcPr>
            <w:tcW w:type="dxa" w:w="1278"/>
            <w:vAlign w:val="center"/>
            <w:shd w:val="clear" w:color="auto" w:fill="F2F5F9"/>
          </w:tcPr>
          <w:p>
            <w:pPr>
              <w:spacing w:after="0" w:line="240" w:lineRule="auto"/>
              <w:jc w:val="center"/>
            </w:pPr>
            <w:r>
              <w:rPr>
                <w:rFonts w:ascii="Cambria" w:hAnsi="Cambria" w:eastAsia="Cambria"/>
                <w:b/>
                <w:i w:val="0"/>
                <w:color w:val="222222"/>
                <w:sz w:val="16"/>
              </w:rPr>
              <w:t>7,427</w:t>
            </w:r>
          </w:p>
        </w:tc>
        <w:tc>
          <w:tcPr>
            <w:tcW w:type="dxa" w:w="1859"/>
            <w:vAlign w:val="center"/>
            <w:shd w:val="clear" w:color="auto" w:fill="F2F5F9"/>
          </w:tcPr>
          <w:p>
            <w:pPr>
              <w:spacing w:after="0" w:line="240" w:lineRule="auto"/>
              <w:jc w:val="center"/>
            </w:pPr>
            <w:r>
              <w:rPr>
                <w:rFonts w:ascii="Cambria" w:hAnsi="Cambria" w:eastAsia="Cambria"/>
                <w:b/>
                <w:i w:val="0"/>
                <w:color w:val="222222"/>
                <w:sz w:val="16"/>
              </w:rPr>
              <w:t>1,309</w:t>
            </w:r>
          </w:p>
        </w:tc>
      </w:tr>
    </w:tbl>
    <w:p>
      <w:pPr>
        <w:spacing w:after="20"/>
      </w:pPr>
    </w:p>
    <w:p>
      <w:pPr>
        <w:pStyle w:val="Heading2"/>
      </w:pPr>
      <w:r>
        <w:rPr>
          <w:rFonts w:ascii="Cambria" w:hAnsi="Cambria" w:eastAsia="Cambria"/>
          <w:b/>
          <w:i w:val="0"/>
          <w:color w:val="2E5C8A"/>
          <w:sz w:val="22"/>
        </w:rPr>
        <w:t>4.3 Baselines</w:t>
      </w:r>
    </w:p>
    <w:p>
      <w:pPr>
        <w:spacing w:after="100" w:line="264" w:lineRule="auto"/>
        <w:jc w:val="both"/>
      </w:pPr>
      <w:r>
        <w:rPr>
          <w:rFonts w:ascii="Cambria" w:hAnsi="Cambria" w:eastAsia="Cambria"/>
          <w:b w:val="0"/>
          <w:i w:val="0"/>
          <w:color w:val="222222"/>
          <w:sz w:val="20"/>
        </w:rPr>
        <w:t>The study compares three families: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Centralized ML:</w:t>
      </w:r>
      <w:r>
        <w:rPr>
          <w:rFonts w:ascii="Cambria" w:hAnsi="Cambria" w:eastAsia="Cambria"/>
          <w:b w:val="0"/>
          <w:i w:val="0"/>
          <w:color w:val="222222"/>
          <w:sz w:val="20"/>
        </w:rPr>
        <w:t xml:space="preserve"> logistic regression, random forest, a heavier MLP, the lightweight MLP trained centrally, and a CNN-LSTM. These models are trained on pooled training windows and are included as accuracy and cost references, not as privacy-preserving alternatives.</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FedAvg:</w:t>
      </w:r>
      <w:r>
        <w:rPr>
          <w:rFonts w:ascii="Cambria" w:hAnsi="Cambria" w:eastAsia="Cambria"/>
          <w:b w:val="0"/>
          <w:i w:val="0"/>
          <w:color w:val="222222"/>
          <w:sz w:val="20"/>
        </w:rPr>
        <w:t xml:space="preserve"> the same lightweight architecture and client partition as PowerShield-FL, with sample-count aggregation, no privacy perturbation, and no compression.</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PowerShield-FL:</w:t>
      </w:r>
      <w:r>
        <w:rPr>
          <w:rFonts w:ascii="Cambria" w:hAnsi="Cambria" w:eastAsia="Cambria"/>
          <w:b w:val="0"/>
          <w:i w:val="0"/>
          <w:color w:val="222222"/>
          <w:sz w:val="20"/>
        </w:rPr>
        <w:t xml:space="preserve"> adaptive aggregation, clipping plus Gaussian perturbation, dense int8 compression, and explainability.</w:t>
      </w:r>
    </w:p>
    <w:p>
      <w:pPr>
        <w:spacing w:after="100" w:line="264" w:lineRule="auto"/>
        <w:jc w:val="both"/>
      </w:pPr>
      <w:r>
        <w:rPr>
          <w:rFonts w:ascii="Cambria" w:hAnsi="Cambria" w:eastAsia="Cambria"/>
          <w:b w:val="0"/>
          <w:i w:val="0"/>
          <w:color w:val="222222"/>
          <w:sz w:val="20"/>
        </w:rPr>
        <w:t>The centralized models use the following quick-mode settings: logistic regression with balanced class weights and 500 iterations; random forest with 200 trees, maximum depth 12, and balanced class weights; central MLP with hidden layers 128 and 64, dropout 0.2, 8 epochs, batch 128, and Adam; lightweight central MLP with the same architecture as the federated model and 8 epochs; CNN-LSTM with 16 convolution channels, LSTM hidden size 32, kernel size 3, dropout 0.2, and 6 epochs [23]. The CNN-LSTM is included as a heavy temporal baseline, but it is not extensively tuned in QUICK mode; its result should not be read as a claim that CNN-LSTMs are inherently unsuitable.</w:t>
      </w:r>
    </w:p>
    <w:p>
      <w:pPr>
        <w:pStyle w:val="Heading2"/>
      </w:pPr>
      <w:r>
        <w:rPr>
          <w:rFonts w:ascii="Cambria" w:hAnsi="Cambria" w:eastAsia="Cambria"/>
          <w:b/>
          <w:i w:val="0"/>
          <w:color w:val="2E5C8A"/>
          <w:sz w:val="22"/>
        </w:rPr>
        <w:t>4.4 Implementation and Hyperparameters</w:t>
      </w:r>
    </w:p>
    <w:p>
      <w:pPr>
        <w:spacing w:after="100" w:line="264" w:lineRule="auto"/>
        <w:jc w:val="both"/>
      </w:pPr>
      <w:r>
        <w:rPr>
          <w:rFonts w:ascii="Cambria" w:hAnsi="Cambria" w:eastAsia="Cambria"/>
          <w:b w:val="0"/>
          <w:i w:val="0"/>
          <w:color w:val="222222"/>
          <w:sz w:val="20"/>
        </w:rPr>
        <w:t>The implementation is Python 3.10+ with PyTorch on CPU [21], scikit-learn for classical baselines [20], and SHAP for explanations [18]. The reported environment is Python 3.14.5 on Windows 11, a CPU-only host with 10 physical and 12 logical cores and 15.72 GB RAM; PyTorch is 2.14.1+cpu. All randomness flows through a single seed utility; the main run uses seed 42.</w:t>
      </w:r>
    </w:p>
    <w:p>
      <w:pPr>
        <w:spacing w:after="100" w:line="264" w:lineRule="auto"/>
        <w:jc w:val="both"/>
      </w:pPr>
      <w:r>
        <w:rPr>
          <w:rFonts w:ascii="Cambria" w:hAnsi="Cambria" w:eastAsia="Cambria"/>
          <w:b w:val="0"/>
          <w:i w:val="0"/>
          <w:color w:val="222222"/>
          <w:sz w:val="20"/>
        </w:rPr>
        <w:t>The federated configuration is: 5 clients, full participation, 8 rounds, 2 local epochs per round, batch size 128, Adam with learning rate 0.001 and weight decay 0.0001, and class-weighted binary cross-entropy. The model is 133→64→32→1 with dropout 0.2 and 10,689 parameters. Privacy uses C = 1.0, σ = 0.001, δ = 10⁻⁵, and secure aggregation simulated but disabled. Compression is dense int8 for both uploads and broadcasts. Adaptive aggregation uses α = 1.0, β = 0.5, γ = 0.5, quality floor 0.1, λ = 0.2, minimum weight 0.01, and robust clipping of normalized client weights at 3× the mean weight.</w:t>
      </w:r>
    </w:p>
    <w:p>
      <w:pPr>
        <w:pStyle w:val="Heading2"/>
      </w:pPr>
      <w:r>
        <w:rPr>
          <w:rFonts w:ascii="Cambria" w:hAnsi="Cambria" w:eastAsia="Cambria"/>
          <w:b/>
          <w:i w:val="0"/>
          <w:color w:val="2E5C8A"/>
          <w:sz w:val="22"/>
        </w:rPr>
        <w:t>4.5 Metrics</w:t>
      </w:r>
    </w:p>
    <w:p>
      <w:pPr>
        <w:spacing w:after="100" w:line="264" w:lineRule="auto"/>
        <w:jc w:val="both"/>
      </w:pPr>
      <w:r>
        <w:rPr>
          <w:rFonts w:ascii="Cambria" w:hAnsi="Cambria" w:eastAsia="Cambria"/>
          <w:b w:val="0"/>
          <w:i w:val="0"/>
          <w:color w:val="222222"/>
          <w:sz w:val="20"/>
        </w:rPr>
        <w:t>Window-level detection is evaluated with accuracy, precision, recall, F1, ROC-AUC, PR-AUC, and the confusion matrix. The threshold is tuned on validation F1 and frozen before test evaluation. Consumer-level detection uses the mean window probability per consumer and a fixed threshold of 0.5; precision, recall, F1, ROC-AUC, PR-AUC, and confusion counts are reported. Communication is measured in actual serialized bytes for uploads and downloads. Computational cost is measured as wall-clock training time, parameter count, parameter payload, and per-sample inference time. Resource measurements are machine-specific.</w:t>
      </w:r>
    </w:p>
    <w:p>
      <w:pPr>
        <w:pStyle w:val="Heading2"/>
      </w:pPr>
      <w:r>
        <w:rPr>
          <w:rFonts w:ascii="Cambria" w:hAnsi="Cambria" w:eastAsia="Cambria"/>
          <w:b/>
          <w:i w:val="0"/>
          <w:color w:val="2E5C8A"/>
          <w:sz w:val="22"/>
        </w:rPr>
        <w:t>4.6 Statistical Protocol</w:t>
      </w:r>
    </w:p>
    <w:p>
      <w:pPr>
        <w:spacing w:after="100" w:line="264" w:lineRule="auto"/>
        <w:jc w:val="both"/>
      </w:pPr>
      <w:r>
        <w:rPr>
          <w:rFonts w:ascii="Cambria" w:hAnsi="Cambria" w:eastAsia="Cambria"/>
          <w:b w:val="0"/>
          <w:i w:val="0"/>
          <w:color w:val="222222"/>
          <w:sz w:val="20"/>
        </w:rPr>
        <w:t xml:space="preserve">The suite used one seed. Consequently, the paper reports descriptive point estimates only. It does </w:t>
      </w:r>
      <w:r>
        <w:rPr>
          <w:rFonts w:ascii="Cambria" w:hAnsi="Cambria" w:eastAsia="Cambria"/>
          <w:b/>
          <w:i w:val="0"/>
          <w:color w:val="222222"/>
          <w:sz w:val="20"/>
        </w:rPr>
        <w:t>not</w:t>
      </w:r>
      <w:r>
        <w:rPr>
          <w:rFonts w:ascii="Cambria" w:hAnsi="Cambria" w:eastAsia="Cambria"/>
          <w:b w:val="0"/>
          <w:i w:val="0"/>
          <w:color w:val="222222"/>
          <w:sz w:val="20"/>
        </w:rPr>
        <w:t xml:space="preserve"> report confidence intervals over seeds, paired t-tests, or Wilcoxon tests. The exact status is </w:t>
      </w:r>
      <w:r>
        <w:rPr>
          <w:rFonts w:ascii="Cambria" w:hAnsi="Cambria" w:eastAsia="Cambria"/>
          <w:b/>
          <w:i w:val="0"/>
          <w:color w:val="222222"/>
          <w:sz w:val="20"/>
        </w:rPr>
        <w:t>STATISTICAL TEST NOT RUN — fewer than 2 paired seeds</w:t>
      </w:r>
      <w:r>
        <w:rPr>
          <w:rFonts w:ascii="Cambria" w:hAnsi="Cambria" w:eastAsia="Cambria"/>
          <w:b w:val="0"/>
          <w:i w:val="0"/>
          <w:color w:val="222222"/>
          <w:sz w:val="20"/>
        </w:rPr>
        <w:t>. The +0.0031 F1 difference between PowerShield-FL and FedAvg is discussed as a one-window difference, not as evidence of a statistically reliable improvement.</w:t>
      </w:r>
    </w:p>
    <w:p>
      <w:pPr>
        <w:pStyle w:val="Heading2"/>
      </w:pPr>
      <w:r>
        <w:rPr>
          <w:rFonts w:ascii="Cambria" w:hAnsi="Cambria" w:eastAsia="Cambria"/>
          <w:b/>
          <w:i w:val="0"/>
          <w:color w:val="2E5C8A"/>
          <w:sz w:val="22"/>
        </w:rPr>
        <w:t>4.7 Reproducibility</w:t>
      </w:r>
    </w:p>
    <w:p>
      <w:pPr>
        <w:spacing w:after="100" w:line="264" w:lineRule="auto"/>
        <w:jc w:val="both"/>
      </w:pPr>
      <w:r>
        <w:rPr>
          <w:rFonts w:ascii="Cambria" w:hAnsi="Cambria" w:eastAsia="Cambria"/>
          <w:b w:val="0"/>
          <w:i w:val="0"/>
          <w:color w:val="222222"/>
          <w:sz w:val="20"/>
        </w:rPr>
        <w:t xml:space="preserve">The authoritative artifacts are the final quick suite </w:t>
      </w:r>
      <w:r>
        <w:rPr>
          <w:rFonts w:ascii="Consolas" w:hAnsi="Consolas" w:eastAsia="Consolas"/>
          <w:b w:val="0"/>
          <w:i w:val="0"/>
          <w:color w:val="222222"/>
          <w:sz w:val="19"/>
        </w:rPr>
        <w:t>experiment_20261025_014623_793809_suite_s42</w:t>
      </w:r>
      <w:r>
        <w:rPr>
          <w:rFonts w:ascii="Cambria" w:hAnsi="Cambria" w:eastAsia="Cambria"/>
          <w:b w:val="0"/>
          <w:i w:val="0"/>
          <w:color w:val="222222"/>
          <w:sz w:val="20"/>
        </w:rPr>
        <w:t xml:space="preserve">, the machine-readable </w:t>
      </w:r>
      <w:r>
        <w:rPr>
          <w:rFonts w:ascii="Consolas" w:hAnsi="Consolas" w:eastAsia="Consolas"/>
          <w:b w:val="0"/>
          <w:i w:val="0"/>
          <w:color w:val="222222"/>
          <w:sz w:val="19"/>
        </w:rPr>
        <w:t>results/metrics/summary.json</w:t>
      </w:r>
      <w:r>
        <w:rPr>
          <w:rFonts w:ascii="Cambria" w:hAnsi="Cambria" w:eastAsia="Cambria"/>
          <w:b w:val="0"/>
          <w:i w:val="0"/>
          <w:color w:val="222222"/>
          <w:sz w:val="20"/>
        </w:rPr>
        <w:t xml:space="preserve">, the generated report </w:t>
      </w:r>
      <w:r>
        <w:rPr>
          <w:rFonts w:ascii="Consolas" w:hAnsi="Consolas" w:eastAsia="Consolas"/>
          <w:b w:val="0"/>
          <w:i w:val="0"/>
          <w:color w:val="222222"/>
          <w:sz w:val="19"/>
        </w:rPr>
        <w:t>results/reports/final_experiment_report.md</w:t>
      </w:r>
      <w:r>
        <w:rPr>
          <w:rFonts w:ascii="Cambria" w:hAnsi="Cambria" w:eastAsia="Cambria"/>
          <w:b w:val="0"/>
          <w:i w:val="0"/>
          <w:color w:val="222222"/>
          <w:sz w:val="20"/>
        </w:rPr>
        <w:t xml:space="preserve">, and </w:t>
      </w:r>
      <w:r>
        <w:rPr>
          <w:rFonts w:ascii="Consolas" w:hAnsi="Consolas" w:eastAsia="Consolas"/>
          <w:b w:val="0"/>
          <w:i w:val="0"/>
          <w:color w:val="222222"/>
          <w:sz w:val="19"/>
        </w:rPr>
        <w:t>FINAL_STATUS.md</w:t>
      </w:r>
      <w:r>
        <w:rPr>
          <w:rFonts w:ascii="Cambria" w:hAnsi="Cambria" w:eastAsia="Cambria"/>
          <w:b w:val="0"/>
          <w:i w:val="0"/>
          <w:color w:val="222222"/>
          <w:sz w:val="20"/>
        </w:rPr>
        <w:t xml:space="preserve">. The main FedAvg and PowerShield-FL runs are </w:t>
      </w:r>
      <w:r>
        <w:rPr>
          <w:rFonts w:ascii="Consolas" w:hAnsi="Consolas" w:eastAsia="Consolas"/>
          <w:b w:val="0"/>
          <w:i w:val="0"/>
          <w:color w:val="222222"/>
          <w:sz w:val="19"/>
        </w:rPr>
        <w:t>experiment_20261025_014756_354071_fedavg_s42</w:t>
      </w:r>
      <w:r>
        <w:rPr>
          <w:rFonts w:ascii="Cambria" w:hAnsi="Cambria" w:eastAsia="Cambria"/>
          <w:b w:val="0"/>
          <w:i w:val="0"/>
          <w:color w:val="222222"/>
          <w:sz w:val="20"/>
        </w:rPr>
        <w:t xml:space="preserve"> and </w:t>
      </w:r>
      <w:r>
        <w:rPr>
          <w:rFonts w:ascii="Consolas" w:hAnsi="Consolas" w:eastAsia="Consolas"/>
          <w:b w:val="0"/>
          <w:i w:val="0"/>
          <w:color w:val="222222"/>
          <w:sz w:val="19"/>
        </w:rPr>
        <w:t>experiment_20261025_014812_413345_powershield_s42</w:t>
      </w:r>
      <w:r>
        <w:rPr>
          <w:rFonts w:ascii="Cambria" w:hAnsi="Cambria" w:eastAsia="Cambria"/>
          <w:b w:val="0"/>
          <w:i w:val="0"/>
          <w:color w:val="222222"/>
          <w:sz w:val="20"/>
        </w:rPr>
        <w:t xml:space="preserve">, respectively. The project passed 33 tests; the pipeline checks reported 12 PASS, 1 WARNING (the expected synthetic-data warning), and 0 FAIL. The dashboard loaded 10 tabs with zero exceptions, and notebooks 1–5 executed. Full mode (600 consumers, 10 clients, 25 rounds, 3 seeds, 20-client scalability) is </w:t>
      </w:r>
      <w:r>
        <w:rPr>
          <w:rFonts w:ascii="Cambria" w:hAnsi="Cambria" w:eastAsia="Cambria"/>
          <w:b/>
          <w:i w:val="0"/>
          <w:color w:val="222222"/>
          <w:sz w:val="20"/>
        </w:rPr>
        <w:t>NOT RUN</w:t>
      </w:r>
      <w:r>
        <w:rPr>
          <w:rFonts w:ascii="Cambria" w:hAnsi="Cambria" w:eastAsia="Cambria"/>
          <w:b w:val="0"/>
          <w:i w:val="0"/>
          <w:color w:val="222222"/>
          <w:sz w:val="20"/>
        </w:rPr>
        <w:t xml:space="preserve">. Real SGCC/IRISE execution is </w:t>
      </w:r>
      <w:r>
        <w:rPr>
          <w:rFonts w:ascii="Cambria" w:hAnsi="Cambria" w:eastAsia="Cambria"/>
          <w:b/>
          <w:i w:val="0"/>
          <w:color w:val="222222"/>
          <w:sz w:val="20"/>
        </w:rPr>
        <w:t>DATASET NOT CONFIGURED</w:t>
      </w:r>
      <w:r>
        <w:rPr>
          <w:rFonts w:ascii="Cambria" w:hAnsi="Cambria" w:eastAsia="Cambria"/>
          <w:b w:val="0"/>
          <w:i w:val="0"/>
          <w:color w:val="222222"/>
          <w:sz w:val="20"/>
        </w:rPr>
        <w:t>.</w:t>
      </w:r>
    </w:p>
    <w:p>
      <w:pPr>
        <w:pStyle w:val="Heading1"/>
        <w:pBdr>
          <w:bottom w:val="single" w:sz="8" w:space="2" w:color="D9E2F3"/>
        </w:pBdr>
      </w:pPr>
      <w:r>
        <w:rPr>
          <w:rFonts w:ascii="Cambria" w:hAnsi="Cambria" w:eastAsia="Cambria"/>
          <w:b/>
          <w:i w:val="0"/>
          <w:color w:val="1F3864"/>
          <w:sz w:val="26"/>
        </w:rPr>
        <w:t>5. Results</w:t>
      </w:r>
    </w:p>
    <w:p>
      <w:pPr>
        <w:spacing w:after="100" w:line="264" w:lineRule="auto"/>
        <w:jc w:val="both"/>
      </w:pPr>
      <w:r>
        <w:rPr>
          <w:rFonts w:ascii="Cambria" w:hAnsi="Cambria" w:eastAsia="Cambria"/>
          <w:b w:val="0"/>
          <w:i w:val="0"/>
          <w:color w:val="222222"/>
          <w:sz w:val="20"/>
        </w:rPr>
        <w:t xml:space="preserve">All results in this section are measured on </w:t>
      </w:r>
      <w:r>
        <w:rPr>
          <w:rFonts w:ascii="Cambria" w:hAnsi="Cambria" w:eastAsia="Cambria"/>
          <w:b/>
          <w:i w:val="0"/>
          <w:color w:val="222222"/>
          <w:sz w:val="20"/>
        </w:rPr>
        <w:t>SYNTHETIC DEMO DATA</w:t>
      </w:r>
      <w:r>
        <w:rPr>
          <w:rFonts w:ascii="Cambria" w:hAnsi="Cambria" w:eastAsia="Cambria"/>
          <w:b w:val="0"/>
          <w:i w:val="0"/>
          <w:color w:val="222222"/>
          <w:sz w:val="20"/>
        </w:rPr>
        <w:t>. The main comparison uses eight rounds and seed 42. The privacy, communication, and scalability sweeps use four rounds and are therefore not directly comparable in absolute F1 to the eight-round main run.</w:t>
      </w:r>
    </w:p>
    <w:p>
      <w:pPr>
        <w:pStyle w:val="Heading2"/>
      </w:pPr>
      <w:r>
        <w:rPr>
          <w:rFonts w:ascii="Cambria" w:hAnsi="Cambria" w:eastAsia="Cambria"/>
          <w:b/>
          <w:i w:val="0"/>
          <w:color w:val="2E5C8A"/>
          <w:sz w:val="22"/>
        </w:rPr>
        <w:t>5.1 Dataset and Partition</w:t>
      </w:r>
    </w:p>
    <w:p>
      <w:pPr>
        <w:spacing w:after="100" w:line="264" w:lineRule="auto"/>
        <w:jc w:val="both"/>
      </w:pPr>
      <w:r>
        <w:rPr>
          <w:rFonts w:ascii="Cambria" w:hAnsi="Cambria" w:eastAsia="Cambria"/>
          <w:b w:val="0"/>
          <w:i w:val="0"/>
          <w:color w:val="222222"/>
          <w:sz w:val="20"/>
        </w:rPr>
        <w:t>The realized partition is strongly non-IID (Table 2). The largest client owns 3,640 of 8,736 windows (41.7%), while the two smallest clients own 336 windows each (3.85%). Theft prevalence ranges from 0% to 17.16%. This is a harder partition than an IID deal and is intended to stress the aggregation rule. The all-normal client is particularly important: its local validation set has only one class, so the quality fallback assigns 0.5 rather than treating the client as useless.</w:t>
      </w:r>
    </w:p>
    <w:p>
      <w:pPr>
        <w:pStyle w:val="Heading2"/>
      </w:pPr>
      <w:r>
        <w:rPr>
          <w:rFonts w:ascii="Cambria" w:hAnsi="Cambria" w:eastAsia="Cambria"/>
          <w:b/>
          <w:i w:val="0"/>
          <w:color w:val="2E5C8A"/>
          <w:sz w:val="22"/>
        </w:rPr>
        <w:t>5.2 Centralized Baselines</w:t>
      </w:r>
    </w:p>
    <w:p>
      <w:pPr>
        <w:spacing w:after="100" w:line="264" w:lineRule="auto"/>
        <w:jc w:val="both"/>
      </w:pPr>
      <w:r>
        <w:rPr>
          <w:rFonts w:ascii="Cambria" w:hAnsi="Cambria" w:eastAsia="Cambria"/>
          <w:b w:val="0"/>
          <w:i w:val="0"/>
          <w:color w:val="222222"/>
          <w:sz w:val="20"/>
        </w:rPr>
        <w:t>Table 3 reports centralized detection. Random Forest and PowerShield-FL both reach F1 = 0.9969, but the Random Forest is trained on pooled raw data and therefore does not provide the privacy contrast that motivates FL. Logistic Regression is close behind at F1 = 0.9938, with 134 coefficients and a 1.05 KiB payload. The heavier centralized MLP reaches only F1 = 0.8750 because of low precision (0.7816): it produces more false positives at its validation-tuned threshold. The CNN-LSTM reaches F1 = 0.7634, with recall 0.6173 and ROC-AUC 0.9444; in QUICK mode it is under-trained and is not a tuned temporal baseline.</w:t>
      </w:r>
    </w:p>
    <w:p>
      <w:pPr>
        <w:keepNext/>
        <w:spacing w:before="140" w:after="60" w:line="240" w:lineRule="auto"/>
        <w:jc w:val="left"/>
      </w:pPr>
      <w:r>
        <w:rPr>
          <w:rFonts w:ascii="Cambria" w:hAnsi="Cambria" w:eastAsia="Cambria"/>
          <w:b/>
          <w:i w:val="0"/>
          <w:color w:val="1F3864"/>
          <w:sz w:val="18"/>
        </w:rPr>
        <w:t>Table 3. Centralized detection results on the held-out test consumers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3070"/>
        <w:gridCol w:w="1068"/>
        <w:gridCol w:w="1201"/>
        <w:gridCol w:w="801"/>
        <w:gridCol w:w="801"/>
        <w:gridCol w:w="934"/>
        <w:gridCol w:w="801"/>
        <w:gridCol w:w="1201"/>
      </w:tblGrid>
      <w:tr>
        <w:trPr>
          <w:tblHeader w:val="true"/>
          <w:cantSplit/>
        </w:trPr>
        <w:tc>
          <w:tcPr>
            <w:tcW w:type="dxa" w:w="3070"/>
            <w:vAlign w:val="center"/>
            <w:shd w:val="clear" w:color="auto" w:fill="1F3864"/>
          </w:tcPr>
          <w:p>
            <w:pPr>
              <w:spacing w:after="0" w:line="240" w:lineRule="auto"/>
              <w:jc w:val="left"/>
            </w:pPr>
            <w:r>
              <w:rPr>
                <w:rFonts w:ascii="Cambria" w:hAnsi="Cambria" w:eastAsia="Cambria"/>
                <w:b/>
                <w:i w:val="0"/>
                <w:color w:val="FFFFFF"/>
                <w:sz w:val="16"/>
              </w:rPr>
              <w:t>Method</w:t>
            </w:r>
          </w:p>
        </w:tc>
        <w:tc>
          <w:tcPr>
            <w:tcW w:type="dxa" w:w="1068"/>
            <w:vAlign w:val="center"/>
            <w:shd w:val="clear" w:color="auto" w:fill="1F3864"/>
          </w:tcPr>
          <w:p>
            <w:pPr>
              <w:spacing w:after="0" w:line="240" w:lineRule="auto"/>
              <w:jc w:val="center"/>
            </w:pPr>
            <w:r>
              <w:rPr>
                <w:rFonts w:ascii="Cambria" w:hAnsi="Cambria" w:eastAsia="Cambria"/>
                <w:b/>
                <w:i w:val="0"/>
                <w:color w:val="FFFFFF"/>
                <w:sz w:val="16"/>
              </w:rPr>
              <w:t>Accuracy</w:t>
            </w:r>
          </w:p>
        </w:tc>
        <w:tc>
          <w:tcPr>
            <w:tcW w:type="dxa" w:w="1201"/>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801"/>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801"/>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934"/>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801"/>
            <w:vAlign w:val="center"/>
            <w:shd w:val="clear" w:color="auto" w:fill="1F3864"/>
          </w:tcPr>
          <w:p>
            <w:pPr>
              <w:spacing w:after="0" w:line="240" w:lineRule="auto"/>
              <w:jc w:val="center"/>
            </w:pPr>
            <w:r>
              <w:rPr>
                <w:rFonts w:ascii="Cambria" w:hAnsi="Cambria" w:eastAsia="Cambria"/>
                <w:b/>
                <w:i w:val="0"/>
                <w:color w:val="FFFFFF"/>
                <w:sz w:val="16"/>
              </w:rPr>
              <w:t>PR-AUC</w:t>
            </w:r>
          </w:p>
        </w:tc>
        <w:tc>
          <w:tcPr>
            <w:tcW w:type="dxa" w:w="1201"/>
            <w:vAlign w:val="center"/>
            <w:shd w:val="clear" w:color="auto" w:fill="1F3864"/>
          </w:tcPr>
          <w:p>
            <w:pPr>
              <w:spacing w:after="0" w:line="240" w:lineRule="auto"/>
              <w:jc w:val="center"/>
            </w:pPr>
            <w:r>
              <w:rPr>
                <w:rFonts w:ascii="Cambria" w:hAnsi="Cambria" w:eastAsia="Cambria"/>
                <w:b/>
                <w:i w:val="0"/>
                <w:color w:val="FFFFFF"/>
                <w:sz w:val="16"/>
              </w:rPr>
              <w:t>Threshold</w:t>
            </w:r>
          </w:p>
        </w:tc>
      </w:tr>
      <w:tr>
        <w:trPr>
          <w:cantSplit/>
        </w:trPr>
        <w:tc>
          <w:tcPr>
            <w:tcW w:type="dxa" w:w="3070"/>
            <w:vAlign w:val="center"/>
          </w:tcPr>
          <w:p>
            <w:pPr>
              <w:spacing w:after="0" w:line="240" w:lineRule="auto"/>
              <w:jc w:val="left"/>
            </w:pPr>
            <w:r>
              <w:rPr>
                <w:rFonts w:ascii="Cambria" w:hAnsi="Cambria" w:eastAsia="Cambria"/>
                <w:b w:val="0"/>
                <w:i w:val="0"/>
                <w:color w:val="222222"/>
                <w:sz w:val="16"/>
              </w:rPr>
              <w:t>Logistic Regression</w:t>
            </w:r>
          </w:p>
        </w:tc>
        <w:tc>
          <w:tcPr>
            <w:tcW w:type="dxa" w:w="1068"/>
            <w:vAlign w:val="center"/>
          </w:tcPr>
          <w:p>
            <w:pPr>
              <w:spacing w:after="0" w:line="240" w:lineRule="auto"/>
              <w:jc w:val="center"/>
            </w:pPr>
            <w:r>
              <w:rPr>
                <w:rFonts w:ascii="Cambria" w:hAnsi="Cambria" w:eastAsia="Cambria"/>
                <w:b w:val="0"/>
                <w:i w:val="0"/>
                <w:color w:val="222222"/>
                <w:sz w:val="16"/>
              </w:rPr>
              <w:t>0.9993</w:t>
            </w:r>
          </w:p>
        </w:tc>
        <w:tc>
          <w:tcPr>
            <w:tcW w:type="dxa" w:w="1201"/>
            <w:vAlign w:val="center"/>
          </w:tcPr>
          <w:p>
            <w:pPr>
              <w:spacing w:after="0" w:line="240" w:lineRule="auto"/>
              <w:jc w:val="center"/>
            </w:pPr>
            <w:r>
              <w:rPr>
                <w:rFonts w:ascii="Cambria" w:hAnsi="Cambria" w:eastAsia="Cambria"/>
                <w:b w:val="0"/>
                <w:i w:val="0"/>
                <w:color w:val="222222"/>
                <w:sz w:val="16"/>
              </w:rPr>
              <w:t>0.9938</w:t>
            </w:r>
          </w:p>
        </w:tc>
        <w:tc>
          <w:tcPr>
            <w:tcW w:type="dxa" w:w="801"/>
            <w:vAlign w:val="center"/>
          </w:tcPr>
          <w:p>
            <w:pPr>
              <w:spacing w:after="0" w:line="240" w:lineRule="auto"/>
              <w:jc w:val="center"/>
            </w:pPr>
            <w:r>
              <w:rPr>
                <w:rFonts w:ascii="Cambria" w:hAnsi="Cambria" w:eastAsia="Cambria"/>
                <w:b w:val="0"/>
                <w:i w:val="0"/>
                <w:color w:val="222222"/>
                <w:sz w:val="16"/>
              </w:rPr>
              <w:t>0.9938</w:t>
            </w:r>
          </w:p>
        </w:tc>
        <w:tc>
          <w:tcPr>
            <w:tcW w:type="dxa" w:w="801"/>
            <w:vAlign w:val="center"/>
          </w:tcPr>
          <w:p>
            <w:pPr>
              <w:spacing w:after="0" w:line="240" w:lineRule="auto"/>
              <w:jc w:val="center"/>
            </w:pPr>
            <w:r>
              <w:rPr>
                <w:rFonts w:ascii="Cambria" w:hAnsi="Cambria" w:eastAsia="Cambria"/>
                <w:b w:val="0"/>
                <w:i w:val="0"/>
                <w:color w:val="222222"/>
                <w:sz w:val="16"/>
              </w:rPr>
              <w:t>0.9938</w:t>
            </w:r>
          </w:p>
        </w:tc>
        <w:tc>
          <w:tcPr>
            <w:tcW w:type="dxa" w:w="934"/>
            <w:vAlign w:val="center"/>
          </w:tcPr>
          <w:p>
            <w:pPr>
              <w:spacing w:after="0" w:line="240" w:lineRule="auto"/>
              <w:jc w:val="center"/>
            </w:pPr>
            <w:r>
              <w:rPr>
                <w:rFonts w:ascii="Cambria" w:hAnsi="Cambria" w:eastAsia="Cambria"/>
                <w:b w:val="0"/>
                <w:i w:val="0"/>
                <w:color w:val="222222"/>
                <w:sz w:val="16"/>
              </w:rPr>
              <w:t>0.9986</w:t>
            </w:r>
          </w:p>
        </w:tc>
        <w:tc>
          <w:tcPr>
            <w:tcW w:type="dxa" w:w="801"/>
            <w:vAlign w:val="center"/>
          </w:tcPr>
          <w:p>
            <w:pPr>
              <w:spacing w:after="0" w:line="240" w:lineRule="auto"/>
              <w:jc w:val="center"/>
            </w:pPr>
            <w:r>
              <w:rPr>
                <w:rFonts w:ascii="Cambria" w:hAnsi="Cambria" w:eastAsia="Cambria"/>
                <w:b w:val="0"/>
                <w:i w:val="0"/>
                <w:color w:val="222222"/>
                <w:sz w:val="16"/>
              </w:rPr>
              <w:t>0.9952</w:t>
            </w:r>
          </w:p>
        </w:tc>
        <w:tc>
          <w:tcPr>
            <w:tcW w:type="dxa" w:w="1201"/>
            <w:vAlign w:val="center"/>
          </w:tcPr>
          <w:p>
            <w:pPr>
              <w:spacing w:after="0" w:line="240" w:lineRule="auto"/>
              <w:jc w:val="center"/>
            </w:pPr>
            <w:r>
              <w:rPr>
                <w:rFonts w:ascii="Cambria" w:hAnsi="Cambria" w:eastAsia="Cambria"/>
                <w:b w:val="0"/>
                <w:i w:val="0"/>
                <w:color w:val="222222"/>
                <w:sz w:val="16"/>
              </w:rPr>
              <w:t>0.20</w:t>
            </w:r>
          </w:p>
        </w:tc>
      </w:tr>
      <w:tr>
        <w:trPr>
          <w:cantSplit/>
        </w:trPr>
        <w:tc>
          <w:tcPr>
            <w:tcW w:type="dxa" w:w="3070"/>
            <w:vAlign w:val="center"/>
            <w:shd w:val="clear" w:color="auto" w:fill="F2F5F9"/>
          </w:tcPr>
          <w:p>
            <w:pPr>
              <w:spacing w:after="0" w:line="240" w:lineRule="auto"/>
              <w:jc w:val="left"/>
            </w:pPr>
            <w:r>
              <w:rPr>
                <w:rFonts w:ascii="Cambria" w:hAnsi="Cambria" w:eastAsia="Cambria"/>
                <w:b w:val="0"/>
                <w:i w:val="0"/>
                <w:color w:val="222222"/>
                <w:sz w:val="16"/>
              </w:rPr>
              <w:t>Random Forest</w:t>
            </w:r>
          </w:p>
        </w:tc>
        <w:tc>
          <w:tcPr>
            <w:tcW w:type="dxa" w:w="1068"/>
            <w:vAlign w:val="center"/>
            <w:shd w:val="clear" w:color="auto" w:fill="F2F5F9"/>
          </w:tcPr>
          <w:p>
            <w:pPr>
              <w:spacing w:after="0" w:line="240" w:lineRule="auto"/>
              <w:jc w:val="center"/>
            </w:pPr>
            <w:r>
              <w:rPr>
                <w:rFonts w:ascii="Cambria" w:hAnsi="Cambria" w:eastAsia="Cambria"/>
                <w:b w:val="0"/>
                <w:i w:val="0"/>
                <w:color w:val="222222"/>
                <w:sz w:val="16"/>
              </w:rPr>
              <w:t>0.9996</w:t>
            </w:r>
          </w:p>
        </w:tc>
        <w:tc>
          <w:tcPr>
            <w:tcW w:type="dxa" w:w="1201"/>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0.9938</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0.9969</w:t>
            </w:r>
          </w:p>
        </w:tc>
        <w:tc>
          <w:tcPr>
            <w:tcW w:type="dxa" w:w="934"/>
            <w:vAlign w:val="center"/>
            <w:shd w:val="clear" w:color="auto" w:fill="F2F5F9"/>
          </w:tcPr>
          <w:p>
            <w:pPr>
              <w:spacing w:after="0" w:line="240" w:lineRule="auto"/>
              <w:jc w:val="center"/>
            </w:pPr>
            <w:r>
              <w:rPr>
                <w:rFonts w:ascii="Cambria" w:hAnsi="Cambria" w:eastAsia="Cambria"/>
                <w:b w:val="0"/>
                <w:i w:val="0"/>
                <w:color w:val="222222"/>
                <w:sz w:val="16"/>
              </w:rPr>
              <w:t>0.9950</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0.9942</w:t>
            </w:r>
          </w:p>
        </w:tc>
        <w:tc>
          <w:tcPr>
            <w:tcW w:type="dxa" w:w="1201"/>
            <w:vAlign w:val="center"/>
            <w:shd w:val="clear" w:color="auto" w:fill="F2F5F9"/>
          </w:tcPr>
          <w:p>
            <w:pPr>
              <w:spacing w:after="0" w:line="240" w:lineRule="auto"/>
              <w:jc w:val="center"/>
            </w:pPr>
            <w:r>
              <w:rPr>
                <w:rFonts w:ascii="Cambria" w:hAnsi="Cambria" w:eastAsia="Cambria"/>
                <w:b w:val="0"/>
                <w:i w:val="0"/>
                <w:color w:val="222222"/>
                <w:sz w:val="16"/>
              </w:rPr>
              <w:t>0.35</w:t>
            </w:r>
          </w:p>
        </w:tc>
      </w:tr>
      <w:tr>
        <w:trPr>
          <w:cantSplit/>
        </w:trPr>
        <w:tc>
          <w:tcPr>
            <w:tcW w:type="dxa" w:w="3070"/>
            <w:vAlign w:val="center"/>
          </w:tcPr>
          <w:p>
            <w:pPr>
              <w:spacing w:after="0" w:line="240" w:lineRule="auto"/>
              <w:jc w:val="left"/>
            </w:pPr>
            <w:r>
              <w:rPr>
                <w:rFonts w:ascii="Cambria" w:hAnsi="Cambria" w:eastAsia="Cambria"/>
                <w:b w:val="0"/>
                <w:i w:val="0"/>
                <w:color w:val="222222"/>
                <w:sz w:val="16"/>
              </w:rPr>
              <w:t>Central MLP</w:t>
            </w:r>
          </w:p>
        </w:tc>
        <w:tc>
          <w:tcPr>
            <w:tcW w:type="dxa" w:w="1068"/>
            <w:vAlign w:val="center"/>
          </w:tcPr>
          <w:p>
            <w:pPr>
              <w:spacing w:after="0" w:line="240" w:lineRule="auto"/>
              <w:jc w:val="center"/>
            </w:pPr>
            <w:r>
              <w:rPr>
                <w:rFonts w:ascii="Cambria" w:hAnsi="Cambria" w:eastAsia="Cambria"/>
                <w:b w:val="0"/>
                <w:i w:val="0"/>
                <w:color w:val="222222"/>
                <w:sz w:val="16"/>
              </w:rPr>
              <w:t>0.9829</w:t>
            </w:r>
          </w:p>
        </w:tc>
        <w:tc>
          <w:tcPr>
            <w:tcW w:type="dxa" w:w="1201"/>
            <w:vAlign w:val="center"/>
          </w:tcPr>
          <w:p>
            <w:pPr>
              <w:spacing w:after="0" w:line="240" w:lineRule="auto"/>
              <w:jc w:val="center"/>
            </w:pPr>
            <w:r>
              <w:rPr>
                <w:rFonts w:ascii="Cambria" w:hAnsi="Cambria" w:eastAsia="Cambria"/>
                <w:b w:val="0"/>
                <w:i w:val="0"/>
                <w:color w:val="222222"/>
                <w:sz w:val="16"/>
              </w:rPr>
              <w:t>0.7816</w:t>
            </w:r>
          </w:p>
        </w:tc>
        <w:tc>
          <w:tcPr>
            <w:tcW w:type="dxa" w:w="801"/>
            <w:vAlign w:val="center"/>
          </w:tcPr>
          <w:p>
            <w:pPr>
              <w:spacing w:after="0" w:line="240" w:lineRule="auto"/>
              <w:jc w:val="center"/>
            </w:pPr>
            <w:r>
              <w:rPr>
                <w:rFonts w:ascii="Cambria" w:hAnsi="Cambria" w:eastAsia="Cambria"/>
                <w:b w:val="0"/>
                <w:i w:val="0"/>
                <w:color w:val="222222"/>
                <w:sz w:val="16"/>
              </w:rPr>
              <w:t>0.9938</w:t>
            </w:r>
          </w:p>
        </w:tc>
        <w:tc>
          <w:tcPr>
            <w:tcW w:type="dxa" w:w="801"/>
            <w:vAlign w:val="center"/>
          </w:tcPr>
          <w:p>
            <w:pPr>
              <w:spacing w:after="0" w:line="240" w:lineRule="auto"/>
              <w:jc w:val="center"/>
            </w:pPr>
            <w:r>
              <w:rPr>
                <w:rFonts w:ascii="Cambria" w:hAnsi="Cambria" w:eastAsia="Cambria"/>
                <w:b w:val="0"/>
                <w:i w:val="0"/>
                <w:color w:val="222222"/>
                <w:sz w:val="16"/>
              </w:rPr>
              <w:t>0.8750</w:t>
            </w:r>
          </w:p>
        </w:tc>
        <w:tc>
          <w:tcPr>
            <w:tcW w:type="dxa" w:w="934"/>
            <w:vAlign w:val="center"/>
          </w:tcPr>
          <w:p>
            <w:pPr>
              <w:spacing w:after="0" w:line="240" w:lineRule="auto"/>
              <w:jc w:val="center"/>
            </w:pPr>
            <w:r>
              <w:rPr>
                <w:rFonts w:ascii="Cambria" w:hAnsi="Cambria" w:eastAsia="Cambria"/>
                <w:b w:val="0"/>
                <w:i w:val="0"/>
                <w:color w:val="222222"/>
                <w:sz w:val="16"/>
              </w:rPr>
              <w:t>0.9996</w:t>
            </w:r>
          </w:p>
        </w:tc>
        <w:tc>
          <w:tcPr>
            <w:tcW w:type="dxa" w:w="801"/>
            <w:vAlign w:val="center"/>
          </w:tcPr>
          <w:p>
            <w:pPr>
              <w:spacing w:after="0" w:line="240" w:lineRule="auto"/>
              <w:jc w:val="center"/>
            </w:pPr>
            <w:r>
              <w:rPr>
                <w:rFonts w:ascii="Cambria" w:hAnsi="Cambria" w:eastAsia="Cambria"/>
                <w:b w:val="0"/>
                <w:i w:val="0"/>
                <w:color w:val="222222"/>
                <w:sz w:val="16"/>
              </w:rPr>
              <w:t>0.9967</w:t>
            </w:r>
          </w:p>
        </w:tc>
        <w:tc>
          <w:tcPr>
            <w:tcW w:type="dxa" w:w="1201"/>
            <w:vAlign w:val="center"/>
          </w:tcPr>
          <w:p>
            <w:pPr>
              <w:spacing w:after="0" w:line="240" w:lineRule="auto"/>
              <w:jc w:val="center"/>
            </w:pPr>
            <w:r>
              <w:rPr>
                <w:rFonts w:ascii="Cambria" w:hAnsi="Cambria" w:eastAsia="Cambria"/>
                <w:b w:val="0"/>
                <w:i w:val="0"/>
                <w:color w:val="222222"/>
                <w:sz w:val="16"/>
              </w:rPr>
              <w:t>0.25</w:t>
            </w:r>
          </w:p>
        </w:tc>
      </w:tr>
      <w:tr>
        <w:trPr>
          <w:cantSplit/>
        </w:trPr>
        <w:tc>
          <w:tcPr>
            <w:tcW w:type="dxa" w:w="3070"/>
            <w:vAlign w:val="center"/>
            <w:shd w:val="clear" w:color="auto" w:fill="F2F5F9"/>
          </w:tcPr>
          <w:p>
            <w:pPr>
              <w:spacing w:after="0" w:line="240" w:lineRule="auto"/>
              <w:jc w:val="left"/>
            </w:pPr>
            <w:r>
              <w:rPr>
                <w:rFonts w:ascii="Cambria" w:hAnsi="Cambria" w:eastAsia="Cambria"/>
                <w:b w:val="0"/>
                <w:i w:val="0"/>
                <w:color w:val="222222"/>
                <w:sz w:val="16"/>
              </w:rPr>
              <w:t>Central lightweight MLP</w:t>
            </w:r>
          </w:p>
        </w:tc>
        <w:tc>
          <w:tcPr>
            <w:tcW w:type="dxa" w:w="1068"/>
            <w:vAlign w:val="center"/>
            <w:shd w:val="clear" w:color="auto" w:fill="F2F5F9"/>
          </w:tcPr>
          <w:p>
            <w:pPr>
              <w:spacing w:after="0" w:line="240" w:lineRule="auto"/>
              <w:jc w:val="center"/>
            </w:pPr>
            <w:r>
              <w:rPr>
                <w:rFonts w:ascii="Cambria" w:hAnsi="Cambria" w:eastAsia="Cambria"/>
                <w:b w:val="0"/>
                <w:i w:val="0"/>
                <w:color w:val="222222"/>
                <w:sz w:val="16"/>
              </w:rPr>
              <w:t>0.9933</w:t>
            </w:r>
          </w:p>
        </w:tc>
        <w:tc>
          <w:tcPr>
            <w:tcW w:type="dxa" w:w="1201"/>
            <w:vAlign w:val="center"/>
            <w:shd w:val="clear" w:color="auto" w:fill="F2F5F9"/>
          </w:tcPr>
          <w:p>
            <w:pPr>
              <w:spacing w:after="0" w:line="240" w:lineRule="auto"/>
              <w:jc w:val="center"/>
            </w:pPr>
            <w:r>
              <w:rPr>
                <w:rFonts w:ascii="Cambria" w:hAnsi="Cambria" w:eastAsia="Cambria"/>
                <w:b w:val="0"/>
                <w:i w:val="0"/>
                <w:color w:val="222222"/>
                <w:sz w:val="16"/>
              </w:rPr>
              <w:t>0.9045</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0.9938</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0.9471</w:t>
            </w:r>
          </w:p>
        </w:tc>
        <w:tc>
          <w:tcPr>
            <w:tcW w:type="dxa" w:w="934"/>
            <w:vAlign w:val="center"/>
            <w:shd w:val="clear" w:color="auto" w:fill="F2F5F9"/>
          </w:tcPr>
          <w:p>
            <w:pPr>
              <w:spacing w:after="0" w:line="240" w:lineRule="auto"/>
              <w:jc w:val="center"/>
            </w:pPr>
            <w:r>
              <w:rPr>
                <w:rFonts w:ascii="Cambria" w:hAnsi="Cambria" w:eastAsia="Cambria"/>
                <w:b w:val="0"/>
                <w:i w:val="0"/>
                <w:color w:val="222222"/>
                <w:sz w:val="16"/>
              </w:rPr>
              <w:t>0.9991</w:t>
            </w:r>
          </w:p>
        </w:tc>
        <w:tc>
          <w:tcPr>
            <w:tcW w:type="dxa" w:w="801"/>
            <w:vAlign w:val="center"/>
            <w:shd w:val="clear" w:color="auto" w:fill="F2F5F9"/>
          </w:tcPr>
          <w:p>
            <w:pPr>
              <w:spacing w:after="0" w:line="240" w:lineRule="auto"/>
              <w:jc w:val="center"/>
            </w:pPr>
            <w:r>
              <w:rPr>
                <w:rFonts w:ascii="Cambria" w:hAnsi="Cambria" w:eastAsia="Cambria"/>
                <w:b w:val="0"/>
                <w:i w:val="0"/>
                <w:color w:val="222222"/>
                <w:sz w:val="16"/>
              </w:rPr>
              <w:t>0.9958</w:t>
            </w:r>
          </w:p>
        </w:tc>
        <w:tc>
          <w:tcPr>
            <w:tcW w:type="dxa" w:w="1201"/>
            <w:vAlign w:val="center"/>
            <w:shd w:val="clear" w:color="auto" w:fill="F2F5F9"/>
          </w:tcPr>
          <w:p>
            <w:pPr>
              <w:spacing w:after="0" w:line="240" w:lineRule="auto"/>
              <w:jc w:val="center"/>
            </w:pPr>
            <w:r>
              <w:rPr>
                <w:rFonts w:ascii="Cambria" w:hAnsi="Cambria" w:eastAsia="Cambria"/>
                <w:b w:val="0"/>
                <w:i w:val="0"/>
                <w:color w:val="222222"/>
                <w:sz w:val="16"/>
              </w:rPr>
              <w:t>0.25</w:t>
            </w:r>
          </w:p>
        </w:tc>
      </w:tr>
      <w:tr>
        <w:trPr>
          <w:cantSplit/>
        </w:trPr>
        <w:tc>
          <w:tcPr>
            <w:tcW w:type="dxa" w:w="3070"/>
            <w:vAlign w:val="center"/>
          </w:tcPr>
          <w:p>
            <w:pPr>
              <w:spacing w:after="0" w:line="240" w:lineRule="auto"/>
              <w:jc w:val="left"/>
            </w:pPr>
            <w:r>
              <w:rPr>
                <w:rFonts w:ascii="Cambria" w:hAnsi="Cambria" w:eastAsia="Cambria"/>
                <w:b w:val="0"/>
                <w:i w:val="0"/>
                <w:color w:val="222222"/>
                <w:sz w:val="16"/>
              </w:rPr>
              <w:t>CNN-LSTM</w:t>
            </w:r>
          </w:p>
        </w:tc>
        <w:tc>
          <w:tcPr>
            <w:tcW w:type="dxa" w:w="1068"/>
            <w:vAlign w:val="center"/>
          </w:tcPr>
          <w:p>
            <w:pPr>
              <w:spacing w:after="0" w:line="240" w:lineRule="auto"/>
              <w:jc w:val="center"/>
            </w:pPr>
            <w:r>
              <w:rPr>
                <w:rFonts w:ascii="Cambria" w:hAnsi="Cambria" w:eastAsia="Cambria"/>
                <w:b w:val="0"/>
                <w:i w:val="0"/>
                <w:color w:val="222222"/>
                <w:sz w:val="16"/>
              </w:rPr>
              <w:t>0.9769</w:t>
            </w:r>
          </w:p>
        </w:tc>
        <w:tc>
          <w:tcPr>
            <w:tcW w:type="dxa" w:w="1201"/>
            <w:vAlign w:val="center"/>
          </w:tcPr>
          <w:p>
            <w:pPr>
              <w:spacing w:after="0" w:line="240" w:lineRule="auto"/>
              <w:jc w:val="center"/>
            </w:pPr>
            <w:r>
              <w:rPr>
                <w:rFonts w:ascii="Cambria" w:hAnsi="Cambria" w:eastAsia="Cambria"/>
                <w:b w:val="0"/>
                <w:i w:val="0"/>
                <w:color w:val="222222"/>
                <w:sz w:val="16"/>
              </w:rPr>
              <w:t>1.0000</w:t>
            </w:r>
          </w:p>
        </w:tc>
        <w:tc>
          <w:tcPr>
            <w:tcW w:type="dxa" w:w="801"/>
            <w:vAlign w:val="center"/>
          </w:tcPr>
          <w:p>
            <w:pPr>
              <w:spacing w:after="0" w:line="240" w:lineRule="auto"/>
              <w:jc w:val="center"/>
            </w:pPr>
            <w:r>
              <w:rPr>
                <w:rFonts w:ascii="Cambria" w:hAnsi="Cambria" w:eastAsia="Cambria"/>
                <w:b w:val="0"/>
                <w:i w:val="0"/>
                <w:color w:val="222222"/>
                <w:sz w:val="16"/>
              </w:rPr>
              <w:t>0.6173</w:t>
            </w:r>
          </w:p>
        </w:tc>
        <w:tc>
          <w:tcPr>
            <w:tcW w:type="dxa" w:w="801"/>
            <w:vAlign w:val="center"/>
          </w:tcPr>
          <w:p>
            <w:pPr>
              <w:spacing w:after="0" w:line="240" w:lineRule="auto"/>
              <w:jc w:val="center"/>
            </w:pPr>
            <w:r>
              <w:rPr>
                <w:rFonts w:ascii="Cambria" w:hAnsi="Cambria" w:eastAsia="Cambria"/>
                <w:b w:val="0"/>
                <w:i w:val="0"/>
                <w:color w:val="222222"/>
                <w:sz w:val="16"/>
              </w:rPr>
              <w:t>0.7634</w:t>
            </w:r>
          </w:p>
        </w:tc>
        <w:tc>
          <w:tcPr>
            <w:tcW w:type="dxa" w:w="934"/>
            <w:vAlign w:val="center"/>
          </w:tcPr>
          <w:p>
            <w:pPr>
              <w:spacing w:after="0" w:line="240" w:lineRule="auto"/>
              <w:jc w:val="center"/>
            </w:pPr>
            <w:r>
              <w:rPr>
                <w:rFonts w:ascii="Cambria" w:hAnsi="Cambria" w:eastAsia="Cambria"/>
                <w:b w:val="0"/>
                <w:i w:val="0"/>
                <w:color w:val="222222"/>
                <w:sz w:val="16"/>
              </w:rPr>
              <w:t>0.9444</w:t>
            </w:r>
          </w:p>
        </w:tc>
        <w:tc>
          <w:tcPr>
            <w:tcW w:type="dxa" w:w="801"/>
            <w:vAlign w:val="center"/>
          </w:tcPr>
          <w:p>
            <w:pPr>
              <w:spacing w:after="0" w:line="240" w:lineRule="auto"/>
              <w:jc w:val="center"/>
            </w:pPr>
            <w:r>
              <w:rPr>
                <w:rFonts w:ascii="Cambria" w:hAnsi="Cambria" w:eastAsia="Cambria"/>
                <w:b w:val="0"/>
                <w:i w:val="0"/>
                <w:color w:val="222222"/>
                <w:sz w:val="16"/>
              </w:rPr>
              <w:t>0.7797</w:t>
            </w:r>
          </w:p>
        </w:tc>
        <w:tc>
          <w:tcPr>
            <w:tcW w:type="dxa" w:w="1201"/>
            <w:vAlign w:val="center"/>
          </w:tcPr>
          <w:p>
            <w:pPr>
              <w:spacing w:after="0" w:line="240" w:lineRule="auto"/>
              <w:jc w:val="center"/>
            </w:pPr>
            <w:r>
              <w:rPr>
                <w:rFonts w:ascii="Cambria" w:hAnsi="Cambria" w:eastAsia="Cambria"/>
                <w:b w:val="0"/>
                <w:i w:val="0"/>
                <w:color w:val="222222"/>
                <w:sz w:val="16"/>
              </w:rPr>
              <w:t>0.45</w:t>
            </w:r>
          </w:p>
        </w:tc>
      </w:tr>
    </w:tbl>
    <w:p>
      <w:pPr>
        <w:spacing w:after="20"/>
      </w:pPr>
    </w:p>
    <w:p>
      <w:pPr>
        <w:spacing w:after="100" w:line="264" w:lineRule="auto"/>
        <w:jc w:val="both"/>
      </w:pPr>
      <w:r>
        <w:rPr>
          <w:rFonts w:ascii="Cambria" w:hAnsi="Cambria" w:eastAsia="Cambria"/>
          <w:b w:val="0"/>
          <w:i w:val="0"/>
          <w:color w:val="222222"/>
          <w:sz w:val="20"/>
        </w:rPr>
        <w:t>Table 4 reports resource use. The Random Forest has 21,862 tree nodes and a 170.80 KiB payload estimate; its 0.5187 ms per-sample inference is measured through scikit-learn’s Python path and is not a like-for-like optimized benchmark against batched PyTorch inference. The lightweight model has 10,689 parameters and a 41.75 KiB parameter payload. The centralized Lightweight MLP trains in 7.52 s, while the federated PowerShield-FL run takes 15.97 s for eight rounds of five clients. The training budgets are not compute-matched: the centralized lightweight model performs 8 epochs on pooled data, whereas each federated client performs 2 local epochs per round over 8 rounds. The centralized results should therefore be read as references, not as a controlled architecture comparison.</w:t>
      </w:r>
    </w:p>
    <w:p>
      <w:pPr>
        <w:keepNext/>
        <w:spacing w:before="140" w:after="60" w:line="240" w:lineRule="auto"/>
        <w:jc w:val="left"/>
      </w:pPr>
      <w:r>
        <w:rPr>
          <w:rFonts w:ascii="Cambria" w:hAnsi="Cambria" w:eastAsia="Cambria"/>
          <w:b/>
          <w:i w:val="0"/>
          <w:color w:val="1F3864"/>
          <w:sz w:val="18"/>
        </w:rPr>
        <w:t>Table 4. Centralized and federated resource use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2927"/>
        <w:gridCol w:w="1390"/>
        <w:gridCol w:w="1506"/>
        <w:gridCol w:w="1622"/>
        <w:gridCol w:w="2433"/>
      </w:tblGrid>
      <w:tr>
        <w:trPr>
          <w:tblHeader w:val="true"/>
          <w:cantSplit/>
        </w:trPr>
        <w:tc>
          <w:tcPr>
            <w:tcW w:type="dxa" w:w="2927"/>
            <w:vAlign w:val="center"/>
            <w:shd w:val="clear" w:color="auto" w:fill="1F3864"/>
          </w:tcPr>
          <w:p>
            <w:pPr>
              <w:spacing w:after="0" w:line="240" w:lineRule="auto"/>
              <w:jc w:val="left"/>
            </w:pPr>
            <w:r>
              <w:rPr>
                <w:rFonts w:ascii="Cambria" w:hAnsi="Cambria" w:eastAsia="Cambria"/>
                <w:b/>
                <w:i w:val="0"/>
                <w:color w:val="FFFFFF"/>
                <w:sz w:val="16"/>
              </w:rPr>
              <w:t>Method</w:t>
            </w:r>
          </w:p>
        </w:tc>
        <w:tc>
          <w:tcPr>
            <w:tcW w:type="dxa" w:w="1390"/>
            <w:vAlign w:val="center"/>
            <w:shd w:val="clear" w:color="auto" w:fill="1F3864"/>
          </w:tcPr>
          <w:p>
            <w:pPr>
              <w:spacing w:after="0" w:line="240" w:lineRule="auto"/>
              <w:jc w:val="center"/>
            </w:pPr>
            <w:r>
              <w:rPr>
                <w:rFonts w:ascii="Cambria" w:hAnsi="Cambria" w:eastAsia="Cambria"/>
                <w:b/>
                <w:i w:val="0"/>
                <w:color w:val="FFFFFF"/>
                <w:sz w:val="16"/>
              </w:rPr>
              <w:t>Parameters</w:t>
            </w:r>
          </w:p>
        </w:tc>
        <w:tc>
          <w:tcPr>
            <w:tcW w:type="dxa" w:w="1506"/>
            <w:vAlign w:val="center"/>
            <w:shd w:val="clear" w:color="auto" w:fill="1F3864"/>
          </w:tcPr>
          <w:p>
            <w:pPr>
              <w:spacing w:after="0" w:line="240" w:lineRule="auto"/>
              <w:jc w:val="center"/>
            </w:pPr>
            <w:r>
              <w:rPr>
                <w:rFonts w:ascii="Cambria" w:hAnsi="Cambria" w:eastAsia="Cambria"/>
                <w:b/>
                <w:i w:val="0"/>
                <w:color w:val="FFFFFF"/>
                <w:sz w:val="16"/>
              </w:rPr>
              <w:t>Payload (KiB)</w:t>
            </w:r>
          </w:p>
        </w:tc>
        <w:tc>
          <w:tcPr>
            <w:tcW w:type="dxa" w:w="1622"/>
            <w:vAlign w:val="center"/>
            <w:shd w:val="clear" w:color="auto" w:fill="1F3864"/>
          </w:tcPr>
          <w:p>
            <w:pPr>
              <w:spacing w:after="0" w:line="240" w:lineRule="auto"/>
              <w:jc w:val="center"/>
            </w:pPr>
            <w:r>
              <w:rPr>
                <w:rFonts w:ascii="Cambria" w:hAnsi="Cambria" w:eastAsia="Cambria"/>
                <w:b/>
                <w:i w:val="0"/>
                <w:color w:val="FFFFFF"/>
                <w:sz w:val="16"/>
              </w:rPr>
              <w:t>Train time (s)</w:t>
            </w:r>
          </w:p>
        </w:tc>
        <w:tc>
          <w:tcPr>
            <w:tcW w:type="dxa" w:w="2433"/>
            <w:vAlign w:val="center"/>
            <w:shd w:val="clear" w:color="auto" w:fill="1F3864"/>
          </w:tcPr>
          <w:p>
            <w:pPr>
              <w:spacing w:after="0" w:line="240" w:lineRule="auto"/>
              <w:jc w:val="center"/>
            </w:pPr>
            <w:r>
              <w:rPr>
                <w:rFonts w:ascii="Cambria" w:hAnsi="Cambria" w:eastAsia="Cambria"/>
                <w:b/>
                <w:i w:val="0"/>
                <w:color w:val="FFFFFF"/>
                <w:sz w:val="16"/>
              </w:rPr>
              <w:t>Inference (ms/sample)</w:t>
            </w:r>
          </w:p>
        </w:tc>
      </w:tr>
      <w:tr>
        <w:trPr>
          <w:cantSplit/>
        </w:trPr>
        <w:tc>
          <w:tcPr>
            <w:tcW w:type="dxa" w:w="2927"/>
            <w:vAlign w:val="center"/>
          </w:tcPr>
          <w:p>
            <w:pPr>
              <w:spacing w:after="0" w:line="240" w:lineRule="auto"/>
              <w:jc w:val="left"/>
            </w:pPr>
            <w:r>
              <w:rPr>
                <w:rFonts w:ascii="Cambria" w:hAnsi="Cambria" w:eastAsia="Cambria"/>
                <w:b w:val="0"/>
                <w:i w:val="0"/>
                <w:color w:val="222222"/>
                <w:sz w:val="16"/>
              </w:rPr>
              <w:t>Logistic Regression</w:t>
            </w:r>
          </w:p>
        </w:tc>
        <w:tc>
          <w:tcPr>
            <w:tcW w:type="dxa" w:w="1390"/>
            <w:vAlign w:val="center"/>
          </w:tcPr>
          <w:p>
            <w:pPr>
              <w:spacing w:after="0" w:line="240" w:lineRule="auto"/>
              <w:jc w:val="center"/>
            </w:pPr>
            <w:r>
              <w:rPr>
                <w:rFonts w:ascii="Cambria" w:hAnsi="Cambria" w:eastAsia="Cambria"/>
                <w:b w:val="0"/>
                <w:i w:val="0"/>
                <w:color w:val="222222"/>
                <w:sz w:val="16"/>
              </w:rPr>
              <w:t>134</w:t>
            </w:r>
          </w:p>
        </w:tc>
        <w:tc>
          <w:tcPr>
            <w:tcW w:type="dxa" w:w="1506"/>
            <w:vAlign w:val="center"/>
          </w:tcPr>
          <w:p>
            <w:pPr>
              <w:spacing w:after="0" w:line="240" w:lineRule="auto"/>
              <w:jc w:val="center"/>
            </w:pPr>
            <w:r>
              <w:rPr>
                <w:rFonts w:ascii="Cambria" w:hAnsi="Cambria" w:eastAsia="Cambria"/>
                <w:b w:val="0"/>
                <w:i w:val="0"/>
                <w:color w:val="222222"/>
                <w:sz w:val="16"/>
              </w:rPr>
              <w:t>1.05</w:t>
            </w:r>
          </w:p>
        </w:tc>
        <w:tc>
          <w:tcPr>
            <w:tcW w:type="dxa" w:w="1622"/>
            <w:vAlign w:val="center"/>
          </w:tcPr>
          <w:p>
            <w:pPr>
              <w:spacing w:after="0" w:line="240" w:lineRule="auto"/>
              <w:jc w:val="center"/>
            </w:pPr>
            <w:r>
              <w:rPr>
                <w:rFonts w:ascii="Cambria" w:hAnsi="Cambria" w:eastAsia="Cambria"/>
                <w:b w:val="0"/>
                <w:i w:val="0"/>
                <w:color w:val="222222"/>
                <w:sz w:val="16"/>
              </w:rPr>
              <w:t>0.50</w:t>
            </w:r>
          </w:p>
        </w:tc>
        <w:tc>
          <w:tcPr>
            <w:tcW w:type="dxa" w:w="2433"/>
            <w:vAlign w:val="center"/>
          </w:tcPr>
          <w:p>
            <w:pPr>
              <w:spacing w:after="0" w:line="240" w:lineRule="auto"/>
              <w:jc w:val="center"/>
            </w:pPr>
            <w:r>
              <w:rPr>
                <w:rFonts w:ascii="Cambria" w:hAnsi="Cambria" w:eastAsia="Cambria"/>
                <w:b w:val="0"/>
                <w:i w:val="0"/>
                <w:color w:val="222222"/>
                <w:sz w:val="16"/>
              </w:rPr>
              <w:t>0.0032</w:t>
            </w:r>
          </w:p>
        </w:tc>
      </w:tr>
      <w:tr>
        <w:trPr>
          <w:cantSplit/>
        </w:trPr>
        <w:tc>
          <w:tcPr>
            <w:tcW w:type="dxa" w:w="2927"/>
            <w:vAlign w:val="center"/>
            <w:shd w:val="clear" w:color="auto" w:fill="F2F5F9"/>
          </w:tcPr>
          <w:p>
            <w:pPr>
              <w:spacing w:after="0" w:line="240" w:lineRule="auto"/>
              <w:jc w:val="left"/>
            </w:pPr>
            <w:r>
              <w:rPr>
                <w:rFonts w:ascii="Cambria" w:hAnsi="Cambria" w:eastAsia="Cambria"/>
                <w:b w:val="0"/>
                <w:i w:val="0"/>
                <w:color w:val="222222"/>
                <w:sz w:val="16"/>
              </w:rPr>
              <w:t>Random Forest</w:t>
            </w:r>
          </w:p>
        </w:tc>
        <w:tc>
          <w:tcPr>
            <w:tcW w:type="dxa" w:w="1390"/>
            <w:vAlign w:val="center"/>
            <w:shd w:val="clear" w:color="auto" w:fill="F2F5F9"/>
          </w:tcPr>
          <w:p>
            <w:pPr>
              <w:spacing w:after="0" w:line="240" w:lineRule="auto"/>
              <w:jc w:val="center"/>
            </w:pPr>
            <w:r>
              <w:rPr>
                <w:rFonts w:ascii="Cambria" w:hAnsi="Cambria" w:eastAsia="Cambria"/>
                <w:b w:val="0"/>
                <w:i w:val="0"/>
                <w:color w:val="222222"/>
                <w:sz w:val="16"/>
              </w:rPr>
              <w:t>21,862 nodes</w:t>
            </w:r>
          </w:p>
        </w:tc>
        <w:tc>
          <w:tcPr>
            <w:tcW w:type="dxa" w:w="1506"/>
            <w:vAlign w:val="center"/>
            <w:shd w:val="clear" w:color="auto" w:fill="F2F5F9"/>
          </w:tcPr>
          <w:p>
            <w:pPr>
              <w:spacing w:after="0" w:line="240" w:lineRule="auto"/>
              <w:jc w:val="center"/>
            </w:pPr>
            <w:r>
              <w:rPr>
                <w:rFonts w:ascii="Cambria" w:hAnsi="Cambria" w:eastAsia="Cambria"/>
                <w:b w:val="0"/>
                <w:i w:val="0"/>
                <w:color w:val="222222"/>
                <w:sz w:val="16"/>
              </w:rPr>
              <w:t>170.80</w:t>
            </w:r>
          </w:p>
        </w:tc>
        <w:tc>
          <w:tcPr>
            <w:tcW w:type="dxa" w:w="1622"/>
            <w:vAlign w:val="center"/>
            <w:shd w:val="clear" w:color="auto" w:fill="F2F5F9"/>
          </w:tcPr>
          <w:p>
            <w:pPr>
              <w:spacing w:after="0" w:line="240" w:lineRule="auto"/>
              <w:jc w:val="center"/>
            </w:pPr>
            <w:r>
              <w:rPr>
                <w:rFonts w:ascii="Cambria" w:hAnsi="Cambria" w:eastAsia="Cambria"/>
                <w:b w:val="0"/>
                <w:i w:val="0"/>
                <w:color w:val="222222"/>
                <w:sz w:val="16"/>
              </w:rPr>
              <w:t>5.17</w:t>
            </w:r>
          </w:p>
        </w:tc>
        <w:tc>
          <w:tcPr>
            <w:tcW w:type="dxa" w:w="2433"/>
            <w:vAlign w:val="center"/>
            <w:shd w:val="clear" w:color="auto" w:fill="F2F5F9"/>
          </w:tcPr>
          <w:p>
            <w:pPr>
              <w:spacing w:after="0" w:line="240" w:lineRule="auto"/>
              <w:jc w:val="center"/>
            </w:pPr>
            <w:r>
              <w:rPr>
                <w:rFonts w:ascii="Cambria" w:hAnsi="Cambria" w:eastAsia="Cambria"/>
                <w:b w:val="0"/>
                <w:i w:val="0"/>
                <w:color w:val="222222"/>
                <w:sz w:val="16"/>
              </w:rPr>
              <w:t>0.5187</w:t>
            </w:r>
          </w:p>
        </w:tc>
      </w:tr>
      <w:tr>
        <w:trPr>
          <w:cantSplit/>
        </w:trPr>
        <w:tc>
          <w:tcPr>
            <w:tcW w:type="dxa" w:w="2927"/>
            <w:vAlign w:val="center"/>
          </w:tcPr>
          <w:p>
            <w:pPr>
              <w:spacing w:after="0" w:line="240" w:lineRule="auto"/>
              <w:jc w:val="left"/>
            </w:pPr>
            <w:r>
              <w:rPr>
                <w:rFonts w:ascii="Cambria" w:hAnsi="Cambria" w:eastAsia="Cambria"/>
                <w:b w:val="0"/>
                <w:i w:val="0"/>
                <w:color w:val="222222"/>
                <w:sz w:val="16"/>
              </w:rPr>
              <w:t>Central MLP</w:t>
            </w:r>
          </w:p>
        </w:tc>
        <w:tc>
          <w:tcPr>
            <w:tcW w:type="dxa" w:w="1390"/>
            <w:vAlign w:val="center"/>
          </w:tcPr>
          <w:p>
            <w:pPr>
              <w:spacing w:after="0" w:line="240" w:lineRule="auto"/>
              <w:jc w:val="center"/>
            </w:pPr>
            <w:r>
              <w:rPr>
                <w:rFonts w:ascii="Cambria" w:hAnsi="Cambria" w:eastAsia="Cambria"/>
                <w:b w:val="0"/>
                <w:i w:val="0"/>
                <w:color w:val="222222"/>
                <w:sz w:val="16"/>
              </w:rPr>
              <w:t>25,473</w:t>
            </w:r>
          </w:p>
        </w:tc>
        <w:tc>
          <w:tcPr>
            <w:tcW w:type="dxa" w:w="1506"/>
            <w:vAlign w:val="center"/>
          </w:tcPr>
          <w:p>
            <w:pPr>
              <w:spacing w:after="0" w:line="240" w:lineRule="auto"/>
              <w:jc w:val="center"/>
            </w:pPr>
            <w:r>
              <w:rPr>
                <w:rFonts w:ascii="Cambria" w:hAnsi="Cambria" w:eastAsia="Cambria"/>
                <w:b w:val="0"/>
                <w:i w:val="0"/>
                <w:color w:val="222222"/>
                <w:sz w:val="16"/>
              </w:rPr>
              <w:t>99.50</w:t>
            </w:r>
          </w:p>
        </w:tc>
        <w:tc>
          <w:tcPr>
            <w:tcW w:type="dxa" w:w="1622"/>
            <w:vAlign w:val="center"/>
          </w:tcPr>
          <w:p>
            <w:pPr>
              <w:spacing w:after="0" w:line="240" w:lineRule="auto"/>
              <w:jc w:val="center"/>
            </w:pPr>
            <w:r>
              <w:rPr>
                <w:rFonts w:ascii="Cambria" w:hAnsi="Cambria" w:eastAsia="Cambria"/>
                <w:b w:val="0"/>
                <w:i w:val="0"/>
                <w:color w:val="222222"/>
                <w:sz w:val="16"/>
              </w:rPr>
              <w:t>15.45</w:t>
            </w:r>
          </w:p>
        </w:tc>
        <w:tc>
          <w:tcPr>
            <w:tcW w:type="dxa" w:w="2433"/>
            <w:vAlign w:val="center"/>
          </w:tcPr>
          <w:p>
            <w:pPr>
              <w:spacing w:after="0" w:line="240" w:lineRule="auto"/>
              <w:jc w:val="center"/>
            </w:pPr>
            <w:r>
              <w:rPr>
                <w:rFonts w:ascii="Cambria" w:hAnsi="Cambria" w:eastAsia="Cambria"/>
                <w:b w:val="0"/>
                <w:i w:val="0"/>
                <w:color w:val="222222"/>
                <w:sz w:val="16"/>
              </w:rPr>
              <w:t>0.0058</w:t>
            </w:r>
          </w:p>
        </w:tc>
      </w:tr>
      <w:tr>
        <w:trPr>
          <w:cantSplit/>
        </w:trPr>
        <w:tc>
          <w:tcPr>
            <w:tcW w:type="dxa" w:w="2927"/>
            <w:vAlign w:val="center"/>
            <w:shd w:val="clear" w:color="auto" w:fill="F2F5F9"/>
          </w:tcPr>
          <w:p>
            <w:pPr>
              <w:spacing w:after="0" w:line="240" w:lineRule="auto"/>
              <w:jc w:val="left"/>
            </w:pPr>
            <w:r>
              <w:rPr>
                <w:rFonts w:ascii="Cambria" w:hAnsi="Cambria" w:eastAsia="Cambria"/>
                <w:b w:val="0"/>
                <w:i w:val="0"/>
                <w:color w:val="222222"/>
                <w:sz w:val="16"/>
              </w:rPr>
              <w:t>Central lightweight MLP</w:t>
            </w:r>
          </w:p>
        </w:tc>
        <w:tc>
          <w:tcPr>
            <w:tcW w:type="dxa" w:w="1390"/>
            <w:vAlign w:val="center"/>
            <w:shd w:val="clear" w:color="auto" w:fill="F2F5F9"/>
          </w:tcPr>
          <w:p>
            <w:pPr>
              <w:spacing w:after="0" w:line="240" w:lineRule="auto"/>
              <w:jc w:val="center"/>
            </w:pPr>
            <w:r>
              <w:rPr>
                <w:rFonts w:ascii="Cambria" w:hAnsi="Cambria" w:eastAsia="Cambria"/>
                <w:b w:val="0"/>
                <w:i w:val="0"/>
                <w:color w:val="222222"/>
                <w:sz w:val="16"/>
              </w:rPr>
              <w:t>10,689</w:t>
            </w:r>
          </w:p>
        </w:tc>
        <w:tc>
          <w:tcPr>
            <w:tcW w:type="dxa" w:w="1506"/>
            <w:vAlign w:val="center"/>
            <w:shd w:val="clear" w:color="auto" w:fill="F2F5F9"/>
          </w:tcPr>
          <w:p>
            <w:pPr>
              <w:spacing w:after="0" w:line="240" w:lineRule="auto"/>
              <w:jc w:val="center"/>
            </w:pPr>
            <w:r>
              <w:rPr>
                <w:rFonts w:ascii="Cambria" w:hAnsi="Cambria" w:eastAsia="Cambria"/>
                <w:b w:val="0"/>
                <w:i w:val="0"/>
                <w:color w:val="222222"/>
                <w:sz w:val="16"/>
              </w:rPr>
              <w:t>41.75</w:t>
            </w:r>
          </w:p>
        </w:tc>
        <w:tc>
          <w:tcPr>
            <w:tcW w:type="dxa" w:w="1622"/>
            <w:vAlign w:val="center"/>
            <w:shd w:val="clear" w:color="auto" w:fill="F2F5F9"/>
          </w:tcPr>
          <w:p>
            <w:pPr>
              <w:spacing w:after="0" w:line="240" w:lineRule="auto"/>
              <w:jc w:val="center"/>
            </w:pPr>
            <w:r>
              <w:rPr>
                <w:rFonts w:ascii="Cambria" w:hAnsi="Cambria" w:eastAsia="Cambria"/>
                <w:b w:val="0"/>
                <w:i w:val="0"/>
                <w:color w:val="222222"/>
                <w:sz w:val="16"/>
              </w:rPr>
              <w:t>7.52</w:t>
            </w:r>
          </w:p>
        </w:tc>
        <w:tc>
          <w:tcPr>
            <w:tcW w:type="dxa" w:w="2433"/>
            <w:vAlign w:val="center"/>
            <w:shd w:val="clear" w:color="auto" w:fill="F2F5F9"/>
          </w:tcPr>
          <w:p>
            <w:pPr>
              <w:spacing w:after="0" w:line="240" w:lineRule="auto"/>
              <w:jc w:val="center"/>
            </w:pPr>
            <w:r>
              <w:rPr>
                <w:rFonts w:ascii="Cambria" w:hAnsi="Cambria" w:eastAsia="Cambria"/>
                <w:b w:val="0"/>
                <w:i w:val="0"/>
                <w:color w:val="222222"/>
                <w:sz w:val="16"/>
              </w:rPr>
              <w:t>0.0042</w:t>
            </w:r>
          </w:p>
        </w:tc>
      </w:tr>
      <w:tr>
        <w:trPr>
          <w:cantSplit/>
        </w:trPr>
        <w:tc>
          <w:tcPr>
            <w:tcW w:type="dxa" w:w="2927"/>
            <w:vAlign w:val="center"/>
          </w:tcPr>
          <w:p>
            <w:pPr>
              <w:spacing w:after="0" w:line="240" w:lineRule="auto"/>
              <w:jc w:val="left"/>
            </w:pPr>
            <w:r>
              <w:rPr>
                <w:rFonts w:ascii="Cambria" w:hAnsi="Cambria" w:eastAsia="Cambria"/>
                <w:b w:val="0"/>
                <w:i w:val="0"/>
                <w:color w:val="222222"/>
                <w:sz w:val="16"/>
              </w:rPr>
              <w:t>CNN-LSTM</w:t>
            </w:r>
          </w:p>
        </w:tc>
        <w:tc>
          <w:tcPr>
            <w:tcW w:type="dxa" w:w="1390"/>
            <w:vAlign w:val="center"/>
          </w:tcPr>
          <w:p>
            <w:pPr>
              <w:spacing w:after="0" w:line="240" w:lineRule="auto"/>
              <w:jc w:val="center"/>
            </w:pPr>
            <w:r>
              <w:rPr>
                <w:rFonts w:ascii="Cambria" w:hAnsi="Cambria" w:eastAsia="Cambria"/>
                <w:b w:val="0"/>
                <w:i w:val="0"/>
                <w:color w:val="222222"/>
                <w:sz w:val="16"/>
              </w:rPr>
              <w:t>21,617</w:t>
            </w:r>
          </w:p>
        </w:tc>
        <w:tc>
          <w:tcPr>
            <w:tcW w:type="dxa" w:w="1506"/>
            <w:vAlign w:val="center"/>
          </w:tcPr>
          <w:p>
            <w:pPr>
              <w:spacing w:after="0" w:line="240" w:lineRule="auto"/>
              <w:jc w:val="center"/>
            </w:pPr>
            <w:r>
              <w:rPr>
                <w:rFonts w:ascii="Cambria" w:hAnsi="Cambria" w:eastAsia="Cambria"/>
                <w:b w:val="0"/>
                <w:i w:val="0"/>
                <w:color w:val="222222"/>
                <w:sz w:val="16"/>
              </w:rPr>
              <w:t>84.44</w:t>
            </w:r>
          </w:p>
        </w:tc>
        <w:tc>
          <w:tcPr>
            <w:tcW w:type="dxa" w:w="1622"/>
            <w:vAlign w:val="center"/>
          </w:tcPr>
          <w:p>
            <w:pPr>
              <w:spacing w:after="0" w:line="240" w:lineRule="auto"/>
              <w:jc w:val="center"/>
            </w:pPr>
            <w:r>
              <w:rPr>
                <w:rFonts w:ascii="Cambria" w:hAnsi="Cambria" w:eastAsia="Cambria"/>
                <w:b w:val="0"/>
                <w:i w:val="0"/>
                <w:color w:val="222222"/>
                <w:sz w:val="16"/>
              </w:rPr>
              <w:t>36.16</w:t>
            </w:r>
          </w:p>
        </w:tc>
        <w:tc>
          <w:tcPr>
            <w:tcW w:type="dxa" w:w="2433"/>
            <w:vAlign w:val="center"/>
          </w:tcPr>
          <w:p>
            <w:pPr>
              <w:spacing w:after="0" w:line="240" w:lineRule="auto"/>
              <w:jc w:val="center"/>
            </w:pPr>
            <w:r>
              <w:rPr>
                <w:rFonts w:ascii="Cambria" w:hAnsi="Cambria" w:eastAsia="Cambria"/>
                <w:b w:val="0"/>
                <w:i w:val="0"/>
                <w:color w:val="222222"/>
                <w:sz w:val="16"/>
              </w:rPr>
              <w:t>0.1587</w:t>
            </w:r>
          </w:p>
        </w:tc>
      </w:tr>
      <w:tr>
        <w:trPr>
          <w:cantSplit/>
        </w:trPr>
        <w:tc>
          <w:tcPr>
            <w:tcW w:type="dxa" w:w="2927"/>
            <w:vAlign w:val="center"/>
            <w:shd w:val="clear" w:color="auto" w:fill="F2F5F9"/>
          </w:tcPr>
          <w:p>
            <w:pPr>
              <w:spacing w:after="0" w:line="240" w:lineRule="auto"/>
              <w:jc w:val="left"/>
            </w:pPr>
            <w:r>
              <w:rPr>
                <w:rFonts w:ascii="Cambria" w:hAnsi="Cambria" w:eastAsia="Cambria"/>
                <w:b w:val="0"/>
                <w:i w:val="0"/>
                <w:color w:val="222222"/>
                <w:sz w:val="16"/>
              </w:rPr>
              <w:t>FedAvg (federated)</w:t>
            </w:r>
          </w:p>
        </w:tc>
        <w:tc>
          <w:tcPr>
            <w:tcW w:type="dxa" w:w="1390"/>
            <w:vAlign w:val="center"/>
            <w:shd w:val="clear" w:color="auto" w:fill="F2F5F9"/>
          </w:tcPr>
          <w:p>
            <w:pPr>
              <w:spacing w:after="0" w:line="240" w:lineRule="auto"/>
              <w:jc w:val="center"/>
            </w:pPr>
            <w:r>
              <w:rPr>
                <w:rFonts w:ascii="Cambria" w:hAnsi="Cambria" w:eastAsia="Cambria"/>
                <w:b w:val="0"/>
                <w:i w:val="0"/>
                <w:color w:val="222222"/>
                <w:sz w:val="16"/>
              </w:rPr>
              <w:t>10,689</w:t>
            </w:r>
          </w:p>
        </w:tc>
        <w:tc>
          <w:tcPr>
            <w:tcW w:type="dxa" w:w="1506"/>
            <w:vAlign w:val="center"/>
            <w:shd w:val="clear" w:color="auto" w:fill="F2F5F9"/>
          </w:tcPr>
          <w:p>
            <w:pPr>
              <w:spacing w:after="0" w:line="240" w:lineRule="auto"/>
              <w:jc w:val="center"/>
            </w:pPr>
            <w:r>
              <w:rPr>
                <w:rFonts w:ascii="Cambria" w:hAnsi="Cambria" w:eastAsia="Cambria"/>
                <w:b w:val="0"/>
                <w:i w:val="0"/>
                <w:color w:val="222222"/>
                <w:sz w:val="16"/>
              </w:rPr>
              <w:t>41.75</w:t>
            </w:r>
          </w:p>
        </w:tc>
        <w:tc>
          <w:tcPr>
            <w:tcW w:type="dxa" w:w="1622"/>
            <w:vAlign w:val="center"/>
            <w:shd w:val="clear" w:color="auto" w:fill="F2F5F9"/>
          </w:tcPr>
          <w:p>
            <w:pPr>
              <w:spacing w:after="0" w:line="240" w:lineRule="auto"/>
              <w:jc w:val="center"/>
            </w:pPr>
            <w:r>
              <w:rPr>
                <w:rFonts w:ascii="Cambria" w:hAnsi="Cambria" w:eastAsia="Cambria"/>
                <w:b w:val="0"/>
                <w:i w:val="0"/>
                <w:color w:val="222222"/>
                <w:sz w:val="16"/>
              </w:rPr>
              <w:t>15.51</w:t>
            </w:r>
          </w:p>
        </w:tc>
        <w:tc>
          <w:tcPr>
            <w:tcW w:type="dxa" w:w="2433"/>
            <w:vAlign w:val="center"/>
            <w:shd w:val="clear" w:color="auto" w:fill="F2F5F9"/>
          </w:tcPr>
          <w:p>
            <w:pPr>
              <w:spacing w:after="0" w:line="240" w:lineRule="auto"/>
              <w:jc w:val="center"/>
            </w:pPr>
            <w:r>
              <w:rPr>
                <w:rFonts w:ascii="Cambria" w:hAnsi="Cambria" w:eastAsia="Cambria"/>
                <w:b w:val="0"/>
                <w:i w:val="0"/>
                <w:color w:val="222222"/>
                <w:sz w:val="16"/>
              </w:rPr>
              <w:t>0.0048</w:t>
            </w:r>
          </w:p>
        </w:tc>
      </w:tr>
      <w:tr>
        <w:trPr>
          <w:cantSplit/>
        </w:trPr>
        <w:tc>
          <w:tcPr>
            <w:tcW w:type="dxa" w:w="2927"/>
            <w:vAlign w:val="center"/>
          </w:tcPr>
          <w:p>
            <w:pPr>
              <w:spacing w:after="0" w:line="240" w:lineRule="auto"/>
              <w:jc w:val="left"/>
            </w:pPr>
            <w:r>
              <w:rPr>
                <w:rFonts w:ascii="Cambria" w:hAnsi="Cambria" w:eastAsia="Cambria"/>
                <w:b w:val="0"/>
                <w:i w:val="0"/>
                <w:color w:val="222222"/>
                <w:sz w:val="16"/>
              </w:rPr>
              <w:t>PowerShield-FL (federated)</w:t>
            </w:r>
          </w:p>
        </w:tc>
        <w:tc>
          <w:tcPr>
            <w:tcW w:type="dxa" w:w="1390"/>
            <w:vAlign w:val="center"/>
          </w:tcPr>
          <w:p>
            <w:pPr>
              <w:spacing w:after="0" w:line="240" w:lineRule="auto"/>
              <w:jc w:val="center"/>
            </w:pPr>
            <w:r>
              <w:rPr>
                <w:rFonts w:ascii="Cambria" w:hAnsi="Cambria" w:eastAsia="Cambria"/>
                <w:b w:val="0"/>
                <w:i w:val="0"/>
                <w:color w:val="222222"/>
                <w:sz w:val="16"/>
              </w:rPr>
              <w:t>10,689</w:t>
            </w:r>
          </w:p>
        </w:tc>
        <w:tc>
          <w:tcPr>
            <w:tcW w:type="dxa" w:w="1506"/>
            <w:vAlign w:val="center"/>
          </w:tcPr>
          <w:p>
            <w:pPr>
              <w:spacing w:after="0" w:line="240" w:lineRule="auto"/>
              <w:jc w:val="center"/>
            </w:pPr>
            <w:r>
              <w:rPr>
                <w:rFonts w:ascii="Cambria" w:hAnsi="Cambria" w:eastAsia="Cambria"/>
                <w:b w:val="0"/>
                <w:i w:val="0"/>
                <w:color w:val="222222"/>
                <w:sz w:val="16"/>
              </w:rPr>
              <w:t>41.75</w:t>
            </w:r>
          </w:p>
        </w:tc>
        <w:tc>
          <w:tcPr>
            <w:tcW w:type="dxa" w:w="1622"/>
            <w:vAlign w:val="center"/>
          </w:tcPr>
          <w:p>
            <w:pPr>
              <w:spacing w:after="0" w:line="240" w:lineRule="auto"/>
              <w:jc w:val="center"/>
            </w:pPr>
            <w:r>
              <w:rPr>
                <w:rFonts w:ascii="Cambria" w:hAnsi="Cambria" w:eastAsia="Cambria"/>
                <w:b w:val="0"/>
                <w:i w:val="0"/>
                <w:color w:val="222222"/>
                <w:sz w:val="16"/>
              </w:rPr>
              <w:t>15.97</w:t>
            </w:r>
          </w:p>
        </w:tc>
        <w:tc>
          <w:tcPr>
            <w:tcW w:type="dxa" w:w="2433"/>
            <w:vAlign w:val="center"/>
          </w:tcPr>
          <w:p>
            <w:pPr>
              <w:spacing w:after="0" w:line="240" w:lineRule="auto"/>
              <w:jc w:val="center"/>
            </w:pPr>
            <w:r>
              <w:rPr>
                <w:rFonts w:ascii="Cambria" w:hAnsi="Cambria" w:eastAsia="Cambria"/>
                <w:b w:val="0"/>
                <w:i w:val="0"/>
                <w:color w:val="222222"/>
                <w:sz w:val="16"/>
              </w:rPr>
              <w:t>0.0040</w:t>
            </w:r>
          </w:p>
        </w:tc>
      </w:tr>
    </w:tbl>
    <w:p>
      <w:pPr>
        <w:spacing w:after="20"/>
      </w:pPr>
    </w:p>
    <w:p>
      <w:pPr>
        <w:pStyle w:val="Heading2"/>
      </w:pPr>
      <w:r>
        <w:rPr>
          <w:rFonts w:ascii="Cambria" w:hAnsi="Cambria" w:eastAsia="Cambria"/>
          <w:b/>
          <w:i w:val="0"/>
          <w:color w:val="2E5C8A"/>
          <w:sz w:val="22"/>
        </w:rPr>
        <w:t>5.3 Federated Detection</w:t>
      </w:r>
    </w:p>
    <w:p>
      <w:pPr>
        <w:spacing w:after="100" w:line="264" w:lineRule="auto"/>
        <w:jc w:val="both"/>
      </w:pPr>
      <w:r>
        <w:rPr>
          <w:rFonts w:ascii="Cambria" w:hAnsi="Cambria" w:eastAsia="Cambria"/>
          <w:b w:val="0"/>
          <w:i w:val="0"/>
          <w:color w:val="222222"/>
          <w:sz w:val="20"/>
        </w:rPr>
        <w:t>Table 5 compares FedAvg and PowerShield-FL. Both use the same model and partition. FedAvg reaches F1 = 0.9938 with precision 1.0000 and recall 0.9877; PowerShield-FL reaches F1 = 0.9969 with precision 1.0000 and recall 0.9938. The difference is +0.0031 F1, which corresponds to one additional true-positive test window: FedAvg has TP = 160 and FN = 2; PowerShield-FL has TP = 161 and FN = 1. Both have FP = 0 and TN = 2,526. This is a single-window difference out of 162 positive windows, not a meaningful performance separation. The window-level ROC-AUC is slightly higher for FedAvg (0.9973) than for PowerShield-FL (0.9969), so the ranking quality does not uniformly favor the proposed system.</w:t>
      </w:r>
    </w:p>
    <w:p>
      <w:pPr>
        <w:keepNext/>
        <w:spacing w:before="140" w:after="60" w:line="240" w:lineRule="auto"/>
        <w:jc w:val="left"/>
      </w:pPr>
      <w:r>
        <w:rPr>
          <w:rFonts w:ascii="Cambria" w:hAnsi="Cambria" w:eastAsia="Cambria"/>
          <w:b/>
          <w:i w:val="0"/>
          <w:color w:val="1F3864"/>
          <w:sz w:val="18"/>
        </w:rPr>
        <w:t>Table 5. Federated window-level comparison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2064"/>
        <w:gridCol w:w="1327"/>
        <w:gridCol w:w="885"/>
        <w:gridCol w:w="885"/>
        <w:gridCol w:w="1032"/>
        <w:gridCol w:w="885"/>
        <w:gridCol w:w="1180"/>
        <w:gridCol w:w="1622"/>
      </w:tblGrid>
      <w:tr>
        <w:trPr>
          <w:tblHeader w:val="true"/>
          <w:cantSplit/>
        </w:trPr>
        <w:tc>
          <w:tcPr>
            <w:tcW w:type="dxa" w:w="2064"/>
            <w:vAlign w:val="center"/>
            <w:shd w:val="clear" w:color="auto" w:fill="1F3864"/>
          </w:tcPr>
          <w:p>
            <w:pPr>
              <w:spacing w:after="0" w:line="240" w:lineRule="auto"/>
              <w:jc w:val="left"/>
            </w:pPr>
            <w:r>
              <w:rPr>
                <w:rFonts w:ascii="Cambria" w:hAnsi="Cambria" w:eastAsia="Cambria"/>
                <w:b/>
                <w:i w:val="0"/>
                <w:color w:val="FFFFFF"/>
                <w:sz w:val="16"/>
              </w:rPr>
              <w:t>Method</w:t>
            </w:r>
          </w:p>
        </w:tc>
        <w:tc>
          <w:tcPr>
            <w:tcW w:type="dxa" w:w="1327"/>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885"/>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885"/>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1032"/>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885"/>
            <w:vAlign w:val="center"/>
            <w:shd w:val="clear" w:color="auto" w:fill="1F3864"/>
          </w:tcPr>
          <w:p>
            <w:pPr>
              <w:spacing w:after="0" w:line="240" w:lineRule="auto"/>
              <w:jc w:val="center"/>
            </w:pPr>
            <w:r>
              <w:rPr>
                <w:rFonts w:ascii="Cambria" w:hAnsi="Cambria" w:eastAsia="Cambria"/>
                <w:b/>
                <w:i w:val="0"/>
                <w:color w:val="FFFFFF"/>
                <w:sz w:val="16"/>
              </w:rPr>
              <w:t>PR-AUC</w:t>
            </w:r>
          </w:p>
        </w:tc>
        <w:tc>
          <w:tcPr>
            <w:tcW w:type="dxa" w:w="1180"/>
            <w:vAlign w:val="center"/>
            <w:shd w:val="clear" w:color="auto" w:fill="1F3864"/>
          </w:tcPr>
          <w:p>
            <w:pPr>
              <w:spacing w:after="0" w:line="240" w:lineRule="auto"/>
              <w:jc w:val="center"/>
            </w:pPr>
            <w:r>
              <w:rPr>
                <w:rFonts w:ascii="Cambria" w:hAnsi="Cambria" w:eastAsia="Cambria"/>
                <w:b/>
                <w:i w:val="0"/>
                <w:color w:val="FFFFFF"/>
                <w:sz w:val="16"/>
              </w:rPr>
              <w:t>Time (s)</w:t>
            </w:r>
          </w:p>
        </w:tc>
        <w:tc>
          <w:tcPr>
            <w:tcW w:type="dxa" w:w="1622"/>
            <w:vAlign w:val="center"/>
            <w:shd w:val="clear" w:color="auto" w:fill="1F3864"/>
          </w:tcPr>
          <w:p>
            <w:pPr>
              <w:spacing w:after="0" w:line="240" w:lineRule="auto"/>
              <w:jc w:val="center"/>
            </w:pPr>
            <w:r>
              <w:rPr>
                <w:rFonts w:ascii="Cambria" w:hAnsi="Cambria" w:eastAsia="Cambria"/>
                <w:b/>
                <w:i w:val="0"/>
                <w:color w:val="FFFFFF"/>
                <w:sz w:val="16"/>
              </w:rPr>
              <w:t>Total bytes</w:t>
            </w:r>
          </w:p>
        </w:tc>
      </w:tr>
      <w:tr>
        <w:trPr>
          <w:cantSplit/>
        </w:trPr>
        <w:tc>
          <w:tcPr>
            <w:tcW w:type="dxa" w:w="2064"/>
            <w:vAlign w:val="center"/>
          </w:tcPr>
          <w:p>
            <w:pPr>
              <w:spacing w:after="0" w:line="240" w:lineRule="auto"/>
              <w:jc w:val="left"/>
            </w:pPr>
            <w:r>
              <w:rPr>
                <w:rFonts w:ascii="Cambria" w:hAnsi="Cambria" w:eastAsia="Cambria"/>
                <w:b w:val="0"/>
                <w:i w:val="0"/>
                <w:color w:val="222222"/>
                <w:sz w:val="16"/>
              </w:rPr>
              <w:t>FedAvg</w:t>
            </w:r>
          </w:p>
        </w:tc>
        <w:tc>
          <w:tcPr>
            <w:tcW w:type="dxa" w:w="1327"/>
            <w:vAlign w:val="center"/>
          </w:tcPr>
          <w:p>
            <w:pPr>
              <w:spacing w:after="0" w:line="240" w:lineRule="auto"/>
              <w:jc w:val="center"/>
            </w:pPr>
            <w:r>
              <w:rPr>
                <w:rFonts w:ascii="Cambria" w:hAnsi="Cambria" w:eastAsia="Cambria"/>
                <w:b w:val="0"/>
                <w:i w:val="0"/>
                <w:color w:val="222222"/>
                <w:sz w:val="16"/>
              </w:rPr>
              <w:t>1.0000</w:t>
            </w:r>
          </w:p>
        </w:tc>
        <w:tc>
          <w:tcPr>
            <w:tcW w:type="dxa" w:w="885"/>
            <w:vAlign w:val="center"/>
          </w:tcPr>
          <w:p>
            <w:pPr>
              <w:spacing w:after="0" w:line="240" w:lineRule="auto"/>
              <w:jc w:val="center"/>
            </w:pPr>
            <w:r>
              <w:rPr>
                <w:rFonts w:ascii="Cambria" w:hAnsi="Cambria" w:eastAsia="Cambria"/>
                <w:b w:val="0"/>
                <w:i w:val="0"/>
                <w:color w:val="222222"/>
                <w:sz w:val="16"/>
              </w:rPr>
              <w:t>0.9877</w:t>
            </w:r>
          </w:p>
        </w:tc>
        <w:tc>
          <w:tcPr>
            <w:tcW w:type="dxa" w:w="885"/>
            <w:vAlign w:val="center"/>
          </w:tcPr>
          <w:p>
            <w:pPr>
              <w:spacing w:after="0" w:line="240" w:lineRule="auto"/>
              <w:jc w:val="center"/>
            </w:pPr>
            <w:r>
              <w:rPr>
                <w:rFonts w:ascii="Cambria" w:hAnsi="Cambria" w:eastAsia="Cambria"/>
                <w:b w:val="0"/>
                <w:i w:val="0"/>
                <w:color w:val="222222"/>
                <w:sz w:val="16"/>
              </w:rPr>
              <w:t>0.9938</w:t>
            </w:r>
          </w:p>
        </w:tc>
        <w:tc>
          <w:tcPr>
            <w:tcW w:type="dxa" w:w="1032"/>
            <w:vAlign w:val="center"/>
          </w:tcPr>
          <w:p>
            <w:pPr>
              <w:spacing w:after="0" w:line="240" w:lineRule="auto"/>
              <w:jc w:val="center"/>
            </w:pPr>
            <w:r>
              <w:rPr>
                <w:rFonts w:ascii="Cambria" w:hAnsi="Cambria" w:eastAsia="Cambria"/>
                <w:b w:val="0"/>
                <w:i w:val="0"/>
                <w:color w:val="222222"/>
                <w:sz w:val="16"/>
              </w:rPr>
              <w:t>0.9973</w:t>
            </w:r>
          </w:p>
        </w:tc>
        <w:tc>
          <w:tcPr>
            <w:tcW w:type="dxa" w:w="885"/>
            <w:vAlign w:val="center"/>
          </w:tcPr>
          <w:p>
            <w:pPr>
              <w:spacing w:after="0" w:line="240" w:lineRule="auto"/>
              <w:jc w:val="center"/>
            </w:pPr>
            <w:r>
              <w:rPr>
                <w:rFonts w:ascii="Cambria" w:hAnsi="Cambria" w:eastAsia="Cambria"/>
                <w:b w:val="0"/>
                <w:i w:val="0"/>
                <w:color w:val="222222"/>
                <w:sz w:val="16"/>
              </w:rPr>
              <w:t>0.9927</w:t>
            </w:r>
          </w:p>
        </w:tc>
        <w:tc>
          <w:tcPr>
            <w:tcW w:type="dxa" w:w="1180"/>
            <w:vAlign w:val="center"/>
          </w:tcPr>
          <w:p>
            <w:pPr>
              <w:spacing w:after="0" w:line="240" w:lineRule="auto"/>
              <w:jc w:val="center"/>
            </w:pPr>
            <w:r>
              <w:rPr>
                <w:rFonts w:ascii="Cambria" w:hAnsi="Cambria" w:eastAsia="Cambria"/>
                <w:b w:val="0"/>
                <w:i w:val="0"/>
                <w:color w:val="222222"/>
                <w:sz w:val="16"/>
              </w:rPr>
              <w:t>15.51</w:t>
            </w:r>
          </w:p>
        </w:tc>
        <w:tc>
          <w:tcPr>
            <w:tcW w:type="dxa" w:w="1622"/>
            <w:vAlign w:val="center"/>
          </w:tcPr>
          <w:p>
            <w:pPr>
              <w:spacing w:after="0" w:line="240" w:lineRule="auto"/>
              <w:jc w:val="center"/>
            </w:pPr>
            <w:r>
              <w:rPr>
                <w:rFonts w:ascii="Cambria" w:hAnsi="Cambria" w:eastAsia="Cambria"/>
                <w:b w:val="0"/>
                <w:i w:val="0"/>
                <w:color w:val="222222"/>
                <w:sz w:val="16"/>
              </w:rPr>
              <w:t>3,453,520</w:t>
            </w:r>
          </w:p>
        </w:tc>
      </w:tr>
      <w:tr>
        <w:trPr>
          <w:cantSplit/>
        </w:trPr>
        <w:tc>
          <w:tcPr>
            <w:tcW w:type="dxa" w:w="2064"/>
            <w:vAlign w:val="center"/>
            <w:shd w:val="clear" w:color="auto" w:fill="F2F5F9"/>
          </w:tcPr>
          <w:p>
            <w:pPr>
              <w:spacing w:after="0" w:line="240" w:lineRule="auto"/>
              <w:jc w:val="left"/>
            </w:pPr>
            <w:r>
              <w:rPr>
                <w:rFonts w:ascii="Cambria" w:hAnsi="Cambria" w:eastAsia="Cambria"/>
                <w:b w:val="0"/>
                <w:i w:val="0"/>
                <w:color w:val="222222"/>
                <w:sz w:val="16"/>
              </w:rPr>
              <w:t>PowerShield-FL</w:t>
            </w:r>
          </w:p>
        </w:tc>
        <w:tc>
          <w:tcPr>
            <w:tcW w:type="dxa" w:w="1327"/>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885"/>
            <w:vAlign w:val="center"/>
            <w:shd w:val="clear" w:color="auto" w:fill="F2F5F9"/>
          </w:tcPr>
          <w:p>
            <w:pPr>
              <w:spacing w:after="0" w:line="240" w:lineRule="auto"/>
              <w:jc w:val="center"/>
            </w:pPr>
            <w:r>
              <w:rPr>
                <w:rFonts w:ascii="Cambria" w:hAnsi="Cambria" w:eastAsia="Cambria"/>
                <w:b w:val="0"/>
                <w:i w:val="0"/>
                <w:color w:val="222222"/>
                <w:sz w:val="16"/>
              </w:rPr>
              <w:t>0.9938</w:t>
            </w:r>
          </w:p>
        </w:tc>
        <w:tc>
          <w:tcPr>
            <w:tcW w:type="dxa" w:w="885"/>
            <w:vAlign w:val="center"/>
            <w:shd w:val="clear" w:color="auto" w:fill="F2F5F9"/>
          </w:tcPr>
          <w:p>
            <w:pPr>
              <w:spacing w:after="0" w:line="240" w:lineRule="auto"/>
              <w:jc w:val="center"/>
            </w:pPr>
            <w:r>
              <w:rPr>
                <w:rFonts w:ascii="Cambria" w:hAnsi="Cambria" w:eastAsia="Cambria"/>
                <w:b w:val="0"/>
                <w:i w:val="0"/>
                <w:color w:val="222222"/>
                <w:sz w:val="16"/>
              </w:rPr>
              <w:t>0.9969</w:t>
            </w:r>
          </w:p>
        </w:tc>
        <w:tc>
          <w:tcPr>
            <w:tcW w:type="dxa" w:w="1032"/>
            <w:vAlign w:val="center"/>
            <w:shd w:val="clear" w:color="auto" w:fill="F2F5F9"/>
          </w:tcPr>
          <w:p>
            <w:pPr>
              <w:spacing w:after="0" w:line="240" w:lineRule="auto"/>
              <w:jc w:val="center"/>
            </w:pPr>
            <w:r>
              <w:rPr>
                <w:rFonts w:ascii="Cambria" w:hAnsi="Cambria" w:eastAsia="Cambria"/>
                <w:b w:val="0"/>
                <w:i w:val="0"/>
                <w:color w:val="222222"/>
                <w:sz w:val="16"/>
              </w:rPr>
              <w:t>0.9969</w:t>
            </w:r>
          </w:p>
        </w:tc>
        <w:tc>
          <w:tcPr>
            <w:tcW w:type="dxa" w:w="885"/>
            <w:vAlign w:val="center"/>
            <w:shd w:val="clear" w:color="auto" w:fill="F2F5F9"/>
          </w:tcPr>
          <w:p>
            <w:pPr>
              <w:spacing w:after="0" w:line="240" w:lineRule="auto"/>
              <w:jc w:val="center"/>
            </w:pPr>
            <w:r>
              <w:rPr>
                <w:rFonts w:ascii="Cambria" w:hAnsi="Cambria" w:eastAsia="Cambria"/>
                <w:b w:val="0"/>
                <w:i w:val="0"/>
                <w:color w:val="222222"/>
                <w:sz w:val="16"/>
              </w:rPr>
              <w:t>0.9945</w:t>
            </w:r>
          </w:p>
        </w:tc>
        <w:tc>
          <w:tcPr>
            <w:tcW w:type="dxa" w:w="1180"/>
            <w:vAlign w:val="center"/>
            <w:shd w:val="clear" w:color="auto" w:fill="F2F5F9"/>
          </w:tcPr>
          <w:p>
            <w:pPr>
              <w:spacing w:after="0" w:line="240" w:lineRule="auto"/>
              <w:jc w:val="center"/>
            </w:pPr>
            <w:r>
              <w:rPr>
                <w:rFonts w:ascii="Cambria" w:hAnsi="Cambria" w:eastAsia="Cambria"/>
                <w:b w:val="0"/>
                <w:i w:val="0"/>
                <w:color w:val="222222"/>
                <w:sz w:val="16"/>
              </w:rPr>
              <w:t>15.97</w:t>
            </w:r>
          </w:p>
        </w:tc>
        <w:tc>
          <w:tcPr>
            <w:tcW w:type="dxa" w:w="1622"/>
            <w:vAlign w:val="center"/>
            <w:shd w:val="clear" w:color="auto" w:fill="F2F5F9"/>
          </w:tcPr>
          <w:p>
            <w:pPr>
              <w:spacing w:after="0" w:line="240" w:lineRule="auto"/>
              <w:jc w:val="center"/>
            </w:pPr>
            <w:r>
              <w:rPr>
                <w:rFonts w:ascii="Cambria" w:hAnsi="Cambria" w:eastAsia="Cambria"/>
                <w:b w:val="0"/>
                <w:i w:val="0"/>
                <w:color w:val="222222"/>
                <w:sz w:val="16"/>
              </w:rPr>
              <w:t>902,449</w:t>
            </w:r>
          </w:p>
        </w:tc>
      </w:tr>
    </w:tbl>
    <w:p>
      <w:pPr>
        <w:spacing w:after="20"/>
      </w:pPr>
    </w:p>
    <w:p>
      <w:pPr>
        <w:spacing w:after="100" w:line="264" w:lineRule="auto"/>
        <w:jc w:val="both"/>
      </w:pPr>
      <w:r>
        <w:rPr>
          <w:rFonts w:ascii="Cambria" w:hAnsi="Cambria" w:eastAsia="Cambria"/>
          <w:b w:val="0"/>
          <w:i w:val="0"/>
          <w:color w:val="222222"/>
          <w:sz w:val="20"/>
        </w:rPr>
        <w:t>Both methods use 8 rounds and the same 10,689-parameter model. FedAvg uses sample-count aggregation with privacy off and compression off. PowerShield-FL uses adaptive aggregation, clipping plus Gaussian perturbation, and dense int8 compression.</w:t>
      </w:r>
    </w:p>
    <w:p>
      <w:pPr>
        <w:spacing w:after="100" w:line="264" w:lineRule="auto"/>
        <w:jc w:val="both"/>
      </w:pPr>
      <w:r>
        <w:rPr>
          <w:rFonts w:ascii="Cambria" w:hAnsi="Cambria" w:eastAsia="Cambria"/>
          <w:b w:val="0"/>
          <w:i w:val="0"/>
          <w:color w:val="222222"/>
          <w:sz w:val="20"/>
        </w:rPr>
        <w:t>Figure 2 shows the convergence traces. PowerShield-FL overtakes FedAvg by round 2 and remains ahead, but both models are already near the ceiling of the synthetic task. The validation F1 at the final round is 0.9943 for PowerShield-FL and 0.9827 for FedAvg; the final test values differ by one window. The curves should not be interpreted as evidence that adaptive aggregation causally improves learning, because privacy and compression also differ between the two systems and no aggregation-only ablation was run.</w:t>
      </w:r>
    </w:p>
    <w:p>
      <w:pPr>
        <w:keepNext/>
        <w:spacing w:before="120" w:after="40"/>
        <w:jc w:val="center"/>
      </w:pPr>
      <w:r>
        <w:drawing>
          <wp:inline xmlns:a="http://schemas.openxmlformats.org/drawingml/2006/main" xmlns:pic="http://schemas.openxmlformats.org/drawingml/2006/picture">
            <wp:extent cx="5852160" cy="2231298"/>
            <wp:docPr id="2" name="Picture 2"/>
            <wp:cNvGraphicFramePr>
              <a:graphicFrameLocks noChangeAspect="1"/>
            </wp:cNvGraphicFramePr>
            <a:graphic>
              <a:graphicData uri="http://schemas.openxmlformats.org/drawingml/2006/picture">
                <pic:pic>
                  <pic:nvPicPr>
                    <pic:cNvPr id="0" name="paper_convergence.png"/>
                    <pic:cNvPicPr/>
                  </pic:nvPicPr>
                  <pic:blipFill>
                    <a:blip r:embed="rId12"/>
                    <a:stretch>
                      <a:fillRect/>
                    </a:stretch>
                  </pic:blipFill>
                  <pic:spPr>
                    <a:xfrm>
                      <a:off x="0" y="0"/>
                      <a:ext cx="5852160" cy="2231298"/>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2.</w:t>
      </w:r>
      <w:r>
        <w:rPr>
          <w:rFonts w:ascii="Cambria" w:hAnsi="Cambria" w:eastAsia="Cambria"/>
          <w:b w:val="0"/>
          <w:i w:val="0"/>
          <w:color w:val="595959"/>
          <w:sz w:val="17"/>
        </w:rPr>
        <w:t xml:space="preserve"> Validation convergence and loss over eight federated rounds (SYNTHETIC DEMO DATA). The dashed curves are local-validation losses; the solid curves are training losses. Test values are reported separately in Table 5.</w:t>
      </w:r>
    </w:p>
    <w:p>
      <w:pPr>
        <w:pStyle w:val="Heading2"/>
      </w:pPr>
      <w:r>
        <w:rPr>
          <w:rFonts w:ascii="Cambria" w:hAnsi="Cambria" w:eastAsia="Cambria"/>
          <w:b/>
          <w:i w:val="0"/>
          <w:color w:val="2E5C8A"/>
          <w:sz w:val="22"/>
        </w:rPr>
        <w:t>5.4 Communication Efficiency</w:t>
      </w:r>
    </w:p>
    <w:p>
      <w:pPr>
        <w:spacing w:after="100" w:line="264" w:lineRule="auto"/>
        <w:jc w:val="both"/>
      </w:pPr>
      <w:r>
        <w:rPr>
          <w:rFonts w:ascii="Cambria" w:hAnsi="Cambria" w:eastAsia="Cambria"/>
          <w:b w:val="0"/>
          <w:i w:val="0"/>
          <w:color w:val="222222"/>
          <w:sz w:val="20"/>
        </w:rPr>
        <w:t>PowerShield-FL transmits 902,449 bytes over eight rounds, compared with 3,453,520 bytes for FedAvg—a measured reduction of 73.87% (Table 5 and Figure 3a). The reduction is symmetric: FedAvg sends 1,726,760 bytes in each direction, while PowerShield-FL sends 451,294 bytes up and 451,155 bytes down. Per client per round, the proposed system uses 22,561 bytes on average, versus 86,338 bytes for FedAvg. The saving comes from dense int8 quantization applied to both updates and broadcasts; it is not an estimate from parameter counts.</w:t>
      </w:r>
    </w:p>
    <w:p>
      <w:pPr>
        <w:spacing w:after="100" w:line="264" w:lineRule="auto"/>
        <w:jc w:val="both"/>
      </w:pPr>
      <w:r>
        <w:rPr>
          <w:rFonts w:ascii="Cambria" w:hAnsi="Cambria" w:eastAsia="Cambria"/>
          <w:b w:val="0"/>
          <w:i w:val="0"/>
          <w:color w:val="222222"/>
          <w:sz w:val="20"/>
        </w:rPr>
        <w:t>The compression sweep (Table 6 and Figure 3b) isolates the compression choice over four rounds. Dense int8 quantization preserves the same test F1 as no compression (0.9814) while reducing bytes from 1,726,760 to 451,222. Top-k 20% is less effective: its F1 falls to 0.9272 and its payload is 700,440 bytes, because the int32 indices dominate for a small dense model. Top-k plus int8 reaches 451,227 bytes but has the lowest F1 (0.9236). For this model, dense int8 is the better communication choice; top-k is not automatically efficient.</w:t>
      </w:r>
    </w:p>
    <w:p>
      <w:pPr>
        <w:keepNext/>
        <w:spacing w:before="140" w:after="60" w:line="240" w:lineRule="auto"/>
        <w:jc w:val="left"/>
      </w:pPr>
      <w:r>
        <w:rPr>
          <w:rFonts w:ascii="Cambria" w:hAnsi="Cambria" w:eastAsia="Cambria"/>
          <w:b/>
          <w:i w:val="0"/>
          <w:color w:val="1F3864"/>
          <w:sz w:val="18"/>
        </w:rPr>
        <w:t>Table 6. Communication-compression sweep over four rounds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1976"/>
        <w:gridCol w:w="1270"/>
        <w:gridCol w:w="847"/>
        <w:gridCol w:w="847"/>
        <w:gridCol w:w="988"/>
        <w:gridCol w:w="1552"/>
        <w:gridCol w:w="2399"/>
      </w:tblGrid>
      <w:tr>
        <w:trPr>
          <w:tblHeader w:val="true"/>
          <w:cantSplit/>
        </w:trPr>
        <w:tc>
          <w:tcPr>
            <w:tcW w:type="dxa" w:w="1976"/>
            <w:vAlign w:val="center"/>
            <w:shd w:val="clear" w:color="auto" w:fill="1F3864"/>
          </w:tcPr>
          <w:p>
            <w:pPr>
              <w:spacing w:after="0" w:line="240" w:lineRule="auto"/>
              <w:jc w:val="left"/>
            </w:pPr>
            <w:r>
              <w:rPr>
                <w:rFonts w:ascii="Cambria" w:hAnsi="Cambria" w:eastAsia="Cambria"/>
                <w:b/>
                <w:i w:val="0"/>
                <w:color w:val="FFFFFF"/>
                <w:sz w:val="16"/>
              </w:rPr>
              <w:t>Compression</w:t>
            </w:r>
          </w:p>
        </w:tc>
        <w:tc>
          <w:tcPr>
            <w:tcW w:type="dxa" w:w="1270"/>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847"/>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847"/>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988"/>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1552"/>
            <w:vAlign w:val="center"/>
            <w:shd w:val="clear" w:color="auto" w:fill="1F3864"/>
          </w:tcPr>
          <w:p>
            <w:pPr>
              <w:spacing w:after="0" w:line="240" w:lineRule="auto"/>
              <w:jc w:val="center"/>
            </w:pPr>
            <w:r>
              <w:rPr>
                <w:rFonts w:ascii="Cambria" w:hAnsi="Cambria" w:eastAsia="Cambria"/>
                <w:b/>
                <w:i w:val="0"/>
                <w:color w:val="FFFFFF"/>
                <w:sz w:val="16"/>
              </w:rPr>
              <w:t>Total bytes</w:t>
            </w:r>
          </w:p>
        </w:tc>
        <w:tc>
          <w:tcPr>
            <w:tcW w:type="dxa" w:w="2399"/>
            <w:vAlign w:val="center"/>
            <w:shd w:val="clear" w:color="auto" w:fill="1F3864"/>
          </w:tcPr>
          <w:p>
            <w:pPr>
              <w:spacing w:after="0" w:line="240" w:lineRule="auto"/>
              <w:jc w:val="center"/>
            </w:pPr>
            <w:r>
              <w:rPr>
                <w:rFonts w:ascii="Cambria" w:hAnsi="Cambria" w:eastAsia="Cambria"/>
                <w:b/>
                <w:i w:val="0"/>
                <w:color w:val="FFFFFF"/>
                <w:sz w:val="16"/>
              </w:rPr>
              <w:t>Reduction vs none</w:t>
            </w:r>
          </w:p>
        </w:tc>
      </w:tr>
      <w:tr>
        <w:trPr>
          <w:cantSplit/>
        </w:trPr>
        <w:tc>
          <w:tcPr>
            <w:tcW w:type="dxa" w:w="1976"/>
            <w:vAlign w:val="center"/>
          </w:tcPr>
          <w:p>
            <w:pPr>
              <w:spacing w:after="0" w:line="240" w:lineRule="auto"/>
              <w:jc w:val="left"/>
            </w:pPr>
            <w:r>
              <w:rPr>
                <w:rFonts w:ascii="Cambria" w:hAnsi="Cambria" w:eastAsia="Cambria"/>
                <w:b w:val="0"/>
                <w:i w:val="0"/>
                <w:color w:val="222222"/>
                <w:sz w:val="16"/>
              </w:rPr>
              <w:t>None (float32)</w:t>
            </w:r>
          </w:p>
        </w:tc>
        <w:tc>
          <w:tcPr>
            <w:tcW w:type="dxa" w:w="1270"/>
            <w:vAlign w:val="center"/>
          </w:tcPr>
          <w:p>
            <w:pPr>
              <w:spacing w:after="0" w:line="240" w:lineRule="auto"/>
              <w:jc w:val="center"/>
            </w:pPr>
            <w:r>
              <w:rPr>
                <w:rFonts w:ascii="Cambria" w:hAnsi="Cambria" w:eastAsia="Cambria"/>
                <w:b w:val="0"/>
                <w:i w:val="0"/>
                <w:color w:val="222222"/>
                <w:sz w:val="16"/>
              </w:rPr>
              <w:t>0.9875</w:t>
            </w:r>
          </w:p>
        </w:tc>
        <w:tc>
          <w:tcPr>
            <w:tcW w:type="dxa" w:w="847"/>
            <w:vAlign w:val="center"/>
          </w:tcPr>
          <w:p>
            <w:pPr>
              <w:spacing w:after="0" w:line="240" w:lineRule="auto"/>
              <w:jc w:val="center"/>
            </w:pPr>
            <w:r>
              <w:rPr>
                <w:rFonts w:ascii="Cambria" w:hAnsi="Cambria" w:eastAsia="Cambria"/>
                <w:b w:val="0"/>
                <w:i w:val="0"/>
                <w:color w:val="222222"/>
                <w:sz w:val="16"/>
              </w:rPr>
              <w:t>0.9753</w:t>
            </w:r>
          </w:p>
        </w:tc>
        <w:tc>
          <w:tcPr>
            <w:tcW w:type="dxa" w:w="847"/>
            <w:vAlign w:val="center"/>
          </w:tcPr>
          <w:p>
            <w:pPr>
              <w:spacing w:after="0" w:line="240" w:lineRule="auto"/>
              <w:jc w:val="center"/>
            </w:pPr>
            <w:r>
              <w:rPr>
                <w:rFonts w:ascii="Cambria" w:hAnsi="Cambria" w:eastAsia="Cambria"/>
                <w:b w:val="0"/>
                <w:i w:val="0"/>
                <w:color w:val="222222"/>
                <w:sz w:val="16"/>
              </w:rPr>
              <w:t>0.9814</w:t>
            </w:r>
          </w:p>
        </w:tc>
        <w:tc>
          <w:tcPr>
            <w:tcW w:type="dxa" w:w="988"/>
            <w:vAlign w:val="center"/>
          </w:tcPr>
          <w:p>
            <w:pPr>
              <w:spacing w:after="0" w:line="240" w:lineRule="auto"/>
              <w:jc w:val="center"/>
            </w:pPr>
            <w:r>
              <w:rPr>
                <w:rFonts w:ascii="Cambria" w:hAnsi="Cambria" w:eastAsia="Cambria"/>
                <w:b w:val="0"/>
                <w:i w:val="0"/>
                <w:color w:val="222222"/>
                <w:sz w:val="16"/>
              </w:rPr>
              <w:t>0.9971</w:t>
            </w:r>
          </w:p>
        </w:tc>
        <w:tc>
          <w:tcPr>
            <w:tcW w:type="dxa" w:w="1552"/>
            <w:vAlign w:val="center"/>
          </w:tcPr>
          <w:p>
            <w:pPr>
              <w:spacing w:after="0" w:line="240" w:lineRule="auto"/>
              <w:jc w:val="center"/>
            </w:pPr>
            <w:r>
              <w:rPr>
                <w:rFonts w:ascii="Cambria" w:hAnsi="Cambria" w:eastAsia="Cambria"/>
                <w:b w:val="0"/>
                <w:i w:val="0"/>
                <w:color w:val="222222"/>
                <w:sz w:val="16"/>
              </w:rPr>
              <w:t>1,726,760</w:t>
            </w:r>
          </w:p>
        </w:tc>
        <w:tc>
          <w:tcPr>
            <w:tcW w:type="dxa" w:w="2399"/>
            <w:vAlign w:val="center"/>
          </w:tcPr>
          <w:p>
            <w:pPr>
              <w:spacing w:after="0" w:line="240" w:lineRule="auto"/>
              <w:jc w:val="center"/>
            </w:pPr>
            <w:r>
              <w:rPr>
                <w:rFonts w:ascii="Cambria" w:hAnsi="Cambria" w:eastAsia="Cambria"/>
                <w:b w:val="0"/>
                <w:i w:val="0"/>
                <w:color w:val="222222"/>
                <w:sz w:val="16"/>
              </w:rPr>
              <w:t>0.00%</w:t>
            </w:r>
          </w:p>
        </w:tc>
      </w:tr>
      <w:tr>
        <w:trPr>
          <w:cantSplit/>
        </w:trPr>
        <w:tc>
          <w:tcPr>
            <w:tcW w:type="dxa" w:w="1976"/>
            <w:vAlign w:val="center"/>
            <w:shd w:val="clear" w:color="auto" w:fill="F2F5F9"/>
          </w:tcPr>
          <w:p>
            <w:pPr>
              <w:spacing w:after="0" w:line="240" w:lineRule="auto"/>
              <w:jc w:val="left"/>
            </w:pPr>
            <w:r>
              <w:rPr>
                <w:rFonts w:ascii="Cambria" w:hAnsi="Cambria" w:eastAsia="Cambria"/>
                <w:b w:val="0"/>
                <w:i w:val="0"/>
                <w:color w:val="222222"/>
                <w:sz w:val="16"/>
              </w:rPr>
              <w:t>Dense int8</w:t>
            </w:r>
          </w:p>
        </w:tc>
        <w:tc>
          <w:tcPr>
            <w:tcW w:type="dxa" w:w="1270"/>
            <w:vAlign w:val="center"/>
            <w:shd w:val="clear" w:color="auto" w:fill="F2F5F9"/>
          </w:tcPr>
          <w:p>
            <w:pPr>
              <w:spacing w:after="0" w:line="240" w:lineRule="auto"/>
              <w:jc w:val="center"/>
            </w:pPr>
            <w:r>
              <w:rPr>
                <w:rFonts w:ascii="Cambria" w:hAnsi="Cambria" w:eastAsia="Cambria"/>
                <w:b w:val="0"/>
                <w:i w:val="0"/>
                <w:color w:val="222222"/>
                <w:sz w:val="16"/>
              </w:rPr>
              <w:t>0.9875</w:t>
            </w:r>
          </w:p>
        </w:tc>
        <w:tc>
          <w:tcPr>
            <w:tcW w:type="dxa" w:w="847"/>
            <w:vAlign w:val="center"/>
            <w:shd w:val="clear" w:color="auto" w:fill="F2F5F9"/>
          </w:tcPr>
          <w:p>
            <w:pPr>
              <w:spacing w:after="0" w:line="240" w:lineRule="auto"/>
              <w:jc w:val="center"/>
            </w:pPr>
            <w:r>
              <w:rPr>
                <w:rFonts w:ascii="Cambria" w:hAnsi="Cambria" w:eastAsia="Cambria"/>
                <w:b w:val="0"/>
                <w:i w:val="0"/>
                <w:color w:val="222222"/>
                <w:sz w:val="16"/>
              </w:rPr>
              <w:t>0.9753</w:t>
            </w:r>
          </w:p>
        </w:tc>
        <w:tc>
          <w:tcPr>
            <w:tcW w:type="dxa" w:w="847"/>
            <w:vAlign w:val="center"/>
            <w:shd w:val="clear" w:color="auto" w:fill="F2F5F9"/>
          </w:tcPr>
          <w:p>
            <w:pPr>
              <w:spacing w:after="0" w:line="240" w:lineRule="auto"/>
              <w:jc w:val="center"/>
            </w:pPr>
            <w:r>
              <w:rPr>
                <w:rFonts w:ascii="Cambria" w:hAnsi="Cambria" w:eastAsia="Cambria"/>
                <w:b w:val="0"/>
                <w:i w:val="0"/>
                <w:color w:val="222222"/>
                <w:sz w:val="16"/>
              </w:rPr>
              <w:t>0.9814</w:t>
            </w:r>
          </w:p>
        </w:tc>
        <w:tc>
          <w:tcPr>
            <w:tcW w:type="dxa" w:w="988"/>
            <w:vAlign w:val="center"/>
            <w:shd w:val="clear" w:color="auto" w:fill="F2F5F9"/>
          </w:tcPr>
          <w:p>
            <w:pPr>
              <w:spacing w:after="0" w:line="240" w:lineRule="auto"/>
              <w:jc w:val="center"/>
            </w:pPr>
            <w:r>
              <w:rPr>
                <w:rFonts w:ascii="Cambria" w:hAnsi="Cambria" w:eastAsia="Cambria"/>
                <w:b w:val="0"/>
                <w:i w:val="0"/>
                <w:color w:val="222222"/>
                <w:sz w:val="16"/>
              </w:rPr>
              <w:t>0.9970</w:t>
            </w:r>
          </w:p>
        </w:tc>
        <w:tc>
          <w:tcPr>
            <w:tcW w:type="dxa" w:w="1552"/>
            <w:vAlign w:val="center"/>
            <w:shd w:val="clear" w:color="auto" w:fill="F2F5F9"/>
          </w:tcPr>
          <w:p>
            <w:pPr>
              <w:spacing w:after="0" w:line="240" w:lineRule="auto"/>
              <w:jc w:val="center"/>
            </w:pPr>
            <w:r>
              <w:rPr>
                <w:rFonts w:ascii="Cambria" w:hAnsi="Cambria" w:eastAsia="Cambria"/>
                <w:b w:val="0"/>
                <w:i w:val="0"/>
                <w:color w:val="222222"/>
                <w:sz w:val="16"/>
              </w:rPr>
              <w:t>451,222</w:t>
            </w:r>
          </w:p>
        </w:tc>
        <w:tc>
          <w:tcPr>
            <w:tcW w:type="dxa" w:w="2399"/>
            <w:vAlign w:val="center"/>
            <w:shd w:val="clear" w:color="auto" w:fill="F2F5F9"/>
          </w:tcPr>
          <w:p>
            <w:pPr>
              <w:spacing w:after="0" w:line="240" w:lineRule="auto"/>
              <w:jc w:val="center"/>
            </w:pPr>
            <w:r>
              <w:rPr>
                <w:rFonts w:ascii="Cambria" w:hAnsi="Cambria" w:eastAsia="Cambria"/>
                <w:b w:val="0"/>
                <w:i w:val="0"/>
                <w:color w:val="222222"/>
                <w:sz w:val="16"/>
              </w:rPr>
              <w:t>73.87%</w:t>
            </w:r>
          </w:p>
        </w:tc>
      </w:tr>
      <w:tr>
        <w:trPr>
          <w:cantSplit/>
        </w:trPr>
        <w:tc>
          <w:tcPr>
            <w:tcW w:type="dxa" w:w="1976"/>
            <w:vAlign w:val="center"/>
          </w:tcPr>
          <w:p>
            <w:pPr>
              <w:spacing w:after="0" w:line="240" w:lineRule="auto"/>
              <w:jc w:val="left"/>
            </w:pPr>
            <w:r>
              <w:rPr>
                <w:rFonts w:ascii="Cambria" w:hAnsi="Cambria" w:eastAsia="Cambria"/>
                <w:b w:val="0"/>
                <w:i w:val="0"/>
                <w:color w:val="222222"/>
                <w:sz w:val="16"/>
              </w:rPr>
              <w:t>Top-k 20%</w:t>
            </w:r>
          </w:p>
        </w:tc>
        <w:tc>
          <w:tcPr>
            <w:tcW w:type="dxa" w:w="1270"/>
            <w:vAlign w:val="center"/>
          </w:tcPr>
          <w:p>
            <w:pPr>
              <w:spacing w:after="0" w:line="240" w:lineRule="auto"/>
              <w:jc w:val="center"/>
            </w:pPr>
            <w:r>
              <w:rPr>
                <w:rFonts w:ascii="Cambria" w:hAnsi="Cambria" w:eastAsia="Cambria"/>
                <w:b w:val="0"/>
                <w:i w:val="0"/>
                <w:color w:val="222222"/>
                <w:sz w:val="16"/>
              </w:rPr>
              <w:t>1.0000</w:t>
            </w:r>
          </w:p>
        </w:tc>
        <w:tc>
          <w:tcPr>
            <w:tcW w:type="dxa" w:w="847"/>
            <w:vAlign w:val="center"/>
          </w:tcPr>
          <w:p>
            <w:pPr>
              <w:spacing w:after="0" w:line="240" w:lineRule="auto"/>
              <w:jc w:val="center"/>
            </w:pPr>
            <w:r>
              <w:rPr>
                <w:rFonts w:ascii="Cambria" w:hAnsi="Cambria" w:eastAsia="Cambria"/>
                <w:b w:val="0"/>
                <w:i w:val="0"/>
                <w:color w:val="222222"/>
                <w:sz w:val="16"/>
              </w:rPr>
              <w:t>0.8642</w:t>
            </w:r>
          </w:p>
        </w:tc>
        <w:tc>
          <w:tcPr>
            <w:tcW w:type="dxa" w:w="847"/>
            <w:vAlign w:val="center"/>
          </w:tcPr>
          <w:p>
            <w:pPr>
              <w:spacing w:after="0" w:line="240" w:lineRule="auto"/>
              <w:jc w:val="center"/>
            </w:pPr>
            <w:r>
              <w:rPr>
                <w:rFonts w:ascii="Cambria" w:hAnsi="Cambria" w:eastAsia="Cambria"/>
                <w:b w:val="0"/>
                <w:i w:val="0"/>
                <w:color w:val="222222"/>
                <w:sz w:val="16"/>
              </w:rPr>
              <w:t>0.9272</w:t>
            </w:r>
          </w:p>
        </w:tc>
        <w:tc>
          <w:tcPr>
            <w:tcW w:type="dxa" w:w="988"/>
            <w:vAlign w:val="center"/>
          </w:tcPr>
          <w:p>
            <w:pPr>
              <w:spacing w:after="0" w:line="240" w:lineRule="auto"/>
              <w:jc w:val="center"/>
            </w:pPr>
            <w:r>
              <w:rPr>
                <w:rFonts w:ascii="Cambria" w:hAnsi="Cambria" w:eastAsia="Cambria"/>
                <w:b w:val="0"/>
                <w:i w:val="0"/>
                <w:color w:val="222222"/>
                <w:sz w:val="16"/>
              </w:rPr>
              <w:t>0.9950</w:t>
            </w:r>
          </w:p>
        </w:tc>
        <w:tc>
          <w:tcPr>
            <w:tcW w:type="dxa" w:w="1552"/>
            <w:vAlign w:val="center"/>
          </w:tcPr>
          <w:p>
            <w:pPr>
              <w:spacing w:after="0" w:line="240" w:lineRule="auto"/>
              <w:jc w:val="center"/>
            </w:pPr>
            <w:r>
              <w:rPr>
                <w:rFonts w:ascii="Cambria" w:hAnsi="Cambria" w:eastAsia="Cambria"/>
                <w:b w:val="0"/>
                <w:i w:val="0"/>
                <w:color w:val="222222"/>
                <w:sz w:val="16"/>
              </w:rPr>
              <w:t>700,440</w:t>
            </w:r>
          </w:p>
        </w:tc>
        <w:tc>
          <w:tcPr>
            <w:tcW w:type="dxa" w:w="2399"/>
            <w:vAlign w:val="center"/>
          </w:tcPr>
          <w:p>
            <w:pPr>
              <w:spacing w:after="0" w:line="240" w:lineRule="auto"/>
              <w:jc w:val="center"/>
            </w:pPr>
            <w:r>
              <w:rPr>
                <w:rFonts w:ascii="Cambria" w:hAnsi="Cambria" w:eastAsia="Cambria"/>
                <w:b w:val="0"/>
                <w:i w:val="0"/>
                <w:color w:val="222222"/>
                <w:sz w:val="16"/>
              </w:rPr>
              <w:t>59.44%</w:t>
            </w:r>
          </w:p>
        </w:tc>
      </w:tr>
      <w:tr>
        <w:trPr>
          <w:cantSplit/>
        </w:trPr>
        <w:tc>
          <w:tcPr>
            <w:tcW w:type="dxa" w:w="1976"/>
            <w:vAlign w:val="center"/>
            <w:shd w:val="clear" w:color="auto" w:fill="F2F5F9"/>
          </w:tcPr>
          <w:p>
            <w:pPr>
              <w:spacing w:after="0" w:line="240" w:lineRule="auto"/>
              <w:jc w:val="left"/>
            </w:pPr>
            <w:r>
              <w:rPr>
                <w:rFonts w:ascii="Cambria" w:hAnsi="Cambria" w:eastAsia="Cambria"/>
                <w:b w:val="0"/>
                <w:i w:val="0"/>
                <w:color w:val="222222"/>
                <w:sz w:val="16"/>
              </w:rPr>
              <w:t>Top-k + int8</w:t>
            </w:r>
          </w:p>
        </w:tc>
        <w:tc>
          <w:tcPr>
            <w:tcW w:type="dxa" w:w="1270"/>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847"/>
            <w:vAlign w:val="center"/>
            <w:shd w:val="clear" w:color="auto" w:fill="F2F5F9"/>
          </w:tcPr>
          <w:p>
            <w:pPr>
              <w:spacing w:after="0" w:line="240" w:lineRule="auto"/>
              <w:jc w:val="center"/>
            </w:pPr>
            <w:r>
              <w:rPr>
                <w:rFonts w:ascii="Cambria" w:hAnsi="Cambria" w:eastAsia="Cambria"/>
                <w:b w:val="0"/>
                <w:i w:val="0"/>
                <w:color w:val="222222"/>
                <w:sz w:val="16"/>
              </w:rPr>
              <w:t>0.8580</w:t>
            </w:r>
          </w:p>
        </w:tc>
        <w:tc>
          <w:tcPr>
            <w:tcW w:type="dxa" w:w="847"/>
            <w:vAlign w:val="center"/>
            <w:shd w:val="clear" w:color="auto" w:fill="F2F5F9"/>
          </w:tcPr>
          <w:p>
            <w:pPr>
              <w:spacing w:after="0" w:line="240" w:lineRule="auto"/>
              <w:jc w:val="center"/>
            </w:pPr>
            <w:r>
              <w:rPr>
                <w:rFonts w:ascii="Cambria" w:hAnsi="Cambria" w:eastAsia="Cambria"/>
                <w:b w:val="0"/>
                <w:i w:val="0"/>
                <w:color w:val="222222"/>
                <w:sz w:val="16"/>
              </w:rPr>
              <w:t>0.9236</w:t>
            </w:r>
          </w:p>
        </w:tc>
        <w:tc>
          <w:tcPr>
            <w:tcW w:type="dxa" w:w="988"/>
            <w:vAlign w:val="center"/>
            <w:shd w:val="clear" w:color="auto" w:fill="F2F5F9"/>
          </w:tcPr>
          <w:p>
            <w:pPr>
              <w:spacing w:after="0" w:line="240" w:lineRule="auto"/>
              <w:jc w:val="center"/>
            </w:pPr>
            <w:r>
              <w:rPr>
                <w:rFonts w:ascii="Cambria" w:hAnsi="Cambria" w:eastAsia="Cambria"/>
                <w:b w:val="0"/>
                <w:i w:val="0"/>
                <w:color w:val="222222"/>
                <w:sz w:val="16"/>
              </w:rPr>
              <w:t>0.9948</w:t>
            </w:r>
          </w:p>
        </w:tc>
        <w:tc>
          <w:tcPr>
            <w:tcW w:type="dxa" w:w="1552"/>
            <w:vAlign w:val="center"/>
            <w:shd w:val="clear" w:color="auto" w:fill="F2F5F9"/>
          </w:tcPr>
          <w:p>
            <w:pPr>
              <w:spacing w:after="0" w:line="240" w:lineRule="auto"/>
              <w:jc w:val="center"/>
            </w:pPr>
            <w:r>
              <w:rPr>
                <w:rFonts w:ascii="Cambria" w:hAnsi="Cambria" w:eastAsia="Cambria"/>
                <w:b w:val="0"/>
                <w:i w:val="0"/>
                <w:color w:val="222222"/>
                <w:sz w:val="16"/>
              </w:rPr>
              <w:t>451,227</w:t>
            </w:r>
          </w:p>
        </w:tc>
        <w:tc>
          <w:tcPr>
            <w:tcW w:type="dxa" w:w="2399"/>
            <w:vAlign w:val="center"/>
            <w:shd w:val="clear" w:color="auto" w:fill="F2F5F9"/>
          </w:tcPr>
          <w:p>
            <w:pPr>
              <w:spacing w:after="0" w:line="240" w:lineRule="auto"/>
              <w:jc w:val="center"/>
            </w:pPr>
            <w:r>
              <w:rPr>
                <w:rFonts w:ascii="Cambria" w:hAnsi="Cambria" w:eastAsia="Cambria"/>
                <w:b w:val="0"/>
                <w:i w:val="0"/>
                <w:color w:val="222222"/>
                <w:sz w:val="16"/>
              </w:rPr>
              <w:t>73.87%</w:t>
            </w:r>
          </w:p>
        </w:tc>
      </w:tr>
    </w:tbl>
    <w:p>
      <w:pPr>
        <w:spacing w:after="20"/>
      </w:pPr>
    </w:p>
    <w:p>
      <w:pPr>
        <w:keepNext/>
        <w:spacing w:before="120" w:after="40"/>
        <w:jc w:val="center"/>
      </w:pPr>
      <w:r>
        <w:drawing>
          <wp:inline xmlns:a="http://schemas.openxmlformats.org/drawingml/2006/main" xmlns:pic="http://schemas.openxmlformats.org/drawingml/2006/picture">
            <wp:extent cx="5852160" cy="2231298"/>
            <wp:docPr id="3" name="Picture 3"/>
            <wp:cNvGraphicFramePr>
              <a:graphicFrameLocks noChangeAspect="1"/>
            </wp:cNvGraphicFramePr>
            <a:graphic>
              <a:graphicData uri="http://schemas.openxmlformats.org/drawingml/2006/picture">
                <pic:pic>
                  <pic:nvPicPr>
                    <pic:cNvPr id="0" name="paper_communication.png"/>
                    <pic:cNvPicPr/>
                  </pic:nvPicPr>
                  <pic:blipFill>
                    <a:blip r:embed="rId13"/>
                    <a:stretch>
                      <a:fillRect/>
                    </a:stretch>
                  </pic:blipFill>
                  <pic:spPr>
                    <a:xfrm>
                      <a:off x="0" y="0"/>
                      <a:ext cx="5852160" cy="2231298"/>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3.</w:t>
      </w:r>
      <w:r>
        <w:rPr>
          <w:rFonts w:ascii="Cambria" w:hAnsi="Cambria" w:eastAsia="Cambria"/>
          <w:b w:val="0"/>
          <w:i w:val="0"/>
          <w:color w:val="595959"/>
          <w:sz w:val="17"/>
        </w:rPr>
        <w:t xml:space="preserve"> Measured communication over eight rounds and the four-round compression sweep (SYNTHETIC DEMO DATA). (a) Actual serialized traffic includes uploads, downloads, headers, and indices. (b) Dense int8 preserves the clipping-only F1 at 451,222 bytes; top-k pays for int32 indices and loses recall.</w:t>
      </w:r>
    </w:p>
    <w:p>
      <w:pPr>
        <w:pStyle w:val="Heading2"/>
      </w:pPr>
      <w:r>
        <w:rPr>
          <w:rFonts w:ascii="Cambria" w:hAnsi="Cambria" w:eastAsia="Cambria"/>
          <w:b/>
          <w:i w:val="0"/>
          <w:color w:val="2E5C8A"/>
          <w:sz w:val="22"/>
        </w:rPr>
        <w:t>5.5 Privacy-Utility Sweep</w:t>
      </w:r>
    </w:p>
    <w:p>
      <w:pPr>
        <w:spacing w:after="100" w:line="264" w:lineRule="auto"/>
        <w:jc w:val="both"/>
      </w:pPr>
      <w:r>
        <w:rPr>
          <w:rFonts w:ascii="Cambria" w:hAnsi="Cambria" w:eastAsia="Cambria"/>
          <w:b w:val="0"/>
          <w:i w:val="0"/>
          <w:color w:val="222222"/>
          <w:sz w:val="20"/>
        </w:rPr>
        <w:t xml:space="preserve">Table 7 and Figure 4 report the four-round privacy sweep. With privacy off, F1 is 0.9907. With clipping only (σ = 0), F1 is 0.9814. With clipping plus Gaussian noise at σ = 0.001, 0.003, or 0.006, F1 remains 0.9814. The measured difference between privacy-off and the privacy-enabled configurations is therefore associated with </w:t>
      </w:r>
      <w:r>
        <w:rPr>
          <w:rFonts w:ascii="Cambria" w:hAnsi="Cambria" w:eastAsia="Cambria"/>
          <w:b/>
          <w:i w:val="0"/>
          <w:color w:val="222222"/>
          <w:sz w:val="20"/>
        </w:rPr>
        <w:t>clipping</w:t>
      </w:r>
      <w:r>
        <w:rPr>
          <w:rFonts w:ascii="Cambria" w:hAnsi="Cambria" w:eastAsia="Cambria"/>
          <w:b w:val="0"/>
          <w:i w:val="0"/>
          <w:color w:val="222222"/>
          <w:sz w:val="20"/>
        </w:rPr>
        <w:t>, not with the small Gaussian noise: all three nonzero-noise settings recover the clipping-only result. This sweep does not establish a privacy-utility trade-off curve.</w:t>
      </w:r>
    </w:p>
    <w:p>
      <w:pPr>
        <w:spacing w:after="100" w:line="264" w:lineRule="auto"/>
        <w:jc w:val="both"/>
      </w:pPr>
      <w:r>
        <w:rPr>
          <w:rFonts w:ascii="Cambria" w:hAnsi="Cambria" w:eastAsia="Cambria"/>
          <w:b w:val="0"/>
          <w:i w:val="0"/>
          <w:color w:val="222222"/>
          <w:sz w:val="20"/>
        </w:rPr>
        <w:t>The single-release ε estimates are 4,844.81, 1,614.94, and 807.47 for σ = 0.001, 0.003, and 0.006, respectively. These values are large. In the final round of the main run, one of five clients was clipped; the mean original update norm was 0.5831, the mean noise norm was 0.1035, and the noise-to-signal ratio was 0.1774. The perturbation is small relative to the update, which helps utility but provides limited formal protection. The correct reading is that the privacy layer is a demonstration mechanism, not a deployment-grade DP guarantee.</w:t>
      </w:r>
    </w:p>
    <w:p>
      <w:pPr>
        <w:keepNext/>
        <w:spacing w:before="140" w:after="60" w:line="240" w:lineRule="auto"/>
        <w:jc w:val="left"/>
      </w:pPr>
      <w:r>
        <w:rPr>
          <w:rFonts w:ascii="Cambria" w:hAnsi="Cambria" w:eastAsia="Cambria"/>
          <w:b/>
          <w:i w:val="0"/>
          <w:color w:val="1F3864"/>
          <w:sz w:val="18"/>
        </w:rPr>
        <w:t>Table 7. Privacy sweep over four rounds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3293"/>
        <w:gridCol w:w="1347"/>
        <w:gridCol w:w="898"/>
        <w:gridCol w:w="898"/>
        <w:gridCol w:w="1048"/>
        <w:gridCol w:w="2395"/>
      </w:tblGrid>
      <w:tr>
        <w:trPr>
          <w:tblHeader w:val="true"/>
          <w:cantSplit/>
        </w:trPr>
        <w:tc>
          <w:tcPr>
            <w:tcW w:type="dxa" w:w="3293"/>
            <w:vAlign w:val="center"/>
            <w:shd w:val="clear" w:color="auto" w:fill="1F3864"/>
          </w:tcPr>
          <w:p>
            <w:pPr>
              <w:spacing w:after="0" w:line="240" w:lineRule="auto"/>
              <w:jc w:val="left"/>
            </w:pPr>
            <w:r>
              <w:rPr>
                <w:rFonts w:ascii="Cambria" w:hAnsi="Cambria" w:eastAsia="Cambria"/>
                <w:b/>
                <w:i w:val="0"/>
                <w:color w:val="FFFFFF"/>
                <w:sz w:val="16"/>
              </w:rPr>
              <w:t>Privacy setting</w:t>
            </w:r>
          </w:p>
        </w:tc>
        <w:tc>
          <w:tcPr>
            <w:tcW w:type="dxa" w:w="1347"/>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898"/>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898"/>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1048"/>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2395"/>
            <w:vAlign w:val="center"/>
            <w:shd w:val="clear" w:color="auto" w:fill="1F3864"/>
          </w:tcPr>
          <w:p>
            <w:pPr>
              <w:spacing w:after="0" w:line="240" w:lineRule="auto"/>
              <w:jc w:val="center"/>
            </w:pPr>
            <w:r>
              <w:rPr>
                <w:rFonts w:ascii="Cambria" w:hAnsi="Cambria" w:eastAsia="Cambria"/>
                <w:b/>
                <w:i w:val="0"/>
                <w:color w:val="FFFFFF"/>
                <w:sz w:val="16"/>
              </w:rPr>
              <w:t>Single-release ε</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Off</w:t>
            </w:r>
          </w:p>
        </w:tc>
        <w:tc>
          <w:tcPr>
            <w:tcW w:type="dxa" w:w="1347"/>
            <w:vAlign w:val="center"/>
          </w:tcPr>
          <w:p>
            <w:pPr>
              <w:spacing w:after="0" w:line="240" w:lineRule="auto"/>
              <w:jc w:val="center"/>
            </w:pPr>
            <w:r>
              <w:rPr>
                <w:rFonts w:ascii="Cambria" w:hAnsi="Cambria" w:eastAsia="Cambria"/>
                <w:b w:val="0"/>
                <w:i w:val="0"/>
                <w:color w:val="222222"/>
                <w:sz w:val="16"/>
              </w:rPr>
              <w:t>0.9938</w:t>
            </w:r>
          </w:p>
        </w:tc>
        <w:tc>
          <w:tcPr>
            <w:tcW w:type="dxa" w:w="898"/>
            <w:vAlign w:val="center"/>
          </w:tcPr>
          <w:p>
            <w:pPr>
              <w:spacing w:after="0" w:line="240" w:lineRule="auto"/>
              <w:jc w:val="center"/>
            </w:pPr>
            <w:r>
              <w:rPr>
                <w:rFonts w:ascii="Cambria" w:hAnsi="Cambria" w:eastAsia="Cambria"/>
                <w:b w:val="0"/>
                <w:i w:val="0"/>
                <w:color w:val="222222"/>
                <w:sz w:val="16"/>
              </w:rPr>
              <w:t>0.9877</w:t>
            </w:r>
          </w:p>
        </w:tc>
        <w:tc>
          <w:tcPr>
            <w:tcW w:type="dxa" w:w="898"/>
            <w:vAlign w:val="center"/>
          </w:tcPr>
          <w:p>
            <w:pPr>
              <w:spacing w:after="0" w:line="240" w:lineRule="auto"/>
              <w:jc w:val="center"/>
            </w:pPr>
            <w:r>
              <w:rPr>
                <w:rFonts w:ascii="Cambria" w:hAnsi="Cambria" w:eastAsia="Cambria"/>
                <w:b w:val="0"/>
                <w:i w:val="0"/>
                <w:color w:val="222222"/>
                <w:sz w:val="16"/>
              </w:rPr>
              <w:t>0.9907</w:t>
            </w:r>
          </w:p>
        </w:tc>
        <w:tc>
          <w:tcPr>
            <w:tcW w:type="dxa" w:w="1048"/>
            <w:vAlign w:val="center"/>
          </w:tcPr>
          <w:p>
            <w:pPr>
              <w:spacing w:after="0" w:line="240" w:lineRule="auto"/>
              <w:jc w:val="center"/>
            </w:pPr>
            <w:r>
              <w:rPr>
                <w:rFonts w:ascii="Cambria" w:hAnsi="Cambria" w:eastAsia="Cambria"/>
                <w:b w:val="0"/>
                <w:i w:val="0"/>
                <w:color w:val="222222"/>
                <w:sz w:val="16"/>
              </w:rPr>
              <w:t>0.9974</w:t>
            </w:r>
          </w:p>
        </w:tc>
        <w:tc>
          <w:tcPr>
            <w:tcW w:type="dxa" w:w="2395"/>
            <w:vAlign w:val="center"/>
          </w:tcPr>
          <w:p>
            <w:pPr>
              <w:spacing w:after="0" w:line="240" w:lineRule="auto"/>
              <w:jc w:val="center"/>
            </w:pPr>
            <w:r>
              <w:rPr>
                <w:rFonts w:ascii="Cambria" w:hAnsi="Cambria" w:eastAsia="Cambria"/>
                <w:b w:val="0"/>
                <w:i w:val="0"/>
                <w:color w:val="222222"/>
                <w:sz w:val="16"/>
              </w:rPr>
              <w:t>—</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Clipping only (σ = 0)</w:t>
            </w:r>
          </w:p>
        </w:tc>
        <w:tc>
          <w:tcPr>
            <w:tcW w:type="dxa" w:w="1347"/>
            <w:vAlign w:val="center"/>
            <w:shd w:val="clear" w:color="auto" w:fill="F2F5F9"/>
          </w:tcPr>
          <w:p>
            <w:pPr>
              <w:spacing w:after="0" w:line="240" w:lineRule="auto"/>
              <w:jc w:val="center"/>
            </w:pPr>
            <w:r>
              <w:rPr>
                <w:rFonts w:ascii="Cambria" w:hAnsi="Cambria" w:eastAsia="Cambria"/>
                <w:b w:val="0"/>
                <w:i w:val="0"/>
                <w:color w:val="222222"/>
                <w:sz w:val="16"/>
              </w:rPr>
              <w:t>0.9875</w:t>
            </w:r>
          </w:p>
        </w:tc>
        <w:tc>
          <w:tcPr>
            <w:tcW w:type="dxa" w:w="898"/>
            <w:vAlign w:val="center"/>
            <w:shd w:val="clear" w:color="auto" w:fill="F2F5F9"/>
          </w:tcPr>
          <w:p>
            <w:pPr>
              <w:spacing w:after="0" w:line="240" w:lineRule="auto"/>
              <w:jc w:val="center"/>
            </w:pPr>
            <w:r>
              <w:rPr>
                <w:rFonts w:ascii="Cambria" w:hAnsi="Cambria" w:eastAsia="Cambria"/>
                <w:b w:val="0"/>
                <w:i w:val="0"/>
                <w:color w:val="222222"/>
                <w:sz w:val="16"/>
              </w:rPr>
              <w:t>0.9753</w:t>
            </w:r>
          </w:p>
        </w:tc>
        <w:tc>
          <w:tcPr>
            <w:tcW w:type="dxa" w:w="898"/>
            <w:vAlign w:val="center"/>
            <w:shd w:val="clear" w:color="auto" w:fill="F2F5F9"/>
          </w:tcPr>
          <w:p>
            <w:pPr>
              <w:spacing w:after="0" w:line="240" w:lineRule="auto"/>
              <w:jc w:val="center"/>
            </w:pPr>
            <w:r>
              <w:rPr>
                <w:rFonts w:ascii="Cambria" w:hAnsi="Cambria" w:eastAsia="Cambria"/>
                <w:b w:val="0"/>
                <w:i w:val="0"/>
                <w:color w:val="222222"/>
                <w:sz w:val="16"/>
              </w:rPr>
              <w:t>0.9814</w:t>
            </w:r>
          </w:p>
        </w:tc>
        <w:tc>
          <w:tcPr>
            <w:tcW w:type="dxa" w:w="1048"/>
            <w:vAlign w:val="center"/>
            <w:shd w:val="clear" w:color="auto" w:fill="F2F5F9"/>
          </w:tcPr>
          <w:p>
            <w:pPr>
              <w:spacing w:after="0" w:line="240" w:lineRule="auto"/>
              <w:jc w:val="center"/>
            </w:pPr>
            <w:r>
              <w:rPr>
                <w:rFonts w:ascii="Cambria" w:hAnsi="Cambria" w:eastAsia="Cambria"/>
                <w:b w:val="0"/>
                <w:i w:val="0"/>
                <w:color w:val="222222"/>
                <w:sz w:val="16"/>
              </w:rPr>
              <w:t>0.9970</w:t>
            </w:r>
          </w:p>
        </w:tc>
        <w:tc>
          <w:tcPr>
            <w:tcW w:type="dxa" w:w="2395"/>
            <w:vAlign w:val="center"/>
            <w:shd w:val="clear" w:color="auto" w:fill="F2F5F9"/>
          </w:tcPr>
          <w:p>
            <w:pPr>
              <w:spacing w:after="0" w:line="240" w:lineRule="auto"/>
              <w:jc w:val="center"/>
            </w:pPr>
            <w:r>
              <w:rPr>
                <w:rFonts w:ascii="Cambria" w:hAnsi="Cambria" w:eastAsia="Cambria"/>
                <w:b w:val="0"/>
                <w:i w:val="0"/>
                <w:color w:val="222222"/>
                <w:sz w:val="16"/>
              </w:rPr>
              <w:t>—</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Clip + noise σ = 0.001</w:t>
            </w:r>
          </w:p>
        </w:tc>
        <w:tc>
          <w:tcPr>
            <w:tcW w:type="dxa" w:w="1347"/>
            <w:vAlign w:val="center"/>
          </w:tcPr>
          <w:p>
            <w:pPr>
              <w:spacing w:after="0" w:line="240" w:lineRule="auto"/>
              <w:jc w:val="center"/>
            </w:pPr>
            <w:r>
              <w:rPr>
                <w:rFonts w:ascii="Cambria" w:hAnsi="Cambria" w:eastAsia="Cambria"/>
                <w:b w:val="0"/>
                <w:i w:val="0"/>
                <w:color w:val="222222"/>
                <w:sz w:val="16"/>
              </w:rPr>
              <w:t>0.9875</w:t>
            </w:r>
          </w:p>
        </w:tc>
        <w:tc>
          <w:tcPr>
            <w:tcW w:type="dxa" w:w="898"/>
            <w:vAlign w:val="center"/>
          </w:tcPr>
          <w:p>
            <w:pPr>
              <w:spacing w:after="0" w:line="240" w:lineRule="auto"/>
              <w:jc w:val="center"/>
            </w:pPr>
            <w:r>
              <w:rPr>
                <w:rFonts w:ascii="Cambria" w:hAnsi="Cambria" w:eastAsia="Cambria"/>
                <w:b w:val="0"/>
                <w:i w:val="0"/>
                <w:color w:val="222222"/>
                <w:sz w:val="16"/>
              </w:rPr>
              <w:t>0.9753</w:t>
            </w:r>
          </w:p>
        </w:tc>
        <w:tc>
          <w:tcPr>
            <w:tcW w:type="dxa" w:w="898"/>
            <w:vAlign w:val="center"/>
          </w:tcPr>
          <w:p>
            <w:pPr>
              <w:spacing w:after="0" w:line="240" w:lineRule="auto"/>
              <w:jc w:val="center"/>
            </w:pPr>
            <w:r>
              <w:rPr>
                <w:rFonts w:ascii="Cambria" w:hAnsi="Cambria" w:eastAsia="Cambria"/>
                <w:b w:val="0"/>
                <w:i w:val="0"/>
                <w:color w:val="222222"/>
                <w:sz w:val="16"/>
              </w:rPr>
              <w:t>0.9814</w:t>
            </w:r>
          </w:p>
        </w:tc>
        <w:tc>
          <w:tcPr>
            <w:tcW w:type="dxa" w:w="1048"/>
            <w:vAlign w:val="center"/>
          </w:tcPr>
          <w:p>
            <w:pPr>
              <w:spacing w:after="0" w:line="240" w:lineRule="auto"/>
              <w:jc w:val="center"/>
            </w:pPr>
            <w:r>
              <w:rPr>
                <w:rFonts w:ascii="Cambria" w:hAnsi="Cambria" w:eastAsia="Cambria"/>
                <w:b w:val="0"/>
                <w:i w:val="0"/>
                <w:color w:val="222222"/>
                <w:sz w:val="16"/>
              </w:rPr>
              <w:t>0.9970</w:t>
            </w:r>
          </w:p>
        </w:tc>
        <w:tc>
          <w:tcPr>
            <w:tcW w:type="dxa" w:w="2395"/>
            <w:vAlign w:val="center"/>
          </w:tcPr>
          <w:p>
            <w:pPr>
              <w:spacing w:after="0" w:line="240" w:lineRule="auto"/>
              <w:jc w:val="center"/>
            </w:pPr>
            <w:r>
              <w:rPr>
                <w:rFonts w:ascii="Cambria" w:hAnsi="Cambria" w:eastAsia="Cambria"/>
                <w:b w:val="0"/>
                <w:i w:val="0"/>
                <w:color w:val="222222"/>
                <w:sz w:val="16"/>
              </w:rPr>
              <w:t>4,844.81</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Clip + noise σ = 0.003</w:t>
            </w:r>
          </w:p>
        </w:tc>
        <w:tc>
          <w:tcPr>
            <w:tcW w:type="dxa" w:w="1347"/>
            <w:vAlign w:val="center"/>
            <w:shd w:val="clear" w:color="auto" w:fill="F2F5F9"/>
          </w:tcPr>
          <w:p>
            <w:pPr>
              <w:spacing w:after="0" w:line="240" w:lineRule="auto"/>
              <w:jc w:val="center"/>
            </w:pPr>
            <w:r>
              <w:rPr>
                <w:rFonts w:ascii="Cambria" w:hAnsi="Cambria" w:eastAsia="Cambria"/>
                <w:b w:val="0"/>
                <w:i w:val="0"/>
                <w:color w:val="222222"/>
                <w:sz w:val="16"/>
              </w:rPr>
              <w:t>0.9875</w:t>
            </w:r>
          </w:p>
        </w:tc>
        <w:tc>
          <w:tcPr>
            <w:tcW w:type="dxa" w:w="898"/>
            <w:vAlign w:val="center"/>
            <w:shd w:val="clear" w:color="auto" w:fill="F2F5F9"/>
          </w:tcPr>
          <w:p>
            <w:pPr>
              <w:spacing w:after="0" w:line="240" w:lineRule="auto"/>
              <w:jc w:val="center"/>
            </w:pPr>
            <w:r>
              <w:rPr>
                <w:rFonts w:ascii="Cambria" w:hAnsi="Cambria" w:eastAsia="Cambria"/>
                <w:b w:val="0"/>
                <w:i w:val="0"/>
                <w:color w:val="222222"/>
                <w:sz w:val="16"/>
              </w:rPr>
              <w:t>0.9753</w:t>
            </w:r>
          </w:p>
        </w:tc>
        <w:tc>
          <w:tcPr>
            <w:tcW w:type="dxa" w:w="898"/>
            <w:vAlign w:val="center"/>
            <w:shd w:val="clear" w:color="auto" w:fill="F2F5F9"/>
          </w:tcPr>
          <w:p>
            <w:pPr>
              <w:spacing w:after="0" w:line="240" w:lineRule="auto"/>
              <w:jc w:val="center"/>
            </w:pPr>
            <w:r>
              <w:rPr>
                <w:rFonts w:ascii="Cambria" w:hAnsi="Cambria" w:eastAsia="Cambria"/>
                <w:b w:val="0"/>
                <w:i w:val="0"/>
                <w:color w:val="222222"/>
                <w:sz w:val="16"/>
              </w:rPr>
              <w:t>0.9814</w:t>
            </w:r>
          </w:p>
        </w:tc>
        <w:tc>
          <w:tcPr>
            <w:tcW w:type="dxa" w:w="1048"/>
            <w:vAlign w:val="center"/>
            <w:shd w:val="clear" w:color="auto" w:fill="F2F5F9"/>
          </w:tcPr>
          <w:p>
            <w:pPr>
              <w:spacing w:after="0" w:line="240" w:lineRule="auto"/>
              <w:jc w:val="center"/>
            </w:pPr>
            <w:r>
              <w:rPr>
                <w:rFonts w:ascii="Cambria" w:hAnsi="Cambria" w:eastAsia="Cambria"/>
                <w:b w:val="0"/>
                <w:i w:val="0"/>
                <w:color w:val="222222"/>
                <w:sz w:val="16"/>
              </w:rPr>
              <w:t>0.9970</w:t>
            </w:r>
          </w:p>
        </w:tc>
        <w:tc>
          <w:tcPr>
            <w:tcW w:type="dxa" w:w="2395"/>
            <w:vAlign w:val="center"/>
            <w:shd w:val="clear" w:color="auto" w:fill="F2F5F9"/>
          </w:tcPr>
          <w:p>
            <w:pPr>
              <w:spacing w:after="0" w:line="240" w:lineRule="auto"/>
              <w:jc w:val="center"/>
            </w:pPr>
            <w:r>
              <w:rPr>
                <w:rFonts w:ascii="Cambria" w:hAnsi="Cambria" w:eastAsia="Cambria"/>
                <w:b w:val="0"/>
                <w:i w:val="0"/>
                <w:color w:val="222222"/>
                <w:sz w:val="16"/>
              </w:rPr>
              <w:t>1,614.94</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Clip + noise σ = 0.006</w:t>
            </w:r>
          </w:p>
        </w:tc>
        <w:tc>
          <w:tcPr>
            <w:tcW w:type="dxa" w:w="1347"/>
            <w:vAlign w:val="center"/>
          </w:tcPr>
          <w:p>
            <w:pPr>
              <w:spacing w:after="0" w:line="240" w:lineRule="auto"/>
              <w:jc w:val="center"/>
            </w:pPr>
            <w:r>
              <w:rPr>
                <w:rFonts w:ascii="Cambria" w:hAnsi="Cambria" w:eastAsia="Cambria"/>
                <w:b w:val="0"/>
                <w:i w:val="0"/>
                <w:color w:val="222222"/>
                <w:sz w:val="16"/>
              </w:rPr>
              <w:t>0.9875</w:t>
            </w:r>
          </w:p>
        </w:tc>
        <w:tc>
          <w:tcPr>
            <w:tcW w:type="dxa" w:w="898"/>
            <w:vAlign w:val="center"/>
          </w:tcPr>
          <w:p>
            <w:pPr>
              <w:spacing w:after="0" w:line="240" w:lineRule="auto"/>
              <w:jc w:val="center"/>
            </w:pPr>
            <w:r>
              <w:rPr>
                <w:rFonts w:ascii="Cambria" w:hAnsi="Cambria" w:eastAsia="Cambria"/>
                <w:b w:val="0"/>
                <w:i w:val="0"/>
                <w:color w:val="222222"/>
                <w:sz w:val="16"/>
              </w:rPr>
              <w:t>0.9753</w:t>
            </w:r>
          </w:p>
        </w:tc>
        <w:tc>
          <w:tcPr>
            <w:tcW w:type="dxa" w:w="898"/>
            <w:vAlign w:val="center"/>
          </w:tcPr>
          <w:p>
            <w:pPr>
              <w:spacing w:after="0" w:line="240" w:lineRule="auto"/>
              <w:jc w:val="center"/>
            </w:pPr>
            <w:r>
              <w:rPr>
                <w:rFonts w:ascii="Cambria" w:hAnsi="Cambria" w:eastAsia="Cambria"/>
                <w:b w:val="0"/>
                <w:i w:val="0"/>
                <w:color w:val="222222"/>
                <w:sz w:val="16"/>
              </w:rPr>
              <w:t>0.9814</w:t>
            </w:r>
          </w:p>
        </w:tc>
        <w:tc>
          <w:tcPr>
            <w:tcW w:type="dxa" w:w="1048"/>
            <w:vAlign w:val="center"/>
          </w:tcPr>
          <w:p>
            <w:pPr>
              <w:spacing w:after="0" w:line="240" w:lineRule="auto"/>
              <w:jc w:val="center"/>
            </w:pPr>
            <w:r>
              <w:rPr>
                <w:rFonts w:ascii="Cambria" w:hAnsi="Cambria" w:eastAsia="Cambria"/>
                <w:b w:val="0"/>
                <w:i w:val="0"/>
                <w:color w:val="222222"/>
                <w:sz w:val="16"/>
              </w:rPr>
              <w:t>0.9969</w:t>
            </w:r>
          </w:p>
        </w:tc>
        <w:tc>
          <w:tcPr>
            <w:tcW w:type="dxa" w:w="2395"/>
            <w:vAlign w:val="center"/>
          </w:tcPr>
          <w:p>
            <w:pPr>
              <w:spacing w:after="0" w:line="240" w:lineRule="auto"/>
              <w:jc w:val="center"/>
            </w:pPr>
            <w:r>
              <w:rPr>
                <w:rFonts w:ascii="Cambria" w:hAnsi="Cambria" w:eastAsia="Cambria"/>
                <w:b w:val="0"/>
                <w:i w:val="0"/>
                <w:color w:val="222222"/>
                <w:sz w:val="16"/>
              </w:rPr>
              <w:t>807.47</w:t>
            </w:r>
          </w:p>
        </w:tc>
      </w:tr>
    </w:tbl>
    <w:p>
      <w:pPr>
        <w:spacing w:after="20"/>
      </w:pPr>
    </w:p>
    <w:p>
      <w:pPr>
        <w:keepNext/>
        <w:spacing w:before="120" w:after="40"/>
        <w:jc w:val="center"/>
      </w:pPr>
      <w:r>
        <w:drawing>
          <wp:inline xmlns:a="http://schemas.openxmlformats.org/drawingml/2006/main" xmlns:pic="http://schemas.openxmlformats.org/drawingml/2006/picture">
            <wp:extent cx="5852160" cy="2231298"/>
            <wp:docPr id="4" name="Picture 4"/>
            <wp:cNvGraphicFramePr>
              <a:graphicFrameLocks noChangeAspect="1"/>
            </wp:cNvGraphicFramePr>
            <a:graphic>
              <a:graphicData uri="http://schemas.openxmlformats.org/drawingml/2006/picture">
                <pic:pic>
                  <pic:nvPicPr>
                    <pic:cNvPr id="0" name="paper_privacy.png"/>
                    <pic:cNvPicPr/>
                  </pic:nvPicPr>
                  <pic:blipFill>
                    <a:blip r:embed="rId14"/>
                    <a:stretch>
                      <a:fillRect/>
                    </a:stretch>
                  </pic:blipFill>
                  <pic:spPr>
                    <a:xfrm>
                      <a:off x="0" y="0"/>
                      <a:ext cx="5852160" cy="2231298"/>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4.</w:t>
      </w:r>
      <w:r>
        <w:rPr>
          <w:rFonts w:ascii="Cambria" w:hAnsi="Cambria" w:eastAsia="Cambria"/>
          <w:b w:val="0"/>
          <w:i w:val="0"/>
          <w:color w:val="595959"/>
          <w:sz w:val="17"/>
        </w:rPr>
        <w:t xml:space="preserve"> Four-round privacy sweep (SYNTHETIC DEMO DATA). (a) Clipping alone explains the observed F1 change; the tested Gaussian noise levels do not change F1 further. (b) Single-release ε estimates are large and are not an end-to-end privacy guarantee.</w:t>
      </w:r>
    </w:p>
    <w:p>
      <w:pPr>
        <w:pStyle w:val="Heading2"/>
      </w:pPr>
      <w:r>
        <w:rPr>
          <w:rFonts w:ascii="Cambria" w:hAnsi="Cambria" w:eastAsia="Cambria"/>
          <w:b/>
          <w:i w:val="0"/>
          <w:color w:val="2E5C8A"/>
          <w:sz w:val="22"/>
        </w:rPr>
        <w:t>5.6 Scalability</w:t>
      </w:r>
    </w:p>
    <w:p>
      <w:pPr>
        <w:spacing w:after="100" w:line="264" w:lineRule="auto"/>
        <w:jc w:val="both"/>
      </w:pPr>
      <w:r>
        <w:rPr>
          <w:rFonts w:ascii="Cambria" w:hAnsi="Cambria" w:eastAsia="Cambria"/>
          <w:b w:val="0"/>
          <w:i w:val="0"/>
          <w:color w:val="222222"/>
          <w:sz w:val="20"/>
        </w:rPr>
        <w:t>Table 8 and Figure 5 report a four-round scalability sweep with 2, 5, and 10 clients. Wall time rises from 6.558 s to 7.604 s to 8.954 s, and total bytes rise from 180,497 to 451,222 to 902,445. The byte growth is essentially linear in the number of clients because all clients participate and both uploads and broadcasts are counted. Test F1 is 0.9846 with 2 clients, 0.9814 with 5 clients, and 0.8380 with 10 clients. The 10-client drop is large, but the sweep uses only four rounds and does not tune hyperparameters per client count. It should be read as a warning about small per-client sample sizes and short training, not as a scalability law.</w:t>
      </w:r>
    </w:p>
    <w:p>
      <w:pPr>
        <w:keepNext/>
        <w:spacing w:before="140" w:after="60" w:line="240" w:lineRule="auto"/>
        <w:jc w:val="left"/>
      </w:pPr>
      <w:r>
        <w:rPr>
          <w:rFonts w:ascii="Cambria" w:hAnsi="Cambria" w:eastAsia="Cambria"/>
          <w:b/>
          <w:i w:val="0"/>
          <w:color w:val="1F3864"/>
          <w:sz w:val="18"/>
        </w:rPr>
        <w:t>Table 8. Scalability sweep over four rounds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1032"/>
        <w:gridCol w:w="1180"/>
        <w:gridCol w:w="1327"/>
        <w:gridCol w:w="885"/>
        <w:gridCol w:w="885"/>
        <w:gridCol w:w="1032"/>
        <w:gridCol w:w="1917"/>
        <w:gridCol w:w="1622"/>
      </w:tblGrid>
      <w:tr>
        <w:trPr>
          <w:tblHeader w:val="true"/>
          <w:cantSplit/>
        </w:trPr>
        <w:tc>
          <w:tcPr>
            <w:tcW w:type="dxa" w:w="1032"/>
            <w:vAlign w:val="center"/>
            <w:shd w:val="clear" w:color="auto" w:fill="1F3864"/>
          </w:tcPr>
          <w:p>
            <w:pPr>
              <w:spacing w:after="0" w:line="240" w:lineRule="auto"/>
              <w:jc w:val="left"/>
            </w:pPr>
            <w:r>
              <w:rPr>
                <w:rFonts w:ascii="Cambria" w:hAnsi="Cambria" w:eastAsia="Cambria"/>
                <w:b/>
                <w:i w:val="0"/>
                <w:color w:val="FFFFFF"/>
                <w:sz w:val="16"/>
              </w:rPr>
              <w:t>Clients</w:t>
            </w:r>
          </w:p>
        </w:tc>
        <w:tc>
          <w:tcPr>
            <w:tcW w:type="dxa" w:w="1180"/>
            <w:vAlign w:val="center"/>
            <w:shd w:val="clear" w:color="auto" w:fill="1F3864"/>
          </w:tcPr>
          <w:p>
            <w:pPr>
              <w:spacing w:after="0" w:line="240" w:lineRule="auto"/>
              <w:jc w:val="center"/>
            </w:pPr>
            <w:r>
              <w:rPr>
                <w:rFonts w:ascii="Cambria" w:hAnsi="Cambria" w:eastAsia="Cambria"/>
                <w:b/>
                <w:i w:val="0"/>
                <w:color w:val="FFFFFF"/>
                <w:sz w:val="16"/>
              </w:rPr>
              <w:t>Accuracy</w:t>
            </w:r>
          </w:p>
        </w:tc>
        <w:tc>
          <w:tcPr>
            <w:tcW w:type="dxa" w:w="1327"/>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885"/>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885"/>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1032"/>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1917"/>
            <w:vAlign w:val="center"/>
            <w:shd w:val="clear" w:color="auto" w:fill="1F3864"/>
          </w:tcPr>
          <w:p>
            <w:pPr>
              <w:spacing w:after="0" w:line="240" w:lineRule="auto"/>
              <w:jc w:val="center"/>
            </w:pPr>
            <w:r>
              <w:rPr>
                <w:rFonts w:ascii="Cambria" w:hAnsi="Cambria" w:eastAsia="Cambria"/>
                <w:b/>
                <w:i w:val="0"/>
                <w:color w:val="FFFFFF"/>
                <w:sz w:val="16"/>
              </w:rPr>
              <w:t>Wall time (s)</w:t>
            </w:r>
          </w:p>
        </w:tc>
        <w:tc>
          <w:tcPr>
            <w:tcW w:type="dxa" w:w="1622"/>
            <w:vAlign w:val="center"/>
            <w:shd w:val="clear" w:color="auto" w:fill="1F3864"/>
          </w:tcPr>
          <w:p>
            <w:pPr>
              <w:spacing w:after="0" w:line="240" w:lineRule="auto"/>
              <w:jc w:val="center"/>
            </w:pPr>
            <w:r>
              <w:rPr>
                <w:rFonts w:ascii="Cambria" w:hAnsi="Cambria" w:eastAsia="Cambria"/>
                <w:b/>
                <w:i w:val="0"/>
                <w:color w:val="FFFFFF"/>
                <w:sz w:val="16"/>
              </w:rPr>
              <w:t>Total bytes</w:t>
            </w:r>
          </w:p>
        </w:tc>
      </w:tr>
      <w:tr>
        <w:trPr>
          <w:cantSplit/>
        </w:trPr>
        <w:tc>
          <w:tcPr>
            <w:tcW w:type="dxa" w:w="1032"/>
            <w:vAlign w:val="center"/>
          </w:tcPr>
          <w:p>
            <w:pPr>
              <w:spacing w:after="0" w:line="240" w:lineRule="auto"/>
              <w:jc w:val="left"/>
            </w:pPr>
            <w:r>
              <w:rPr>
                <w:rFonts w:ascii="Cambria" w:hAnsi="Cambria" w:eastAsia="Cambria"/>
                <w:b w:val="0"/>
                <w:i w:val="0"/>
                <w:color w:val="222222"/>
                <w:sz w:val="16"/>
              </w:rPr>
              <w:t>2</w:t>
            </w:r>
          </w:p>
        </w:tc>
        <w:tc>
          <w:tcPr>
            <w:tcW w:type="dxa" w:w="1180"/>
            <w:vAlign w:val="center"/>
          </w:tcPr>
          <w:p>
            <w:pPr>
              <w:spacing w:after="0" w:line="240" w:lineRule="auto"/>
              <w:jc w:val="center"/>
            </w:pPr>
            <w:r>
              <w:rPr>
                <w:rFonts w:ascii="Cambria" w:hAnsi="Cambria" w:eastAsia="Cambria"/>
                <w:b w:val="0"/>
                <w:i w:val="0"/>
                <w:color w:val="222222"/>
                <w:sz w:val="16"/>
              </w:rPr>
              <w:t>0.9981</w:t>
            </w:r>
          </w:p>
        </w:tc>
        <w:tc>
          <w:tcPr>
            <w:tcW w:type="dxa" w:w="1327"/>
            <w:vAlign w:val="center"/>
          </w:tcPr>
          <w:p>
            <w:pPr>
              <w:spacing w:after="0" w:line="240" w:lineRule="auto"/>
              <w:jc w:val="center"/>
            </w:pPr>
            <w:r>
              <w:rPr>
                <w:rFonts w:ascii="Cambria" w:hAnsi="Cambria" w:eastAsia="Cambria"/>
                <w:b w:val="0"/>
                <w:i w:val="0"/>
                <w:color w:val="222222"/>
                <w:sz w:val="16"/>
              </w:rPr>
              <w:t>0.9816</w:t>
            </w:r>
          </w:p>
        </w:tc>
        <w:tc>
          <w:tcPr>
            <w:tcW w:type="dxa" w:w="885"/>
            <w:vAlign w:val="center"/>
          </w:tcPr>
          <w:p>
            <w:pPr>
              <w:spacing w:after="0" w:line="240" w:lineRule="auto"/>
              <w:jc w:val="center"/>
            </w:pPr>
            <w:r>
              <w:rPr>
                <w:rFonts w:ascii="Cambria" w:hAnsi="Cambria" w:eastAsia="Cambria"/>
                <w:b w:val="0"/>
                <w:i w:val="0"/>
                <w:color w:val="222222"/>
                <w:sz w:val="16"/>
              </w:rPr>
              <w:t>0.9877</w:t>
            </w:r>
          </w:p>
        </w:tc>
        <w:tc>
          <w:tcPr>
            <w:tcW w:type="dxa" w:w="885"/>
            <w:vAlign w:val="center"/>
          </w:tcPr>
          <w:p>
            <w:pPr>
              <w:spacing w:after="0" w:line="240" w:lineRule="auto"/>
              <w:jc w:val="center"/>
            </w:pPr>
            <w:r>
              <w:rPr>
                <w:rFonts w:ascii="Cambria" w:hAnsi="Cambria" w:eastAsia="Cambria"/>
                <w:b w:val="0"/>
                <w:i w:val="0"/>
                <w:color w:val="222222"/>
                <w:sz w:val="16"/>
              </w:rPr>
              <w:t>0.9846</w:t>
            </w:r>
          </w:p>
        </w:tc>
        <w:tc>
          <w:tcPr>
            <w:tcW w:type="dxa" w:w="1032"/>
            <w:vAlign w:val="center"/>
          </w:tcPr>
          <w:p>
            <w:pPr>
              <w:spacing w:after="0" w:line="240" w:lineRule="auto"/>
              <w:jc w:val="center"/>
            </w:pPr>
            <w:r>
              <w:rPr>
                <w:rFonts w:ascii="Cambria" w:hAnsi="Cambria" w:eastAsia="Cambria"/>
                <w:b w:val="0"/>
                <w:i w:val="0"/>
                <w:color w:val="222222"/>
                <w:sz w:val="16"/>
              </w:rPr>
              <w:t>0.9954</w:t>
            </w:r>
          </w:p>
        </w:tc>
        <w:tc>
          <w:tcPr>
            <w:tcW w:type="dxa" w:w="1917"/>
            <w:vAlign w:val="center"/>
          </w:tcPr>
          <w:p>
            <w:pPr>
              <w:spacing w:after="0" w:line="240" w:lineRule="auto"/>
              <w:jc w:val="center"/>
            </w:pPr>
            <w:r>
              <w:rPr>
                <w:rFonts w:ascii="Cambria" w:hAnsi="Cambria" w:eastAsia="Cambria"/>
                <w:b w:val="0"/>
                <w:i w:val="0"/>
                <w:color w:val="222222"/>
                <w:sz w:val="16"/>
              </w:rPr>
              <w:t>6.558</w:t>
            </w:r>
          </w:p>
        </w:tc>
        <w:tc>
          <w:tcPr>
            <w:tcW w:type="dxa" w:w="1622"/>
            <w:vAlign w:val="center"/>
          </w:tcPr>
          <w:p>
            <w:pPr>
              <w:spacing w:after="0" w:line="240" w:lineRule="auto"/>
              <w:jc w:val="center"/>
            </w:pPr>
            <w:r>
              <w:rPr>
                <w:rFonts w:ascii="Cambria" w:hAnsi="Cambria" w:eastAsia="Cambria"/>
                <w:b w:val="0"/>
                <w:i w:val="0"/>
                <w:color w:val="222222"/>
                <w:sz w:val="16"/>
              </w:rPr>
              <w:t>180,497</w:t>
            </w:r>
          </w:p>
        </w:tc>
      </w:tr>
      <w:tr>
        <w:trPr>
          <w:cantSplit/>
        </w:trPr>
        <w:tc>
          <w:tcPr>
            <w:tcW w:type="dxa" w:w="1032"/>
            <w:vAlign w:val="center"/>
            <w:shd w:val="clear" w:color="auto" w:fill="F2F5F9"/>
          </w:tcPr>
          <w:p>
            <w:pPr>
              <w:spacing w:after="0" w:line="240" w:lineRule="auto"/>
              <w:jc w:val="left"/>
            </w:pPr>
            <w:r>
              <w:rPr>
                <w:rFonts w:ascii="Cambria" w:hAnsi="Cambria" w:eastAsia="Cambria"/>
                <w:b w:val="0"/>
                <w:i w:val="0"/>
                <w:color w:val="222222"/>
                <w:sz w:val="16"/>
              </w:rPr>
              <w:t>5</w:t>
            </w:r>
          </w:p>
        </w:tc>
        <w:tc>
          <w:tcPr>
            <w:tcW w:type="dxa" w:w="1180"/>
            <w:vAlign w:val="center"/>
            <w:shd w:val="clear" w:color="auto" w:fill="F2F5F9"/>
          </w:tcPr>
          <w:p>
            <w:pPr>
              <w:spacing w:after="0" w:line="240" w:lineRule="auto"/>
              <w:jc w:val="center"/>
            </w:pPr>
            <w:r>
              <w:rPr>
                <w:rFonts w:ascii="Cambria" w:hAnsi="Cambria" w:eastAsia="Cambria"/>
                <w:b w:val="0"/>
                <w:i w:val="0"/>
                <w:color w:val="222222"/>
                <w:sz w:val="16"/>
              </w:rPr>
              <w:t>0.9978</w:t>
            </w:r>
          </w:p>
        </w:tc>
        <w:tc>
          <w:tcPr>
            <w:tcW w:type="dxa" w:w="1327"/>
            <w:vAlign w:val="center"/>
            <w:shd w:val="clear" w:color="auto" w:fill="F2F5F9"/>
          </w:tcPr>
          <w:p>
            <w:pPr>
              <w:spacing w:after="0" w:line="240" w:lineRule="auto"/>
              <w:jc w:val="center"/>
            </w:pPr>
            <w:r>
              <w:rPr>
                <w:rFonts w:ascii="Cambria" w:hAnsi="Cambria" w:eastAsia="Cambria"/>
                <w:b w:val="0"/>
                <w:i w:val="0"/>
                <w:color w:val="222222"/>
                <w:sz w:val="16"/>
              </w:rPr>
              <w:t>0.9875</w:t>
            </w:r>
          </w:p>
        </w:tc>
        <w:tc>
          <w:tcPr>
            <w:tcW w:type="dxa" w:w="885"/>
            <w:vAlign w:val="center"/>
            <w:shd w:val="clear" w:color="auto" w:fill="F2F5F9"/>
          </w:tcPr>
          <w:p>
            <w:pPr>
              <w:spacing w:after="0" w:line="240" w:lineRule="auto"/>
              <w:jc w:val="center"/>
            </w:pPr>
            <w:r>
              <w:rPr>
                <w:rFonts w:ascii="Cambria" w:hAnsi="Cambria" w:eastAsia="Cambria"/>
                <w:b w:val="0"/>
                <w:i w:val="0"/>
                <w:color w:val="222222"/>
                <w:sz w:val="16"/>
              </w:rPr>
              <w:t>0.9753</w:t>
            </w:r>
          </w:p>
        </w:tc>
        <w:tc>
          <w:tcPr>
            <w:tcW w:type="dxa" w:w="885"/>
            <w:vAlign w:val="center"/>
            <w:shd w:val="clear" w:color="auto" w:fill="F2F5F9"/>
          </w:tcPr>
          <w:p>
            <w:pPr>
              <w:spacing w:after="0" w:line="240" w:lineRule="auto"/>
              <w:jc w:val="center"/>
            </w:pPr>
            <w:r>
              <w:rPr>
                <w:rFonts w:ascii="Cambria" w:hAnsi="Cambria" w:eastAsia="Cambria"/>
                <w:b w:val="0"/>
                <w:i w:val="0"/>
                <w:color w:val="222222"/>
                <w:sz w:val="16"/>
              </w:rPr>
              <w:t>0.9814</w:t>
            </w:r>
          </w:p>
        </w:tc>
        <w:tc>
          <w:tcPr>
            <w:tcW w:type="dxa" w:w="1032"/>
            <w:vAlign w:val="center"/>
            <w:shd w:val="clear" w:color="auto" w:fill="F2F5F9"/>
          </w:tcPr>
          <w:p>
            <w:pPr>
              <w:spacing w:after="0" w:line="240" w:lineRule="auto"/>
              <w:jc w:val="center"/>
            </w:pPr>
            <w:r>
              <w:rPr>
                <w:rFonts w:ascii="Cambria" w:hAnsi="Cambria" w:eastAsia="Cambria"/>
                <w:b w:val="0"/>
                <w:i w:val="0"/>
                <w:color w:val="222222"/>
                <w:sz w:val="16"/>
              </w:rPr>
              <w:t>0.9970</w:t>
            </w:r>
          </w:p>
        </w:tc>
        <w:tc>
          <w:tcPr>
            <w:tcW w:type="dxa" w:w="1917"/>
            <w:vAlign w:val="center"/>
            <w:shd w:val="clear" w:color="auto" w:fill="F2F5F9"/>
          </w:tcPr>
          <w:p>
            <w:pPr>
              <w:spacing w:after="0" w:line="240" w:lineRule="auto"/>
              <w:jc w:val="center"/>
            </w:pPr>
            <w:r>
              <w:rPr>
                <w:rFonts w:ascii="Cambria" w:hAnsi="Cambria" w:eastAsia="Cambria"/>
                <w:b w:val="0"/>
                <w:i w:val="0"/>
                <w:color w:val="222222"/>
                <w:sz w:val="16"/>
              </w:rPr>
              <w:t>7.604</w:t>
            </w:r>
          </w:p>
        </w:tc>
        <w:tc>
          <w:tcPr>
            <w:tcW w:type="dxa" w:w="1622"/>
            <w:vAlign w:val="center"/>
            <w:shd w:val="clear" w:color="auto" w:fill="F2F5F9"/>
          </w:tcPr>
          <w:p>
            <w:pPr>
              <w:spacing w:after="0" w:line="240" w:lineRule="auto"/>
              <w:jc w:val="center"/>
            </w:pPr>
            <w:r>
              <w:rPr>
                <w:rFonts w:ascii="Cambria" w:hAnsi="Cambria" w:eastAsia="Cambria"/>
                <w:b w:val="0"/>
                <w:i w:val="0"/>
                <w:color w:val="222222"/>
                <w:sz w:val="16"/>
              </w:rPr>
              <w:t>451,222</w:t>
            </w:r>
          </w:p>
        </w:tc>
      </w:tr>
      <w:tr>
        <w:trPr>
          <w:cantSplit/>
        </w:trPr>
        <w:tc>
          <w:tcPr>
            <w:tcW w:type="dxa" w:w="1032"/>
            <w:vAlign w:val="center"/>
          </w:tcPr>
          <w:p>
            <w:pPr>
              <w:spacing w:after="0" w:line="240" w:lineRule="auto"/>
              <w:jc w:val="left"/>
            </w:pPr>
            <w:r>
              <w:rPr>
                <w:rFonts w:ascii="Cambria" w:hAnsi="Cambria" w:eastAsia="Cambria"/>
                <w:b w:val="0"/>
                <w:i w:val="0"/>
                <w:color w:val="222222"/>
                <w:sz w:val="16"/>
              </w:rPr>
              <w:t>10</w:t>
            </w:r>
          </w:p>
        </w:tc>
        <w:tc>
          <w:tcPr>
            <w:tcW w:type="dxa" w:w="1180"/>
            <w:vAlign w:val="center"/>
          </w:tcPr>
          <w:p>
            <w:pPr>
              <w:spacing w:after="0" w:line="240" w:lineRule="auto"/>
              <w:jc w:val="center"/>
            </w:pPr>
            <w:r>
              <w:rPr>
                <w:rFonts w:ascii="Cambria" w:hAnsi="Cambria" w:eastAsia="Cambria"/>
                <w:b w:val="0"/>
                <w:i w:val="0"/>
                <w:color w:val="222222"/>
                <w:sz w:val="16"/>
              </w:rPr>
              <w:t>0.9829</w:t>
            </w:r>
          </w:p>
        </w:tc>
        <w:tc>
          <w:tcPr>
            <w:tcW w:type="dxa" w:w="1327"/>
            <w:vAlign w:val="center"/>
          </w:tcPr>
          <w:p>
            <w:pPr>
              <w:spacing w:after="0" w:line="240" w:lineRule="auto"/>
              <w:jc w:val="center"/>
            </w:pPr>
            <w:r>
              <w:rPr>
                <w:rFonts w:ascii="Cambria" w:hAnsi="Cambria" w:eastAsia="Cambria"/>
                <w:b w:val="0"/>
                <w:i w:val="0"/>
                <w:color w:val="222222"/>
                <w:sz w:val="16"/>
              </w:rPr>
              <w:t>0.9754</w:t>
            </w:r>
          </w:p>
        </w:tc>
        <w:tc>
          <w:tcPr>
            <w:tcW w:type="dxa" w:w="885"/>
            <w:vAlign w:val="center"/>
          </w:tcPr>
          <w:p>
            <w:pPr>
              <w:spacing w:after="0" w:line="240" w:lineRule="auto"/>
              <w:jc w:val="center"/>
            </w:pPr>
            <w:r>
              <w:rPr>
                <w:rFonts w:ascii="Cambria" w:hAnsi="Cambria" w:eastAsia="Cambria"/>
                <w:b w:val="0"/>
                <w:i w:val="0"/>
                <w:color w:val="222222"/>
                <w:sz w:val="16"/>
              </w:rPr>
              <w:t>0.7346</w:t>
            </w:r>
          </w:p>
        </w:tc>
        <w:tc>
          <w:tcPr>
            <w:tcW w:type="dxa" w:w="885"/>
            <w:vAlign w:val="center"/>
          </w:tcPr>
          <w:p>
            <w:pPr>
              <w:spacing w:after="0" w:line="240" w:lineRule="auto"/>
              <w:jc w:val="center"/>
            </w:pPr>
            <w:r>
              <w:rPr>
                <w:rFonts w:ascii="Cambria" w:hAnsi="Cambria" w:eastAsia="Cambria"/>
                <w:b w:val="0"/>
                <w:i w:val="0"/>
                <w:color w:val="222222"/>
                <w:sz w:val="16"/>
              </w:rPr>
              <w:t>0.8380</w:t>
            </w:r>
          </w:p>
        </w:tc>
        <w:tc>
          <w:tcPr>
            <w:tcW w:type="dxa" w:w="1032"/>
            <w:vAlign w:val="center"/>
          </w:tcPr>
          <w:p>
            <w:pPr>
              <w:spacing w:after="0" w:line="240" w:lineRule="auto"/>
              <w:jc w:val="center"/>
            </w:pPr>
            <w:r>
              <w:rPr>
                <w:rFonts w:ascii="Cambria" w:hAnsi="Cambria" w:eastAsia="Cambria"/>
                <w:b w:val="0"/>
                <w:i w:val="0"/>
                <w:color w:val="222222"/>
                <w:sz w:val="16"/>
              </w:rPr>
              <w:t>0.9861</w:t>
            </w:r>
          </w:p>
        </w:tc>
        <w:tc>
          <w:tcPr>
            <w:tcW w:type="dxa" w:w="1917"/>
            <w:vAlign w:val="center"/>
          </w:tcPr>
          <w:p>
            <w:pPr>
              <w:spacing w:after="0" w:line="240" w:lineRule="auto"/>
              <w:jc w:val="center"/>
            </w:pPr>
            <w:r>
              <w:rPr>
                <w:rFonts w:ascii="Cambria" w:hAnsi="Cambria" w:eastAsia="Cambria"/>
                <w:b w:val="0"/>
                <w:i w:val="0"/>
                <w:color w:val="222222"/>
                <w:sz w:val="16"/>
              </w:rPr>
              <w:t>8.954</w:t>
            </w:r>
          </w:p>
        </w:tc>
        <w:tc>
          <w:tcPr>
            <w:tcW w:type="dxa" w:w="1622"/>
            <w:vAlign w:val="center"/>
          </w:tcPr>
          <w:p>
            <w:pPr>
              <w:spacing w:after="0" w:line="240" w:lineRule="auto"/>
              <w:jc w:val="center"/>
            </w:pPr>
            <w:r>
              <w:rPr>
                <w:rFonts w:ascii="Cambria" w:hAnsi="Cambria" w:eastAsia="Cambria"/>
                <w:b w:val="0"/>
                <w:i w:val="0"/>
                <w:color w:val="222222"/>
                <w:sz w:val="16"/>
              </w:rPr>
              <w:t>902,445</w:t>
            </w:r>
          </w:p>
        </w:tc>
      </w:tr>
    </w:tbl>
    <w:p>
      <w:pPr>
        <w:spacing w:after="20"/>
      </w:pPr>
    </w:p>
    <w:p>
      <w:pPr>
        <w:keepNext/>
        <w:spacing w:before="120" w:after="40"/>
        <w:jc w:val="center"/>
      </w:pPr>
      <w:r>
        <w:drawing>
          <wp:inline xmlns:a="http://schemas.openxmlformats.org/drawingml/2006/main" xmlns:pic="http://schemas.openxmlformats.org/drawingml/2006/picture">
            <wp:extent cx="5852160" cy="1746520"/>
            <wp:docPr id="5" name="Picture 5"/>
            <wp:cNvGraphicFramePr>
              <a:graphicFrameLocks noChangeAspect="1"/>
            </wp:cNvGraphicFramePr>
            <a:graphic>
              <a:graphicData uri="http://schemas.openxmlformats.org/drawingml/2006/picture">
                <pic:pic>
                  <pic:nvPicPr>
                    <pic:cNvPr id="0" name="paper_scalability.png"/>
                    <pic:cNvPicPr/>
                  </pic:nvPicPr>
                  <pic:blipFill>
                    <a:blip r:embed="rId15"/>
                    <a:stretch>
                      <a:fillRect/>
                    </a:stretch>
                  </pic:blipFill>
                  <pic:spPr>
                    <a:xfrm>
                      <a:off x="0" y="0"/>
                      <a:ext cx="5852160" cy="1746520"/>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5.</w:t>
      </w:r>
      <w:r>
        <w:rPr>
          <w:rFonts w:ascii="Cambria" w:hAnsi="Cambria" w:eastAsia="Cambria"/>
          <w:b w:val="0"/>
          <w:i w:val="0"/>
          <w:color w:val="595959"/>
          <w:sz w:val="17"/>
        </w:rPr>
        <w:t xml:space="preserve"> Four-round scalability sweep with 2, 5, and 10 clients (SYNTHETIC DEMO DATA). Time and bytes grow with participation; the 10-client F1 drop is confounded with short training and small per-client samples.</w:t>
      </w:r>
    </w:p>
    <w:p>
      <w:pPr>
        <w:pStyle w:val="Heading2"/>
      </w:pPr>
      <w:r>
        <w:rPr>
          <w:rFonts w:ascii="Cambria" w:hAnsi="Cambria" w:eastAsia="Cambria"/>
          <w:b/>
          <w:i w:val="0"/>
          <w:color w:val="2E5C8A"/>
          <w:sz w:val="22"/>
        </w:rPr>
        <w:t>5.7 Adaptive Aggregation Diagnostics</w:t>
      </w:r>
    </w:p>
    <w:p>
      <w:pPr>
        <w:spacing w:after="100" w:line="264" w:lineRule="auto"/>
        <w:jc w:val="both"/>
      </w:pPr>
      <w:r>
        <w:rPr>
          <w:rFonts w:ascii="Cambria" w:hAnsi="Cambria" w:eastAsia="Cambria"/>
          <w:b w:val="0"/>
          <w:i w:val="0"/>
          <w:color w:val="222222"/>
          <w:sz w:val="20"/>
        </w:rPr>
        <w:t>Table 9 reports the final-round aggregation diagnostics. FedAvg gives client_03—the all-normal client with 2,408 assigned windows—a weight of 0.2756 because of its sample count. The adaptive rule reduces that weight to 0.1212, reflecting its low reliability (0.2802) and the lowest possible balance factor (0.8000). The client is not eliminated: its quality fallback is 0.5000 and its minimum weight remains above the 0.01 floor. At the same time, client_00 and client_01 increase their weights from 0.2308/0.4166 to 0.3208/0.4756. This is the intended behavior of the size-quality-reliability rule.</w:t>
      </w:r>
    </w:p>
    <w:p>
      <w:pPr>
        <w:spacing w:after="100" w:line="264" w:lineRule="auto"/>
        <w:jc w:val="both"/>
      </w:pPr>
      <w:r>
        <w:rPr>
          <w:rFonts w:ascii="Cambria" w:hAnsi="Cambria" w:eastAsia="Cambria"/>
          <w:b w:val="0"/>
          <w:i w:val="0"/>
          <w:color w:val="222222"/>
          <w:sz w:val="20"/>
        </w:rPr>
        <w:t>The table is diagnostic, not causal. Because FedAvg also differs in privacy and compression, the final F1 difference cannot be attributed to these weight changes. An aggregation-only ablation is not available in the current suite.</w:t>
      </w:r>
    </w:p>
    <w:p>
      <w:pPr>
        <w:keepNext/>
        <w:spacing w:before="140" w:after="60" w:line="240" w:lineRule="auto"/>
        <w:jc w:val="left"/>
      </w:pPr>
      <w:r>
        <w:rPr>
          <w:rFonts w:ascii="Cambria" w:hAnsi="Cambria" w:eastAsia="Cambria"/>
          <w:b/>
          <w:i w:val="0"/>
          <w:color w:val="1F3864"/>
          <w:sz w:val="18"/>
        </w:rPr>
        <w:t>Table 9. Final-round aggregation diagnostics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1218"/>
        <w:gridCol w:w="1759"/>
        <w:gridCol w:w="2030"/>
        <w:gridCol w:w="947"/>
        <w:gridCol w:w="1489"/>
        <w:gridCol w:w="947"/>
        <w:gridCol w:w="1489"/>
      </w:tblGrid>
      <w:tr>
        <w:trPr>
          <w:tblHeader w:val="true"/>
          <w:cantSplit/>
        </w:trPr>
        <w:tc>
          <w:tcPr>
            <w:tcW w:type="dxa" w:w="1218"/>
            <w:vAlign w:val="center"/>
            <w:shd w:val="clear" w:color="auto" w:fill="1F3864"/>
          </w:tcPr>
          <w:p>
            <w:pPr>
              <w:spacing w:after="0" w:line="240" w:lineRule="auto"/>
              <w:jc w:val="left"/>
            </w:pPr>
            <w:r>
              <w:rPr>
                <w:rFonts w:ascii="Cambria" w:hAnsi="Cambria" w:eastAsia="Cambria"/>
                <w:b/>
                <w:i w:val="0"/>
                <w:color w:val="FFFFFF"/>
                <w:sz w:val="16"/>
              </w:rPr>
              <w:t>Client</w:t>
            </w:r>
          </w:p>
        </w:tc>
        <w:tc>
          <w:tcPr>
            <w:tcW w:type="dxa" w:w="1759"/>
            <w:vAlign w:val="center"/>
            <w:shd w:val="clear" w:color="auto" w:fill="1F3864"/>
          </w:tcPr>
          <w:p>
            <w:pPr>
              <w:spacing w:after="0" w:line="240" w:lineRule="auto"/>
              <w:jc w:val="center"/>
            </w:pPr>
            <w:r>
              <w:rPr>
                <w:rFonts w:ascii="Cambria" w:hAnsi="Cambria" w:eastAsia="Cambria"/>
                <w:b/>
                <w:i w:val="0"/>
                <w:color w:val="FFFFFF"/>
                <w:sz w:val="16"/>
              </w:rPr>
              <w:t>FedAvg weight</w:t>
            </w:r>
          </w:p>
        </w:tc>
        <w:tc>
          <w:tcPr>
            <w:tcW w:type="dxa" w:w="2030"/>
            <w:vAlign w:val="center"/>
            <w:shd w:val="clear" w:color="auto" w:fill="1F3864"/>
          </w:tcPr>
          <w:p>
            <w:pPr>
              <w:spacing w:after="0" w:line="240" w:lineRule="auto"/>
              <w:jc w:val="center"/>
            </w:pPr>
            <w:r>
              <w:rPr>
                <w:rFonts w:ascii="Cambria" w:hAnsi="Cambria" w:eastAsia="Cambria"/>
                <w:b/>
                <w:i w:val="0"/>
                <w:color w:val="FFFFFF"/>
                <w:sz w:val="16"/>
              </w:rPr>
              <w:t>Adaptive weight</w:t>
            </w:r>
          </w:p>
        </w:tc>
        <w:tc>
          <w:tcPr>
            <w:tcW w:type="dxa" w:w="947"/>
            <w:vAlign w:val="center"/>
            <w:shd w:val="clear" w:color="auto" w:fill="1F3864"/>
          </w:tcPr>
          <w:p>
            <w:pPr>
              <w:spacing w:after="0" w:line="240" w:lineRule="auto"/>
              <w:jc w:val="center"/>
            </w:pPr>
            <w:r>
              <w:rPr>
                <w:rFonts w:ascii="Cambria" w:hAnsi="Cambria" w:eastAsia="Cambria"/>
                <w:b/>
                <w:i w:val="0"/>
                <w:color w:val="FFFFFF"/>
                <w:sz w:val="16"/>
              </w:rPr>
              <w:t>Quality</w:t>
            </w:r>
          </w:p>
        </w:tc>
        <w:tc>
          <w:tcPr>
            <w:tcW w:type="dxa" w:w="1489"/>
            <w:vAlign w:val="center"/>
            <w:shd w:val="clear" w:color="auto" w:fill="1F3864"/>
          </w:tcPr>
          <w:p>
            <w:pPr>
              <w:spacing w:after="0" w:line="240" w:lineRule="auto"/>
              <w:jc w:val="center"/>
            </w:pPr>
            <w:r>
              <w:rPr>
                <w:rFonts w:ascii="Cambria" w:hAnsi="Cambria" w:eastAsia="Cambria"/>
                <w:b/>
                <w:i w:val="0"/>
                <w:color w:val="FFFFFF"/>
                <w:sz w:val="16"/>
              </w:rPr>
              <w:t>Reliability</w:t>
            </w:r>
          </w:p>
        </w:tc>
        <w:tc>
          <w:tcPr>
            <w:tcW w:type="dxa" w:w="947"/>
            <w:vAlign w:val="center"/>
            <w:shd w:val="clear" w:color="auto" w:fill="1F3864"/>
          </w:tcPr>
          <w:p>
            <w:pPr>
              <w:spacing w:after="0" w:line="240" w:lineRule="auto"/>
              <w:jc w:val="center"/>
            </w:pPr>
            <w:r>
              <w:rPr>
                <w:rFonts w:ascii="Cambria" w:hAnsi="Cambria" w:eastAsia="Cambria"/>
                <w:b/>
                <w:i w:val="0"/>
                <w:color w:val="FFFFFF"/>
                <w:sz w:val="16"/>
              </w:rPr>
              <w:t>Balance</w:t>
            </w:r>
          </w:p>
        </w:tc>
        <w:tc>
          <w:tcPr>
            <w:tcW w:type="dxa" w:w="1489"/>
            <w:vAlign w:val="center"/>
            <w:shd w:val="clear" w:color="auto" w:fill="1F3864"/>
          </w:tcPr>
          <w:p>
            <w:pPr>
              <w:spacing w:after="0" w:line="240" w:lineRule="auto"/>
              <w:jc w:val="center"/>
            </w:pPr>
            <w:r>
              <w:rPr>
                <w:rFonts w:ascii="Cambria" w:hAnsi="Cambria" w:eastAsia="Cambria"/>
                <w:b/>
                <w:i w:val="0"/>
                <w:color w:val="FFFFFF"/>
                <w:sz w:val="16"/>
              </w:rPr>
              <w:t>Update norm</w:t>
            </w:r>
          </w:p>
        </w:tc>
      </w:tr>
      <w:tr>
        <w:trPr>
          <w:cantSplit/>
        </w:trPr>
        <w:tc>
          <w:tcPr>
            <w:tcW w:type="dxa" w:w="1218"/>
            <w:vAlign w:val="center"/>
          </w:tcPr>
          <w:p>
            <w:pPr>
              <w:spacing w:after="0" w:line="240" w:lineRule="auto"/>
              <w:jc w:val="left"/>
            </w:pPr>
            <w:r>
              <w:rPr>
                <w:rFonts w:ascii="Cambria" w:hAnsi="Cambria" w:eastAsia="Cambria"/>
                <w:b w:val="0"/>
                <w:i w:val="0"/>
                <w:color w:val="222222"/>
                <w:sz w:val="16"/>
              </w:rPr>
              <w:t>client_00</w:t>
            </w:r>
          </w:p>
        </w:tc>
        <w:tc>
          <w:tcPr>
            <w:tcW w:type="dxa" w:w="1759"/>
            <w:vAlign w:val="center"/>
          </w:tcPr>
          <w:p>
            <w:pPr>
              <w:spacing w:after="0" w:line="240" w:lineRule="auto"/>
              <w:jc w:val="center"/>
            </w:pPr>
            <w:r>
              <w:rPr>
                <w:rFonts w:ascii="Cambria" w:hAnsi="Cambria" w:eastAsia="Cambria"/>
                <w:b w:val="0"/>
                <w:i w:val="0"/>
                <w:color w:val="222222"/>
                <w:sz w:val="16"/>
              </w:rPr>
              <w:t>0.2308</w:t>
            </w:r>
          </w:p>
        </w:tc>
        <w:tc>
          <w:tcPr>
            <w:tcW w:type="dxa" w:w="2030"/>
            <w:vAlign w:val="center"/>
          </w:tcPr>
          <w:p>
            <w:pPr>
              <w:spacing w:after="0" w:line="240" w:lineRule="auto"/>
              <w:jc w:val="center"/>
            </w:pPr>
            <w:r>
              <w:rPr>
                <w:rFonts w:ascii="Cambria" w:hAnsi="Cambria" w:eastAsia="Cambria"/>
                <w:b w:val="0"/>
                <w:i w:val="0"/>
                <w:color w:val="222222"/>
                <w:sz w:val="16"/>
              </w:rPr>
              <w:t>0.3208</w:t>
            </w:r>
          </w:p>
        </w:tc>
        <w:tc>
          <w:tcPr>
            <w:tcW w:type="dxa" w:w="947"/>
            <w:vAlign w:val="center"/>
          </w:tcPr>
          <w:p>
            <w:pPr>
              <w:spacing w:after="0" w:line="240" w:lineRule="auto"/>
              <w:jc w:val="center"/>
            </w:pPr>
            <w:r>
              <w:rPr>
                <w:rFonts w:ascii="Cambria" w:hAnsi="Cambria" w:eastAsia="Cambria"/>
                <w:b w:val="0"/>
                <w:i w:val="0"/>
                <w:color w:val="222222"/>
                <w:sz w:val="16"/>
              </w:rPr>
              <w:t>0.9879</w:t>
            </w:r>
          </w:p>
        </w:tc>
        <w:tc>
          <w:tcPr>
            <w:tcW w:type="dxa" w:w="1489"/>
            <w:vAlign w:val="center"/>
          </w:tcPr>
          <w:p>
            <w:pPr>
              <w:spacing w:after="0" w:line="240" w:lineRule="auto"/>
              <w:jc w:val="center"/>
            </w:pPr>
            <w:r>
              <w:rPr>
                <w:rFonts w:ascii="Cambria" w:hAnsi="Cambria" w:eastAsia="Cambria"/>
                <w:b w:val="0"/>
                <w:i w:val="0"/>
                <w:color w:val="222222"/>
                <w:sz w:val="16"/>
              </w:rPr>
              <w:t>1.0000</w:t>
            </w:r>
          </w:p>
        </w:tc>
        <w:tc>
          <w:tcPr>
            <w:tcW w:type="dxa" w:w="947"/>
            <w:vAlign w:val="center"/>
          </w:tcPr>
          <w:p>
            <w:pPr>
              <w:spacing w:after="0" w:line="240" w:lineRule="auto"/>
              <w:jc w:val="center"/>
            </w:pPr>
            <w:r>
              <w:rPr>
                <w:rFonts w:ascii="Cambria" w:hAnsi="Cambria" w:eastAsia="Cambria"/>
                <w:b w:val="0"/>
                <w:i w:val="0"/>
                <w:color w:val="222222"/>
                <w:sz w:val="16"/>
              </w:rPr>
              <w:t>0.9522</w:t>
            </w:r>
          </w:p>
        </w:tc>
        <w:tc>
          <w:tcPr>
            <w:tcW w:type="dxa" w:w="1489"/>
            <w:vAlign w:val="center"/>
          </w:tcPr>
          <w:p>
            <w:pPr>
              <w:spacing w:after="0" w:line="240" w:lineRule="auto"/>
              <w:jc w:val="center"/>
            </w:pPr>
            <w:r>
              <w:rPr>
                <w:rFonts w:ascii="Cambria" w:hAnsi="Cambria" w:eastAsia="Cambria"/>
                <w:b w:val="0"/>
                <w:i w:val="0"/>
                <w:color w:val="222222"/>
                <w:sz w:val="16"/>
              </w:rPr>
              <w:t>0.4800</w:t>
            </w:r>
          </w:p>
        </w:tc>
      </w:tr>
      <w:tr>
        <w:trPr>
          <w:cantSplit/>
        </w:trPr>
        <w:tc>
          <w:tcPr>
            <w:tcW w:type="dxa" w:w="1218"/>
            <w:vAlign w:val="center"/>
            <w:shd w:val="clear" w:color="auto" w:fill="F2F5F9"/>
          </w:tcPr>
          <w:p>
            <w:pPr>
              <w:spacing w:after="0" w:line="240" w:lineRule="auto"/>
              <w:jc w:val="left"/>
            </w:pPr>
            <w:r>
              <w:rPr>
                <w:rFonts w:ascii="Cambria" w:hAnsi="Cambria" w:eastAsia="Cambria"/>
                <w:b w:val="0"/>
                <w:i w:val="0"/>
                <w:color w:val="222222"/>
                <w:sz w:val="16"/>
              </w:rPr>
              <w:t>client_01</w:t>
            </w:r>
          </w:p>
        </w:tc>
        <w:tc>
          <w:tcPr>
            <w:tcW w:type="dxa" w:w="1759"/>
            <w:vAlign w:val="center"/>
            <w:shd w:val="clear" w:color="auto" w:fill="F2F5F9"/>
          </w:tcPr>
          <w:p>
            <w:pPr>
              <w:spacing w:after="0" w:line="240" w:lineRule="auto"/>
              <w:jc w:val="center"/>
            </w:pPr>
            <w:r>
              <w:rPr>
                <w:rFonts w:ascii="Cambria" w:hAnsi="Cambria" w:eastAsia="Cambria"/>
                <w:b w:val="0"/>
                <w:i w:val="0"/>
                <w:color w:val="222222"/>
                <w:sz w:val="16"/>
              </w:rPr>
              <w:t>0.4166</w:t>
            </w:r>
          </w:p>
        </w:tc>
        <w:tc>
          <w:tcPr>
            <w:tcW w:type="dxa" w:w="2030"/>
            <w:vAlign w:val="center"/>
            <w:shd w:val="clear" w:color="auto" w:fill="F2F5F9"/>
          </w:tcPr>
          <w:p>
            <w:pPr>
              <w:spacing w:after="0" w:line="240" w:lineRule="auto"/>
              <w:jc w:val="center"/>
            </w:pPr>
            <w:r>
              <w:rPr>
                <w:rFonts w:ascii="Cambria" w:hAnsi="Cambria" w:eastAsia="Cambria"/>
                <w:b w:val="0"/>
                <w:i w:val="0"/>
                <w:color w:val="222222"/>
                <w:sz w:val="16"/>
              </w:rPr>
              <w:t>0.4756</w:t>
            </w:r>
          </w:p>
        </w:tc>
        <w:tc>
          <w:tcPr>
            <w:tcW w:type="dxa" w:w="947"/>
            <w:vAlign w:val="center"/>
            <w:shd w:val="clear" w:color="auto" w:fill="F2F5F9"/>
          </w:tcPr>
          <w:p>
            <w:pPr>
              <w:spacing w:after="0" w:line="240" w:lineRule="auto"/>
              <w:jc w:val="center"/>
            </w:pPr>
            <w:r>
              <w:rPr>
                <w:rFonts w:ascii="Cambria" w:hAnsi="Cambria" w:eastAsia="Cambria"/>
                <w:b w:val="0"/>
                <w:i w:val="0"/>
                <w:color w:val="222222"/>
                <w:sz w:val="16"/>
              </w:rPr>
              <w:t>0.9958</w:t>
            </w:r>
          </w:p>
        </w:tc>
        <w:tc>
          <w:tcPr>
            <w:tcW w:type="dxa" w:w="1489"/>
            <w:vAlign w:val="center"/>
            <w:shd w:val="clear" w:color="auto" w:fill="F2F5F9"/>
          </w:tcPr>
          <w:p>
            <w:pPr>
              <w:spacing w:after="0" w:line="240" w:lineRule="auto"/>
              <w:jc w:val="center"/>
            </w:pPr>
            <w:r>
              <w:rPr>
                <w:rFonts w:ascii="Cambria" w:hAnsi="Cambria" w:eastAsia="Cambria"/>
                <w:b w:val="0"/>
                <w:i w:val="0"/>
                <w:color w:val="222222"/>
                <w:sz w:val="16"/>
              </w:rPr>
              <w:t>0.7282</w:t>
            </w:r>
          </w:p>
        </w:tc>
        <w:tc>
          <w:tcPr>
            <w:tcW w:type="dxa" w:w="947"/>
            <w:vAlign w:val="center"/>
            <w:shd w:val="clear" w:color="auto" w:fill="F2F5F9"/>
          </w:tcPr>
          <w:p>
            <w:pPr>
              <w:spacing w:after="0" w:line="240" w:lineRule="auto"/>
              <w:jc w:val="center"/>
            </w:pPr>
            <w:r>
              <w:rPr>
                <w:rFonts w:ascii="Cambria" w:hAnsi="Cambria" w:eastAsia="Cambria"/>
                <w:b w:val="0"/>
                <w:i w:val="0"/>
                <w:color w:val="222222"/>
                <w:sz w:val="16"/>
              </w:rPr>
              <w:t>0.9127</w:t>
            </w:r>
          </w:p>
        </w:tc>
        <w:tc>
          <w:tcPr>
            <w:tcW w:type="dxa" w:w="1489"/>
            <w:vAlign w:val="center"/>
            <w:shd w:val="clear" w:color="auto" w:fill="F2F5F9"/>
          </w:tcPr>
          <w:p>
            <w:pPr>
              <w:spacing w:after="0" w:line="240" w:lineRule="auto"/>
              <w:jc w:val="center"/>
            </w:pPr>
            <w:r>
              <w:rPr>
                <w:rFonts w:ascii="Cambria" w:hAnsi="Cambria" w:eastAsia="Cambria"/>
                <w:b w:val="0"/>
                <w:i w:val="0"/>
                <w:color w:val="222222"/>
                <w:sz w:val="16"/>
              </w:rPr>
              <w:t>0.6322</w:t>
            </w:r>
          </w:p>
        </w:tc>
      </w:tr>
      <w:tr>
        <w:trPr>
          <w:cantSplit/>
        </w:trPr>
        <w:tc>
          <w:tcPr>
            <w:tcW w:type="dxa" w:w="1218"/>
            <w:vAlign w:val="center"/>
          </w:tcPr>
          <w:p>
            <w:pPr>
              <w:spacing w:after="0" w:line="240" w:lineRule="auto"/>
              <w:jc w:val="left"/>
            </w:pPr>
            <w:r>
              <w:rPr>
                <w:rFonts w:ascii="Cambria" w:hAnsi="Cambria" w:eastAsia="Cambria"/>
                <w:b w:val="0"/>
                <w:i w:val="0"/>
                <w:color w:val="222222"/>
                <w:sz w:val="16"/>
              </w:rPr>
              <w:t>client_02</w:t>
            </w:r>
          </w:p>
        </w:tc>
        <w:tc>
          <w:tcPr>
            <w:tcW w:type="dxa" w:w="1759"/>
            <w:vAlign w:val="center"/>
          </w:tcPr>
          <w:p>
            <w:pPr>
              <w:spacing w:after="0" w:line="240" w:lineRule="auto"/>
              <w:jc w:val="center"/>
            </w:pPr>
            <w:r>
              <w:rPr>
                <w:rFonts w:ascii="Cambria" w:hAnsi="Cambria" w:eastAsia="Cambria"/>
                <w:b w:val="0"/>
                <w:i w:val="0"/>
                <w:color w:val="222222"/>
                <w:sz w:val="16"/>
              </w:rPr>
              <w:t>0.0385</w:t>
            </w:r>
          </w:p>
        </w:tc>
        <w:tc>
          <w:tcPr>
            <w:tcW w:type="dxa" w:w="2030"/>
            <w:vAlign w:val="center"/>
          </w:tcPr>
          <w:p>
            <w:pPr>
              <w:spacing w:after="0" w:line="240" w:lineRule="auto"/>
              <w:jc w:val="center"/>
            </w:pPr>
            <w:r>
              <w:rPr>
                <w:rFonts w:ascii="Cambria" w:hAnsi="Cambria" w:eastAsia="Cambria"/>
                <w:b w:val="0"/>
                <w:i w:val="0"/>
                <w:color w:val="222222"/>
                <w:sz w:val="16"/>
              </w:rPr>
              <w:t>0.0400</w:t>
            </w:r>
          </w:p>
        </w:tc>
        <w:tc>
          <w:tcPr>
            <w:tcW w:type="dxa" w:w="947"/>
            <w:vAlign w:val="center"/>
          </w:tcPr>
          <w:p>
            <w:pPr>
              <w:spacing w:after="0" w:line="240" w:lineRule="auto"/>
              <w:jc w:val="center"/>
            </w:pPr>
            <w:r>
              <w:rPr>
                <w:rFonts w:ascii="Cambria" w:hAnsi="Cambria" w:eastAsia="Cambria"/>
                <w:b w:val="0"/>
                <w:i w:val="0"/>
                <w:color w:val="222222"/>
                <w:sz w:val="16"/>
              </w:rPr>
              <w:t>0.8636</w:t>
            </w:r>
          </w:p>
        </w:tc>
        <w:tc>
          <w:tcPr>
            <w:tcW w:type="dxa" w:w="1489"/>
            <w:vAlign w:val="center"/>
          </w:tcPr>
          <w:p>
            <w:pPr>
              <w:spacing w:after="0" w:line="240" w:lineRule="auto"/>
              <w:jc w:val="center"/>
            </w:pPr>
            <w:r>
              <w:rPr>
                <w:rFonts w:ascii="Cambria" w:hAnsi="Cambria" w:eastAsia="Cambria"/>
                <w:b w:val="0"/>
                <w:i w:val="0"/>
                <w:color w:val="222222"/>
                <w:sz w:val="16"/>
              </w:rPr>
              <w:t>0.7363</w:t>
            </w:r>
          </w:p>
        </w:tc>
        <w:tc>
          <w:tcPr>
            <w:tcW w:type="dxa" w:w="947"/>
            <w:vAlign w:val="center"/>
          </w:tcPr>
          <w:p>
            <w:pPr>
              <w:spacing w:after="0" w:line="240" w:lineRule="auto"/>
              <w:jc w:val="center"/>
            </w:pPr>
            <w:r>
              <w:rPr>
                <w:rFonts w:ascii="Cambria" w:hAnsi="Cambria" w:eastAsia="Cambria"/>
                <w:b w:val="0"/>
                <w:i w:val="0"/>
                <w:color w:val="222222"/>
                <w:sz w:val="16"/>
              </w:rPr>
              <w:t>0.8863</w:t>
            </w:r>
          </w:p>
        </w:tc>
        <w:tc>
          <w:tcPr>
            <w:tcW w:type="dxa" w:w="1489"/>
            <w:vAlign w:val="center"/>
          </w:tcPr>
          <w:p>
            <w:pPr>
              <w:spacing w:after="0" w:line="240" w:lineRule="auto"/>
              <w:jc w:val="center"/>
            </w:pPr>
            <w:r>
              <w:rPr>
                <w:rFonts w:ascii="Cambria" w:hAnsi="Cambria" w:eastAsia="Cambria"/>
                <w:b w:val="0"/>
                <w:i w:val="0"/>
                <w:color w:val="222222"/>
                <w:sz w:val="16"/>
              </w:rPr>
              <w:t>0.3331</w:t>
            </w:r>
          </w:p>
        </w:tc>
      </w:tr>
      <w:tr>
        <w:trPr>
          <w:cantSplit/>
        </w:trPr>
        <w:tc>
          <w:tcPr>
            <w:tcW w:type="dxa" w:w="1218"/>
            <w:vAlign w:val="center"/>
            <w:shd w:val="clear" w:color="auto" w:fill="F2F5F9"/>
          </w:tcPr>
          <w:p>
            <w:pPr>
              <w:spacing w:after="0" w:line="240" w:lineRule="auto"/>
              <w:jc w:val="left"/>
            </w:pPr>
            <w:r>
              <w:rPr>
                <w:rFonts w:ascii="Cambria" w:hAnsi="Cambria" w:eastAsia="Cambria"/>
                <w:b w:val="0"/>
                <w:i w:val="0"/>
                <w:color w:val="222222"/>
                <w:sz w:val="16"/>
              </w:rPr>
              <w:t>client_03</w:t>
            </w:r>
          </w:p>
        </w:tc>
        <w:tc>
          <w:tcPr>
            <w:tcW w:type="dxa" w:w="1759"/>
            <w:vAlign w:val="center"/>
            <w:shd w:val="clear" w:color="auto" w:fill="F2F5F9"/>
          </w:tcPr>
          <w:p>
            <w:pPr>
              <w:spacing w:after="0" w:line="240" w:lineRule="auto"/>
              <w:jc w:val="center"/>
            </w:pPr>
            <w:r>
              <w:rPr>
                <w:rFonts w:ascii="Cambria" w:hAnsi="Cambria" w:eastAsia="Cambria"/>
                <w:b w:val="0"/>
                <w:i w:val="0"/>
                <w:color w:val="222222"/>
                <w:sz w:val="16"/>
              </w:rPr>
              <w:t>0.2756</w:t>
            </w:r>
          </w:p>
        </w:tc>
        <w:tc>
          <w:tcPr>
            <w:tcW w:type="dxa" w:w="2030"/>
            <w:vAlign w:val="center"/>
            <w:shd w:val="clear" w:color="auto" w:fill="F2F5F9"/>
          </w:tcPr>
          <w:p>
            <w:pPr>
              <w:spacing w:after="0" w:line="240" w:lineRule="auto"/>
              <w:jc w:val="center"/>
            </w:pPr>
            <w:r>
              <w:rPr>
                <w:rFonts w:ascii="Cambria" w:hAnsi="Cambria" w:eastAsia="Cambria"/>
                <w:b w:val="0"/>
                <w:i w:val="0"/>
                <w:color w:val="222222"/>
                <w:sz w:val="16"/>
              </w:rPr>
              <w:t>0.1212</w:t>
            </w:r>
          </w:p>
        </w:tc>
        <w:tc>
          <w:tcPr>
            <w:tcW w:type="dxa" w:w="947"/>
            <w:vAlign w:val="center"/>
            <w:shd w:val="clear" w:color="auto" w:fill="F2F5F9"/>
          </w:tcPr>
          <w:p>
            <w:pPr>
              <w:spacing w:after="0" w:line="240" w:lineRule="auto"/>
              <w:jc w:val="center"/>
            </w:pPr>
            <w:r>
              <w:rPr>
                <w:rFonts w:ascii="Cambria" w:hAnsi="Cambria" w:eastAsia="Cambria"/>
                <w:b w:val="0"/>
                <w:i w:val="0"/>
                <w:color w:val="222222"/>
                <w:sz w:val="16"/>
              </w:rPr>
              <w:t>0.5000</w:t>
            </w:r>
          </w:p>
        </w:tc>
        <w:tc>
          <w:tcPr>
            <w:tcW w:type="dxa" w:w="1489"/>
            <w:vAlign w:val="center"/>
            <w:shd w:val="clear" w:color="auto" w:fill="F2F5F9"/>
          </w:tcPr>
          <w:p>
            <w:pPr>
              <w:spacing w:after="0" w:line="240" w:lineRule="auto"/>
              <w:jc w:val="center"/>
            </w:pPr>
            <w:r>
              <w:rPr>
                <w:rFonts w:ascii="Cambria" w:hAnsi="Cambria" w:eastAsia="Cambria"/>
                <w:b w:val="0"/>
                <w:i w:val="0"/>
                <w:color w:val="222222"/>
                <w:sz w:val="16"/>
              </w:rPr>
              <w:t>0.2802</w:t>
            </w:r>
          </w:p>
        </w:tc>
        <w:tc>
          <w:tcPr>
            <w:tcW w:type="dxa" w:w="947"/>
            <w:vAlign w:val="center"/>
            <w:shd w:val="clear" w:color="auto" w:fill="F2F5F9"/>
          </w:tcPr>
          <w:p>
            <w:pPr>
              <w:spacing w:after="0" w:line="240" w:lineRule="auto"/>
              <w:jc w:val="center"/>
            </w:pPr>
            <w:r>
              <w:rPr>
                <w:rFonts w:ascii="Cambria" w:hAnsi="Cambria" w:eastAsia="Cambria"/>
                <w:b w:val="0"/>
                <w:i w:val="0"/>
                <w:color w:val="222222"/>
                <w:sz w:val="16"/>
              </w:rPr>
              <w:t>0.8000</w:t>
            </w:r>
          </w:p>
        </w:tc>
        <w:tc>
          <w:tcPr>
            <w:tcW w:type="dxa" w:w="1489"/>
            <w:vAlign w:val="center"/>
            <w:shd w:val="clear" w:color="auto" w:fill="F2F5F9"/>
          </w:tcPr>
          <w:p>
            <w:pPr>
              <w:spacing w:after="0" w:line="240" w:lineRule="auto"/>
              <w:jc w:val="center"/>
            </w:pPr>
            <w:r>
              <w:rPr>
                <w:rFonts w:ascii="Cambria" w:hAnsi="Cambria" w:eastAsia="Cambria"/>
                <w:b w:val="0"/>
                <w:i w:val="0"/>
                <w:color w:val="222222"/>
                <w:sz w:val="16"/>
              </w:rPr>
              <w:t>1.0907</w:t>
            </w:r>
          </w:p>
        </w:tc>
      </w:tr>
      <w:tr>
        <w:trPr>
          <w:cantSplit/>
        </w:trPr>
        <w:tc>
          <w:tcPr>
            <w:tcW w:type="dxa" w:w="1218"/>
            <w:vAlign w:val="center"/>
          </w:tcPr>
          <w:p>
            <w:pPr>
              <w:spacing w:after="0" w:line="240" w:lineRule="auto"/>
              <w:jc w:val="left"/>
            </w:pPr>
            <w:r>
              <w:rPr>
                <w:rFonts w:ascii="Cambria" w:hAnsi="Cambria" w:eastAsia="Cambria"/>
                <w:b w:val="0"/>
                <w:i w:val="0"/>
                <w:color w:val="222222"/>
                <w:sz w:val="16"/>
              </w:rPr>
              <w:t>client_04</w:t>
            </w:r>
          </w:p>
        </w:tc>
        <w:tc>
          <w:tcPr>
            <w:tcW w:type="dxa" w:w="1759"/>
            <w:vAlign w:val="center"/>
          </w:tcPr>
          <w:p>
            <w:pPr>
              <w:spacing w:after="0" w:line="240" w:lineRule="auto"/>
              <w:jc w:val="center"/>
            </w:pPr>
            <w:r>
              <w:rPr>
                <w:rFonts w:ascii="Cambria" w:hAnsi="Cambria" w:eastAsia="Cambria"/>
                <w:b w:val="0"/>
                <w:i w:val="0"/>
                <w:color w:val="222222"/>
                <w:sz w:val="16"/>
              </w:rPr>
              <w:t>0.0385</w:t>
            </w:r>
          </w:p>
        </w:tc>
        <w:tc>
          <w:tcPr>
            <w:tcW w:type="dxa" w:w="2030"/>
            <w:vAlign w:val="center"/>
          </w:tcPr>
          <w:p>
            <w:pPr>
              <w:spacing w:after="0" w:line="240" w:lineRule="auto"/>
              <w:jc w:val="center"/>
            </w:pPr>
            <w:r>
              <w:rPr>
                <w:rFonts w:ascii="Cambria" w:hAnsi="Cambria" w:eastAsia="Cambria"/>
                <w:b w:val="0"/>
                <w:i w:val="0"/>
                <w:color w:val="222222"/>
                <w:sz w:val="16"/>
              </w:rPr>
              <w:t>0.0424</w:t>
            </w:r>
          </w:p>
        </w:tc>
        <w:tc>
          <w:tcPr>
            <w:tcW w:type="dxa" w:w="947"/>
            <w:vAlign w:val="center"/>
          </w:tcPr>
          <w:p>
            <w:pPr>
              <w:spacing w:after="0" w:line="240" w:lineRule="auto"/>
              <w:jc w:val="center"/>
            </w:pPr>
            <w:r>
              <w:rPr>
                <w:rFonts w:ascii="Cambria" w:hAnsi="Cambria" w:eastAsia="Cambria"/>
                <w:b w:val="0"/>
                <w:i w:val="0"/>
                <w:color w:val="222222"/>
                <w:sz w:val="16"/>
              </w:rPr>
              <w:t>0.9000</w:t>
            </w:r>
          </w:p>
        </w:tc>
        <w:tc>
          <w:tcPr>
            <w:tcW w:type="dxa" w:w="1489"/>
            <w:vAlign w:val="center"/>
          </w:tcPr>
          <w:p>
            <w:pPr>
              <w:spacing w:after="0" w:line="240" w:lineRule="auto"/>
              <w:jc w:val="center"/>
            </w:pPr>
            <w:r>
              <w:rPr>
                <w:rFonts w:ascii="Cambria" w:hAnsi="Cambria" w:eastAsia="Cambria"/>
                <w:b w:val="0"/>
                <w:i w:val="0"/>
                <w:color w:val="222222"/>
                <w:sz w:val="16"/>
              </w:rPr>
              <w:t>0.8112</w:t>
            </w:r>
          </w:p>
        </w:tc>
        <w:tc>
          <w:tcPr>
            <w:tcW w:type="dxa" w:w="947"/>
            <w:vAlign w:val="center"/>
          </w:tcPr>
          <w:p>
            <w:pPr>
              <w:spacing w:after="0" w:line="240" w:lineRule="auto"/>
              <w:jc w:val="center"/>
            </w:pPr>
            <w:r>
              <w:rPr>
                <w:rFonts w:ascii="Cambria" w:hAnsi="Cambria" w:eastAsia="Cambria"/>
                <w:b w:val="0"/>
                <w:i w:val="0"/>
                <w:color w:val="222222"/>
                <w:sz w:val="16"/>
              </w:rPr>
              <w:t>0.8769</w:t>
            </w:r>
          </w:p>
        </w:tc>
        <w:tc>
          <w:tcPr>
            <w:tcW w:type="dxa" w:w="1489"/>
            <w:vAlign w:val="center"/>
          </w:tcPr>
          <w:p>
            <w:pPr>
              <w:spacing w:after="0" w:line="240" w:lineRule="auto"/>
              <w:jc w:val="center"/>
            </w:pPr>
            <w:r>
              <w:rPr>
                <w:rFonts w:ascii="Cambria" w:hAnsi="Cambria" w:eastAsia="Cambria"/>
                <w:b w:val="0"/>
                <w:i w:val="0"/>
                <w:color w:val="222222"/>
                <w:sz w:val="16"/>
              </w:rPr>
              <w:t>0.3796</w:t>
            </w:r>
          </w:p>
        </w:tc>
      </w:tr>
    </w:tbl>
    <w:p>
      <w:pPr>
        <w:spacing w:after="20"/>
      </w:pPr>
    </w:p>
    <w:p>
      <w:pPr>
        <w:pStyle w:val="Heading2"/>
      </w:pPr>
      <w:r>
        <w:rPr>
          <w:rFonts w:ascii="Cambria" w:hAnsi="Cambria" w:eastAsia="Cambria"/>
          <w:b/>
          <w:i w:val="0"/>
          <w:color w:val="2E5C8A"/>
          <w:sz w:val="22"/>
        </w:rPr>
        <w:t>5.8 Explainability</w:t>
      </w:r>
    </w:p>
    <w:p>
      <w:pPr>
        <w:spacing w:after="100" w:line="264" w:lineRule="auto"/>
        <w:jc w:val="both"/>
      </w:pPr>
      <w:r>
        <w:rPr>
          <w:rFonts w:ascii="Cambria" w:hAnsi="Cambria" w:eastAsia="Cambria"/>
          <w:b w:val="0"/>
          <w:i w:val="0"/>
          <w:color w:val="222222"/>
          <w:sz w:val="20"/>
        </w:rPr>
        <w:t xml:space="preserve">Permutation importance over 1,500 test windows and five repeats has a baseline ROC-AUC of 0.996682. The most important features are </w:t>
      </w:r>
      <w:r>
        <w:rPr>
          <w:rFonts w:ascii="Consolas" w:hAnsi="Consolas" w:eastAsia="Consolas"/>
          <w:b w:val="0"/>
          <w:i w:val="0"/>
          <w:color w:val="222222"/>
          <w:sz w:val="19"/>
        </w:rPr>
        <w:t>min_max_day_ratio</w:t>
      </w:r>
      <w:r>
        <w:rPr>
          <w:rFonts w:ascii="Cambria" w:hAnsi="Cambria" w:eastAsia="Cambria"/>
          <w:b w:val="0"/>
          <w:i w:val="0"/>
          <w:color w:val="222222"/>
          <w:sz w:val="20"/>
        </w:rPr>
        <w:t xml:space="preserve"> (0.01159 ± 0.00248), </w:t>
      </w:r>
      <w:r>
        <w:rPr>
          <w:rFonts w:ascii="Consolas" w:hAnsi="Consolas" w:eastAsia="Consolas"/>
          <w:b w:val="0"/>
          <w:i w:val="0"/>
          <w:color w:val="222222"/>
          <w:sz w:val="19"/>
        </w:rPr>
        <w:t>max_daily_drop</w:t>
      </w:r>
      <w:r>
        <w:rPr>
          <w:rFonts w:ascii="Cambria" w:hAnsi="Cambria" w:eastAsia="Cambria"/>
          <w:b w:val="0"/>
          <w:i w:val="0"/>
          <w:color w:val="222222"/>
          <w:sz w:val="20"/>
        </w:rPr>
        <w:t xml:space="preserve"> (0.00704 ± 0.00067), </w:t>
      </w:r>
      <w:r>
        <w:rPr>
          <w:rFonts w:ascii="Consolas" w:hAnsi="Consolas" w:eastAsia="Consolas"/>
          <w:b w:val="0"/>
          <w:i w:val="0"/>
          <w:color w:val="222222"/>
          <w:sz w:val="19"/>
        </w:rPr>
        <w:t>daily_diff_std</w:t>
      </w:r>
      <w:r>
        <w:rPr>
          <w:rFonts w:ascii="Cambria" w:hAnsi="Cambria" w:eastAsia="Cambria"/>
          <w:b w:val="0"/>
          <w:i w:val="0"/>
          <w:color w:val="222222"/>
          <w:sz w:val="20"/>
        </w:rPr>
        <w:t xml:space="preserve"> (0.00487 ± 0.00087), </w:t>
      </w:r>
      <w:r>
        <w:rPr>
          <w:rFonts w:ascii="Consolas" w:hAnsi="Consolas" w:eastAsia="Consolas"/>
          <w:b w:val="0"/>
          <w:i w:val="0"/>
          <w:color w:val="222222"/>
          <w:sz w:val="19"/>
        </w:rPr>
        <w:t>mean_daily_drop</w:t>
      </w:r>
      <w:r>
        <w:rPr>
          <w:rFonts w:ascii="Cambria" w:hAnsi="Cambria" w:eastAsia="Cambria"/>
          <w:b w:val="0"/>
          <w:i w:val="0"/>
          <w:color w:val="222222"/>
          <w:sz w:val="20"/>
        </w:rPr>
        <w:t xml:space="preserve"> (0.000802 ± 0.000236), and </w:t>
      </w:r>
      <w:r>
        <w:rPr>
          <w:rFonts w:ascii="Consolas" w:hAnsi="Consolas" w:eastAsia="Consolas"/>
          <w:b w:val="0"/>
          <w:i w:val="0"/>
          <w:color w:val="222222"/>
          <w:sz w:val="19"/>
        </w:rPr>
        <w:t>block_93</w:t>
      </w:r>
      <w:r>
        <w:rPr>
          <w:rFonts w:ascii="Cambria" w:hAnsi="Cambria" w:eastAsia="Cambria"/>
          <w:b w:val="0"/>
          <w:i w:val="0"/>
          <w:color w:val="222222"/>
          <w:sz w:val="20"/>
        </w:rPr>
        <w:t xml:space="preserve"> (0.000648 ± 0.001055). Figure 6 shows the top ten. The top features are consistent with the synthetic theft mechanism, which multiplies consumption by a factor below one: ratios and drop statistics are exactly the kind of signal the generator creates. This is evidence that the model uses plausible features on this benchmark, not evidence that the same features would dominate in real utility data.</w:t>
      </w:r>
    </w:p>
    <w:p>
      <w:pPr>
        <w:spacing w:after="100" w:line="264" w:lineRule="auto"/>
        <w:jc w:val="both"/>
      </w:pPr>
      <w:r>
        <w:rPr>
          <w:rFonts w:ascii="Cambria" w:hAnsi="Cambria" w:eastAsia="Cambria"/>
          <w:b w:val="0"/>
          <w:i w:val="0"/>
          <w:color w:val="222222"/>
          <w:sz w:val="20"/>
        </w:rPr>
        <w:t>The SHAP analysis used 40 test windows, a 30-row background sample, and 100 evaluation samples, and produced 10 local explanations. The SHAP values and permutation importances are model-specific and correlational. They are useful for debugging and analyst support, but they should not be presented as causal evidence about theft behavior.</w:t>
      </w:r>
    </w:p>
    <w:p>
      <w:pPr>
        <w:keepNext/>
        <w:spacing w:before="140" w:after="60" w:line="240" w:lineRule="auto"/>
        <w:jc w:val="left"/>
      </w:pPr>
      <w:r>
        <w:rPr>
          <w:rFonts w:ascii="Cambria" w:hAnsi="Cambria" w:eastAsia="Cambria"/>
          <w:b/>
          <w:i w:val="0"/>
          <w:color w:val="1F3864"/>
          <w:sz w:val="18"/>
        </w:rPr>
        <w:t>Table 10. Top permutation-importance features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867"/>
        <w:gridCol w:w="2946"/>
        <w:gridCol w:w="2946"/>
        <w:gridCol w:w="3119"/>
      </w:tblGrid>
      <w:tr>
        <w:trPr>
          <w:tblHeader w:val="true"/>
          <w:cantSplit/>
        </w:trPr>
        <w:tc>
          <w:tcPr>
            <w:tcW w:type="dxa" w:w="867"/>
            <w:vAlign w:val="center"/>
            <w:shd w:val="clear" w:color="auto" w:fill="1F3864"/>
          </w:tcPr>
          <w:p>
            <w:pPr>
              <w:spacing w:after="0" w:line="240" w:lineRule="auto"/>
              <w:jc w:val="left"/>
            </w:pPr>
            <w:r>
              <w:rPr>
                <w:rFonts w:ascii="Cambria" w:hAnsi="Cambria" w:eastAsia="Cambria"/>
                <w:b/>
                <w:i w:val="0"/>
                <w:color w:val="FFFFFF"/>
                <w:sz w:val="16"/>
              </w:rPr>
              <w:t>Rank</w:t>
            </w:r>
          </w:p>
        </w:tc>
        <w:tc>
          <w:tcPr>
            <w:tcW w:type="dxa" w:w="2946"/>
            <w:vAlign w:val="center"/>
            <w:shd w:val="clear" w:color="auto" w:fill="1F3864"/>
          </w:tcPr>
          <w:p>
            <w:pPr>
              <w:spacing w:after="0" w:line="240" w:lineRule="auto"/>
              <w:jc w:val="center"/>
            </w:pPr>
            <w:r>
              <w:rPr>
                <w:rFonts w:ascii="Cambria" w:hAnsi="Cambria" w:eastAsia="Cambria"/>
                <w:b/>
                <w:i w:val="0"/>
                <w:color w:val="FFFFFF"/>
                <w:sz w:val="16"/>
              </w:rPr>
              <w:t>Feature</w:t>
            </w:r>
          </w:p>
        </w:tc>
        <w:tc>
          <w:tcPr>
            <w:tcW w:type="dxa" w:w="2946"/>
            <w:vAlign w:val="center"/>
            <w:shd w:val="clear" w:color="auto" w:fill="1F3864"/>
          </w:tcPr>
          <w:p>
            <w:pPr>
              <w:spacing w:after="0" w:line="240" w:lineRule="auto"/>
              <w:jc w:val="center"/>
            </w:pPr>
            <w:r>
              <w:rPr>
                <w:rFonts w:ascii="Cambria" w:hAnsi="Cambria" w:eastAsia="Cambria"/>
                <w:b/>
                <w:i w:val="0"/>
                <w:color w:val="FFFFFF"/>
                <w:sz w:val="16"/>
              </w:rPr>
              <w:t>Mean ROC-AUC drop</w:t>
            </w:r>
          </w:p>
        </w:tc>
        <w:tc>
          <w:tcPr>
            <w:tcW w:type="dxa" w:w="3119"/>
            <w:vAlign w:val="center"/>
            <w:shd w:val="clear" w:color="auto" w:fill="1F3864"/>
          </w:tcPr>
          <w:p>
            <w:pPr>
              <w:spacing w:after="0" w:line="240" w:lineRule="auto"/>
              <w:jc w:val="center"/>
            </w:pPr>
            <w:r>
              <w:rPr>
                <w:rFonts w:ascii="Cambria" w:hAnsi="Cambria" w:eastAsia="Cambria"/>
                <w:b/>
                <w:i w:val="0"/>
                <w:color w:val="FFFFFF"/>
                <w:sz w:val="16"/>
              </w:rPr>
              <w:t>Standard deviation</w:t>
            </w:r>
          </w:p>
        </w:tc>
      </w:tr>
      <w:tr>
        <w:trPr>
          <w:cantSplit/>
        </w:trPr>
        <w:tc>
          <w:tcPr>
            <w:tcW w:type="dxa" w:w="867"/>
            <w:vAlign w:val="center"/>
          </w:tcPr>
          <w:p>
            <w:pPr>
              <w:spacing w:after="0" w:line="240" w:lineRule="auto"/>
              <w:jc w:val="left"/>
            </w:pPr>
            <w:r>
              <w:rPr>
                <w:rFonts w:ascii="Cambria" w:hAnsi="Cambria" w:eastAsia="Cambria"/>
                <w:b w:val="0"/>
                <w:i w:val="0"/>
                <w:color w:val="222222"/>
                <w:sz w:val="16"/>
              </w:rPr>
              <w:t>1</w:t>
            </w:r>
          </w:p>
        </w:tc>
        <w:tc>
          <w:tcPr>
            <w:tcW w:type="dxa" w:w="2946"/>
            <w:vAlign w:val="center"/>
          </w:tcPr>
          <w:p>
            <w:pPr>
              <w:spacing w:after="0" w:line="240" w:lineRule="auto"/>
              <w:jc w:val="left"/>
            </w:pPr>
            <w:r>
              <w:rPr>
                <w:rFonts w:ascii="Cambria" w:hAnsi="Cambria" w:eastAsia="Cambria"/>
                <w:b w:val="0"/>
                <w:i w:val="0"/>
                <w:color w:val="222222"/>
                <w:sz w:val="16"/>
              </w:rPr>
              <w:t>min_max_day_ratio</w:t>
            </w:r>
          </w:p>
        </w:tc>
        <w:tc>
          <w:tcPr>
            <w:tcW w:type="dxa" w:w="2946"/>
            <w:vAlign w:val="center"/>
          </w:tcPr>
          <w:p>
            <w:pPr>
              <w:spacing w:after="0" w:line="240" w:lineRule="auto"/>
              <w:jc w:val="center"/>
            </w:pPr>
            <w:r>
              <w:rPr>
                <w:rFonts w:ascii="Cambria" w:hAnsi="Cambria" w:eastAsia="Cambria"/>
                <w:b w:val="0"/>
                <w:i w:val="0"/>
                <w:color w:val="222222"/>
                <w:sz w:val="16"/>
              </w:rPr>
              <w:t>0.01159</w:t>
            </w:r>
          </w:p>
        </w:tc>
        <w:tc>
          <w:tcPr>
            <w:tcW w:type="dxa" w:w="3119"/>
            <w:vAlign w:val="center"/>
          </w:tcPr>
          <w:p>
            <w:pPr>
              <w:spacing w:after="0" w:line="240" w:lineRule="auto"/>
              <w:jc w:val="center"/>
            </w:pPr>
            <w:r>
              <w:rPr>
                <w:rFonts w:ascii="Cambria" w:hAnsi="Cambria" w:eastAsia="Cambria"/>
                <w:b w:val="0"/>
                <w:i w:val="0"/>
                <w:color w:val="222222"/>
                <w:sz w:val="16"/>
              </w:rPr>
              <w:t>0.00248</w:t>
            </w:r>
          </w:p>
        </w:tc>
      </w:tr>
      <w:tr>
        <w:trPr>
          <w:cantSplit/>
        </w:trPr>
        <w:tc>
          <w:tcPr>
            <w:tcW w:type="dxa" w:w="867"/>
            <w:vAlign w:val="center"/>
            <w:shd w:val="clear" w:color="auto" w:fill="F2F5F9"/>
          </w:tcPr>
          <w:p>
            <w:pPr>
              <w:spacing w:after="0" w:line="240" w:lineRule="auto"/>
              <w:jc w:val="left"/>
            </w:pPr>
            <w:r>
              <w:rPr>
                <w:rFonts w:ascii="Cambria" w:hAnsi="Cambria" w:eastAsia="Cambria"/>
                <w:b w:val="0"/>
                <w:i w:val="0"/>
                <w:color w:val="222222"/>
                <w:sz w:val="16"/>
              </w:rPr>
              <w:t>2</w:t>
            </w:r>
          </w:p>
        </w:tc>
        <w:tc>
          <w:tcPr>
            <w:tcW w:type="dxa" w:w="2946"/>
            <w:vAlign w:val="center"/>
            <w:shd w:val="clear" w:color="auto" w:fill="F2F5F9"/>
          </w:tcPr>
          <w:p>
            <w:pPr>
              <w:spacing w:after="0" w:line="240" w:lineRule="auto"/>
              <w:jc w:val="left"/>
            </w:pPr>
            <w:r>
              <w:rPr>
                <w:rFonts w:ascii="Cambria" w:hAnsi="Cambria" w:eastAsia="Cambria"/>
                <w:b w:val="0"/>
                <w:i w:val="0"/>
                <w:color w:val="222222"/>
                <w:sz w:val="16"/>
              </w:rPr>
              <w:t>max_daily_drop</w:t>
            </w:r>
          </w:p>
        </w:tc>
        <w:tc>
          <w:tcPr>
            <w:tcW w:type="dxa" w:w="2946"/>
            <w:vAlign w:val="center"/>
            <w:shd w:val="clear" w:color="auto" w:fill="F2F5F9"/>
          </w:tcPr>
          <w:p>
            <w:pPr>
              <w:spacing w:after="0" w:line="240" w:lineRule="auto"/>
              <w:jc w:val="center"/>
            </w:pPr>
            <w:r>
              <w:rPr>
                <w:rFonts w:ascii="Cambria" w:hAnsi="Cambria" w:eastAsia="Cambria"/>
                <w:b w:val="0"/>
                <w:i w:val="0"/>
                <w:color w:val="222222"/>
                <w:sz w:val="16"/>
              </w:rPr>
              <w:t>0.00704</w:t>
            </w:r>
          </w:p>
        </w:tc>
        <w:tc>
          <w:tcPr>
            <w:tcW w:type="dxa" w:w="3119"/>
            <w:vAlign w:val="center"/>
            <w:shd w:val="clear" w:color="auto" w:fill="F2F5F9"/>
          </w:tcPr>
          <w:p>
            <w:pPr>
              <w:spacing w:after="0" w:line="240" w:lineRule="auto"/>
              <w:jc w:val="center"/>
            </w:pPr>
            <w:r>
              <w:rPr>
                <w:rFonts w:ascii="Cambria" w:hAnsi="Cambria" w:eastAsia="Cambria"/>
                <w:b w:val="0"/>
                <w:i w:val="0"/>
                <w:color w:val="222222"/>
                <w:sz w:val="16"/>
              </w:rPr>
              <w:t>0.00067</w:t>
            </w:r>
          </w:p>
        </w:tc>
      </w:tr>
      <w:tr>
        <w:trPr>
          <w:cantSplit/>
        </w:trPr>
        <w:tc>
          <w:tcPr>
            <w:tcW w:type="dxa" w:w="867"/>
            <w:vAlign w:val="center"/>
          </w:tcPr>
          <w:p>
            <w:pPr>
              <w:spacing w:after="0" w:line="240" w:lineRule="auto"/>
              <w:jc w:val="left"/>
            </w:pPr>
            <w:r>
              <w:rPr>
                <w:rFonts w:ascii="Cambria" w:hAnsi="Cambria" w:eastAsia="Cambria"/>
                <w:b w:val="0"/>
                <w:i w:val="0"/>
                <w:color w:val="222222"/>
                <w:sz w:val="16"/>
              </w:rPr>
              <w:t>3</w:t>
            </w:r>
          </w:p>
        </w:tc>
        <w:tc>
          <w:tcPr>
            <w:tcW w:type="dxa" w:w="2946"/>
            <w:vAlign w:val="center"/>
          </w:tcPr>
          <w:p>
            <w:pPr>
              <w:spacing w:after="0" w:line="240" w:lineRule="auto"/>
              <w:jc w:val="left"/>
            </w:pPr>
            <w:r>
              <w:rPr>
                <w:rFonts w:ascii="Cambria" w:hAnsi="Cambria" w:eastAsia="Cambria"/>
                <w:b w:val="0"/>
                <w:i w:val="0"/>
                <w:color w:val="222222"/>
                <w:sz w:val="16"/>
              </w:rPr>
              <w:t>daily_diff_std</w:t>
            </w:r>
          </w:p>
        </w:tc>
        <w:tc>
          <w:tcPr>
            <w:tcW w:type="dxa" w:w="2946"/>
            <w:vAlign w:val="center"/>
          </w:tcPr>
          <w:p>
            <w:pPr>
              <w:spacing w:after="0" w:line="240" w:lineRule="auto"/>
              <w:jc w:val="center"/>
            </w:pPr>
            <w:r>
              <w:rPr>
                <w:rFonts w:ascii="Cambria" w:hAnsi="Cambria" w:eastAsia="Cambria"/>
                <w:b w:val="0"/>
                <w:i w:val="0"/>
                <w:color w:val="222222"/>
                <w:sz w:val="16"/>
              </w:rPr>
              <w:t>0.00487</w:t>
            </w:r>
          </w:p>
        </w:tc>
        <w:tc>
          <w:tcPr>
            <w:tcW w:type="dxa" w:w="3119"/>
            <w:vAlign w:val="center"/>
          </w:tcPr>
          <w:p>
            <w:pPr>
              <w:spacing w:after="0" w:line="240" w:lineRule="auto"/>
              <w:jc w:val="center"/>
            </w:pPr>
            <w:r>
              <w:rPr>
                <w:rFonts w:ascii="Cambria" w:hAnsi="Cambria" w:eastAsia="Cambria"/>
                <w:b w:val="0"/>
                <w:i w:val="0"/>
                <w:color w:val="222222"/>
                <w:sz w:val="16"/>
              </w:rPr>
              <w:t>0.00087</w:t>
            </w:r>
          </w:p>
        </w:tc>
      </w:tr>
      <w:tr>
        <w:trPr>
          <w:cantSplit/>
        </w:trPr>
        <w:tc>
          <w:tcPr>
            <w:tcW w:type="dxa" w:w="867"/>
            <w:vAlign w:val="center"/>
            <w:shd w:val="clear" w:color="auto" w:fill="F2F5F9"/>
          </w:tcPr>
          <w:p>
            <w:pPr>
              <w:spacing w:after="0" w:line="240" w:lineRule="auto"/>
              <w:jc w:val="left"/>
            </w:pPr>
            <w:r>
              <w:rPr>
                <w:rFonts w:ascii="Cambria" w:hAnsi="Cambria" w:eastAsia="Cambria"/>
                <w:b w:val="0"/>
                <w:i w:val="0"/>
                <w:color w:val="222222"/>
                <w:sz w:val="16"/>
              </w:rPr>
              <w:t>4</w:t>
            </w:r>
          </w:p>
        </w:tc>
        <w:tc>
          <w:tcPr>
            <w:tcW w:type="dxa" w:w="2946"/>
            <w:vAlign w:val="center"/>
            <w:shd w:val="clear" w:color="auto" w:fill="F2F5F9"/>
          </w:tcPr>
          <w:p>
            <w:pPr>
              <w:spacing w:after="0" w:line="240" w:lineRule="auto"/>
              <w:jc w:val="left"/>
            </w:pPr>
            <w:r>
              <w:rPr>
                <w:rFonts w:ascii="Cambria" w:hAnsi="Cambria" w:eastAsia="Cambria"/>
                <w:b w:val="0"/>
                <w:i w:val="0"/>
                <w:color w:val="222222"/>
                <w:sz w:val="16"/>
              </w:rPr>
              <w:t>mean_daily_drop</w:t>
            </w:r>
          </w:p>
        </w:tc>
        <w:tc>
          <w:tcPr>
            <w:tcW w:type="dxa" w:w="2946"/>
            <w:vAlign w:val="center"/>
            <w:shd w:val="clear" w:color="auto" w:fill="F2F5F9"/>
          </w:tcPr>
          <w:p>
            <w:pPr>
              <w:spacing w:after="0" w:line="240" w:lineRule="auto"/>
              <w:jc w:val="center"/>
            </w:pPr>
            <w:r>
              <w:rPr>
                <w:rFonts w:ascii="Cambria" w:hAnsi="Cambria" w:eastAsia="Cambria"/>
                <w:b w:val="0"/>
                <w:i w:val="0"/>
                <w:color w:val="222222"/>
                <w:sz w:val="16"/>
              </w:rPr>
              <w:t>0.000802</w:t>
            </w:r>
          </w:p>
        </w:tc>
        <w:tc>
          <w:tcPr>
            <w:tcW w:type="dxa" w:w="3119"/>
            <w:vAlign w:val="center"/>
            <w:shd w:val="clear" w:color="auto" w:fill="F2F5F9"/>
          </w:tcPr>
          <w:p>
            <w:pPr>
              <w:spacing w:after="0" w:line="240" w:lineRule="auto"/>
              <w:jc w:val="center"/>
            </w:pPr>
            <w:r>
              <w:rPr>
                <w:rFonts w:ascii="Cambria" w:hAnsi="Cambria" w:eastAsia="Cambria"/>
                <w:b w:val="0"/>
                <w:i w:val="0"/>
                <w:color w:val="222222"/>
                <w:sz w:val="16"/>
              </w:rPr>
              <w:t>0.000236</w:t>
            </w:r>
          </w:p>
        </w:tc>
      </w:tr>
      <w:tr>
        <w:trPr>
          <w:cantSplit/>
        </w:trPr>
        <w:tc>
          <w:tcPr>
            <w:tcW w:type="dxa" w:w="867"/>
            <w:vAlign w:val="center"/>
          </w:tcPr>
          <w:p>
            <w:pPr>
              <w:spacing w:after="0" w:line="240" w:lineRule="auto"/>
              <w:jc w:val="left"/>
            </w:pPr>
            <w:r>
              <w:rPr>
                <w:rFonts w:ascii="Cambria" w:hAnsi="Cambria" w:eastAsia="Cambria"/>
                <w:b w:val="0"/>
                <w:i w:val="0"/>
                <w:color w:val="222222"/>
                <w:sz w:val="16"/>
              </w:rPr>
              <w:t>5</w:t>
            </w:r>
          </w:p>
        </w:tc>
        <w:tc>
          <w:tcPr>
            <w:tcW w:type="dxa" w:w="2946"/>
            <w:vAlign w:val="center"/>
          </w:tcPr>
          <w:p>
            <w:pPr>
              <w:spacing w:after="0" w:line="240" w:lineRule="auto"/>
              <w:jc w:val="left"/>
            </w:pPr>
            <w:r>
              <w:rPr>
                <w:rFonts w:ascii="Cambria" w:hAnsi="Cambria" w:eastAsia="Cambria"/>
                <w:b w:val="0"/>
                <w:i w:val="0"/>
                <w:color w:val="222222"/>
                <w:sz w:val="16"/>
              </w:rPr>
              <w:t>block_93</w:t>
            </w:r>
          </w:p>
        </w:tc>
        <w:tc>
          <w:tcPr>
            <w:tcW w:type="dxa" w:w="2946"/>
            <w:vAlign w:val="center"/>
          </w:tcPr>
          <w:p>
            <w:pPr>
              <w:spacing w:after="0" w:line="240" w:lineRule="auto"/>
              <w:jc w:val="center"/>
            </w:pPr>
            <w:r>
              <w:rPr>
                <w:rFonts w:ascii="Cambria" w:hAnsi="Cambria" w:eastAsia="Cambria"/>
                <w:b w:val="0"/>
                <w:i w:val="0"/>
                <w:color w:val="222222"/>
                <w:sz w:val="16"/>
              </w:rPr>
              <w:t>0.000648</w:t>
            </w:r>
          </w:p>
        </w:tc>
        <w:tc>
          <w:tcPr>
            <w:tcW w:type="dxa" w:w="3119"/>
            <w:vAlign w:val="center"/>
          </w:tcPr>
          <w:p>
            <w:pPr>
              <w:spacing w:after="0" w:line="240" w:lineRule="auto"/>
              <w:jc w:val="center"/>
            </w:pPr>
            <w:r>
              <w:rPr>
                <w:rFonts w:ascii="Cambria" w:hAnsi="Cambria" w:eastAsia="Cambria"/>
                <w:b w:val="0"/>
                <w:i w:val="0"/>
                <w:color w:val="222222"/>
                <w:sz w:val="16"/>
              </w:rPr>
              <w:t>0.001055</w:t>
            </w:r>
          </w:p>
        </w:tc>
      </w:tr>
      <w:tr>
        <w:trPr>
          <w:cantSplit/>
        </w:trPr>
        <w:tc>
          <w:tcPr>
            <w:tcW w:type="dxa" w:w="867"/>
            <w:vAlign w:val="center"/>
            <w:shd w:val="clear" w:color="auto" w:fill="F2F5F9"/>
          </w:tcPr>
          <w:p>
            <w:pPr>
              <w:spacing w:after="0" w:line="240" w:lineRule="auto"/>
              <w:jc w:val="left"/>
            </w:pPr>
            <w:r>
              <w:rPr>
                <w:rFonts w:ascii="Cambria" w:hAnsi="Cambria" w:eastAsia="Cambria"/>
                <w:b w:val="0"/>
                <w:i w:val="0"/>
                <w:color w:val="222222"/>
                <w:sz w:val="16"/>
              </w:rPr>
              <w:t>6</w:t>
            </w:r>
          </w:p>
        </w:tc>
        <w:tc>
          <w:tcPr>
            <w:tcW w:type="dxa" w:w="2946"/>
            <w:vAlign w:val="center"/>
            <w:shd w:val="clear" w:color="auto" w:fill="F2F5F9"/>
          </w:tcPr>
          <w:p>
            <w:pPr>
              <w:spacing w:after="0" w:line="240" w:lineRule="auto"/>
              <w:jc w:val="left"/>
            </w:pPr>
            <w:r>
              <w:rPr>
                <w:rFonts w:ascii="Cambria" w:hAnsi="Cambria" w:eastAsia="Cambria"/>
                <w:b w:val="0"/>
                <w:i w:val="0"/>
                <w:color w:val="222222"/>
                <w:sz w:val="16"/>
              </w:rPr>
              <w:t>night_day_ratio</w:t>
            </w:r>
          </w:p>
        </w:tc>
        <w:tc>
          <w:tcPr>
            <w:tcW w:type="dxa" w:w="2946"/>
            <w:vAlign w:val="center"/>
            <w:shd w:val="clear" w:color="auto" w:fill="F2F5F9"/>
          </w:tcPr>
          <w:p>
            <w:pPr>
              <w:spacing w:after="0" w:line="240" w:lineRule="auto"/>
              <w:jc w:val="center"/>
            </w:pPr>
            <w:r>
              <w:rPr>
                <w:rFonts w:ascii="Cambria" w:hAnsi="Cambria" w:eastAsia="Cambria"/>
                <w:b w:val="0"/>
                <w:i w:val="0"/>
                <w:color w:val="222222"/>
                <w:sz w:val="16"/>
              </w:rPr>
              <w:t>0.000575</w:t>
            </w:r>
          </w:p>
        </w:tc>
        <w:tc>
          <w:tcPr>
            <w:tcW w:type="dxa" w:w="3119"/>
            <w:vAlign w:val="center"/>
            <w:shd w:val="clear" w:color="auto" w:fill="F2F5F9"/>
          </w:tcPr>
          <w:p>
            <w:pPr>
              <w:spacing w:after="0" w:line="240" w:lineRule="auto"/>
              <w:jc w:val="center"/>
            </w:pPr>
            <w:r>
              <w:rPr>
                <w:rFonts w:ascii="Cambria" w:hAnsi="Cambria" w:eastAsia="Cambria"/>
                <w:b w:val="0"/>
                <w:i w:val="0"/>
                <w:color w:val="222222"/>
                <w:sz w:val="16"/>
              </w:rPr>
              <w:t>0.000353</w:t>
            </w:r>
          </w:p>
        </w:tc>
      </w:tr>
      <w:tr>
        <w:trPr>
          <w:cantSplit/>
        </w:trPr>
        <w:tc>
          <w:tcPr>
            <w:tcW w:type="dxa" w:w="867"/>
            <w:vAlign w:val="center"/>
          </w:tcPr>
          <w:p>
            <w:pPr>
              <w:spacing w:after="0" w:line="240" w:lineRule="auto"/>
              <w:jc w:val="left"/>
            </w:pPr>
            <w:r>
              <w:rPr>
                <w:rFonts w:ascii="Cambria" w:hAnsi="Cambria" w:eastAsia="Cambria"/>
                <w:b w:val="0"/>
                <w:i w:val="0"/>
                <w:color w:val="222222"/>
                <w:sz w:val="16"/>
              </w:rPr>
              <w:t>7</w:t>
            </w:r>
          </w:p>
        </w:tc>
        <w:tc>
          <w:tcPr>
            <w:tcW w:type="dxa" w:w="2946"/>
            <w:vAlign w:val="center"/>
          </w:tcPr>
          <w:p>
            <w:pPr>
              <w:spacing w:after="0" w:line="240" w:lineRule="auto"/>
              <w:jc w:val="left"/>
            </w:pPr>
            <w:r>
              <w:rPr>
                <w:rFonts w:ascii="Cambria" w:hAnsi="Cambria" w:eastAsia="Cambria"/>
                <w:b w:val="0"/>
                <w:i w:val="0"/>
                <w:color w:val="222222"/>
                <w:sz w:val="16"/>
              </w:rPr>
              <w:t>block_91</w:t>
            </w:r>
          </w:p>
        </w:tc>
        <w:tc>
          <w:tcPr>
            <w:tcW w:type="dxa" w:w="2946"/>
            <w:vAlign w:val="center"/>
          </w:tcPr>
          <w:p>
            <w:pPr>
              <w:spacing w:after="0" w:line="240" w:lineRule="auto"/>
              <w:jc w:val="center"/>
            </w:pPr>
            <w:r>
              <w:rPr>
                <w:rFonts w:ascii="Cambria" w:hAnsi="Cambria" w:eastAsia="Cambria"/>
                <w:b w:val="0"/>
                <w:i w:val="0"/>
                <w:color w:val="222222"/>
                <w:sz w:val="16"/>
              </w:rPr>
              <w:t>0.000551</w:t>
            </w:r>
          </w:p>
        </w:tc>
        <w:tc>
          <w:tcPr>
            <w:tcW w:type="dxa" w:w="3119"/>
            <w:vAlign w:val="center"/>
          </w:tcPr>
          <w:p>
            <w:pPr>
              <w:spacing w:after="0" w:line="240" w:lineRule="auto"/>
              <w:jc w:val="center"/>
            </w:pPr>
            <w:r>
              <w:rPr>
                <w:rFonts w:ascii="Cambria" w:hAnsi="Cambria" w:eastAsia="Cambria"/>
                <w:b w:val="0"/>
                <w:i w:val="0"/>
                <w:color w:val="222222"/>
                <w:sz w:val="16"/>
              </w:rPr>
              <w:t>0.000581</w:t>
            </w:r>
          </w:p>
        </w:tc>
      </w:tr>
      <w:tr>
        <w:trPr>
          <w:cantSplit/>
        </w:trPr>
        <w:tc>
          <w:tcPr>
            <w:tcW w:type="dxa" w:w="867"/>
            <w:vAlign w:val="center"/>
            <w:shd w:val="clear" w:color="auto" w:fill="F2F5F9"/>
          </w:tcPr>
          <w:p>
            <w:pPr>
              <w:spacing w:after="0" w:line="240" w:lineRule="auto"/>
              <w:jc w:val="left"/>
            </w:pPr>
            <w:r>
              <w:rPr>
                <w:rFonts w:ascii="Cambria" w:hAnsi="Cambria" w:eastAsia="Cambria"/>
                <w:b w:val="0"/>
                <w:i w:val="0"/>
                <w:color w:val="222222"/>
                <w:sz w:val="16"/>
              </w:rPr>
              <w:t>8</w:t>
            </w:r>
          </w:p>
        </w:tc>
        <w:tc>
          <w:tcPr>
            <w:tcW w:type="dxa" w:w="2946"/>
            <w:vAlign w:val="center"/>
            <w:shd w:val="clear" w:color="auto" w:fill="F2F5F9"/>
          </w:tcPr>
          <w:p>
            <w:pPr>
              <w:spacing w:after="0" w:line="240" w:lineRule="auto"/>
              <w:jc w:val="left"/>
            </w:pPr>
            <w:r>
              <w:rPr>
                <w:rFonts w:ascii="Cambria" w:hAnsi="Cambria" w:eastAsia="Cambria"/>
                <w:b w:val="0"/>
                <w:i w:val="0"/>
                <w:color w:val="222222"/>
                <w:sz w:val="16"/>
              </w:rPr>
              <w:t>block_35</w:t>
            </w:r>
          </w:p>
        </w:tc>
        <w:tc>
          <w:tcPr>
            <w:tcW w:type="dxa" w:w="2946"/>
            <w:vAlign w:val="center"/>
            <w:shd w:val="clear" w:color="auto" w:fill="F2F5F9"/>
          </w:tcPr>
          <w:p>
            <w:pPr>
              <w:spacing w:after="0" w:line="240" w:lineRule="auto"/>
              <w:jc w:val="center"/>
            </w:pPr>
            <w:r>
              <w:rPr>
                <w:rFonts w:ascii="Cambria" w:hAnsi="Cambria" w:eastAsia="Cambria"/>
                <w:b w:val="0"/>
                <w:i w:val="0"/>
                <w:color w:val="222222"/>
                <w:sz w:val="16"/>
              </w:rPr>
              <w:t>0.000526</w:t>
            </w:r>
          </w:p>
        </w:tc>
        <w:tc>
          <w:tcPr>
            <w:tcW w:type="dxa" w:w="3119"/>
            <w:vAlign w:val="center"/>
            <w:shd w:val="clear" w:color="auto" w:fill="F2F5F9"/>
          </w:tcPr>
          <w:p>
            <w:pPr>
              <w:spacing w:after="0" w:line="240" w:lineRule="auto"/>
              <w:jc w:val="center"/>
            </w:pPr>
            <w:r>
              <w:rPr>
                <w:rFonts w:ascii="Cambria" w:hAnsi="Cambria" w:eastAsia="Cambria"/>
                <w:b w:val="0"/>
                <w:i w:val="0"/>
                <w:color w:val="222222"/>
                <w:sz w:val="16"/>
              </w:rPr>
              <w:t>0.000210</w:t>
            </w:r>
          </w:p>
        </w:tc>
      </w:tr>
      <w:tr>
        <w:trPr>
          <w:cantSplit/>
        </w:trPr>
        <w:tc>
          <w:tcPr>
            <w:tcW w:type="dxa" w:w="867"/>
            <w:vAlign w:val="center"/>
          </w:tcPr>
          <w:p>
            <w:pPr>
              <w:spacing w:after="0" w:line="240" w:lineRule="auto"/>
              <w:jc w:val="left"/>
            </w:pPr>
            <w:r>
              <w:rPr>
                <w:rFonts w:ascii="Cambria" w:hAnsi="Cambria" w:eastAsia="Cambria"/>
                <w:b w:val="0"/>
                <w:i w:val="0"/>
                <w:color w:val="222222"/>
                <w:sz w:val="16"/>
              </w:rPr>
              <w:t>9</w:t>
            </w:r>
          </w:p>
        </w:tc>
        <w:tc>
          <w:tcPr>
            <w:tcW w:type="dxa" w:w="2946"/>
            <w:vAlign w:val="center"/>
          </w:tcPr>
          <w:p>
            <w:pPr>
              <w:spacing w:after="0" w:line="240" w:lineRule="auto"/>
              <w:jc w:val="left"/>
            </w:pPr>
            <w:r>
              <w:rPr>
                <w:rFonts w:ascii="Cambria" w:hAnsi="Cambria" w:eastAsia="Cambria"/>
                <w:b w:val="0"/>
                <w:i w:val="0"/>
                <w:color w:val="222222"/>
                <w:sz w:val="16"/>
              </w:rPr>
              <w:t>block_97</w:t>
            </w:r>
          </w:p>
        </w:tc>
        <w:tc>
          <w:tcPr>
            <w:tcW w:type="dxa" w:w="2946"/>
            <w:vAlign w:val="center"/>
          </w:tcPr>
          <w:p>
            <w:pPr>
              <w:spacing w:after="0" w:line="240" w:lineRule="auto"/>
              <w:jc w:val="center"/>
            </w:pPr>
            <w:r>
              <w:rPr>
                <w:rFonts w:ascii="Cambria" w:hAnsi="Cambria" w:eastAsia="Cambria"/>
                <w:b w:val="0"/>
                <w:i w:val="0"/>
                <w:color w:val="222222"/>
                <w:sz w:val="16"/>
              </w:rPr>
              <w:t>0.000414</w:t>
            </w:r>
          </w:p>
        </w:tc>
        <w:tc>
          <w:tcPr>
            <w:tcW w:type="dxa" w:w="3119"/>
            <w:vAlign w:val="center"/>
          </w:tcPr>
          <w:p>
            <w:pPr>
              <w:spacing w:after="0" w:line="240" w:lineRule="auto"/>
              <w:jc w:val="center"/>
            </w:pPr>
            <w:r>
              <w:rPr>
                <w:rFonts w:ascii="Cambria" w:hAnsi="Cambria" w:eastAsia="Cambria"/>
                <w:b w:val="0"/>
                <w:i w:val="0"/>
                <w:color w:val="222222"/>
                <w:sz w:val="16"/>
              </w:rPr>
              <w:t>0.000313</w:t>
            </w:r>
          </w:p>
        </w:tc>
      </w:tr>
      <w:tr>
        <w:trPr>
          <w:cantSplit/>
        </w:trPr>
        <w:tc>
          <w:tcPr>
            <w:tcW w:type="dxa" w:w="867"/>
            <w:vAlign w:val="center"/>
            <w:shd w:val="clear" w:color="auto" w:fill="F2F5F9"/>
          </w:tcPr>
          <w:p>
            <w:pPr>
              <w:spacing w:after="0" w:line="240" w:lineRule="auto"/>
              <w:jc w:val="left"/>
            </w:pPr>
            <w:r>
              <w:rPr>
                <w:rFonts w:ascii="Cambria" w:hAnsi="Cambria" w:eastAsia="Cambria"/>
                <w:b w:val="0"/>
                <w:i w:val="0"/>
                <w:color w:val="222222"/>
                <w:sz w:val="16"/>
              </w:rPr>
              <w:t>10</w:t>
            </w:r>
          </w:p>
        </w:tc>
        <w:tc>
          <w:tcPr>
            <w:tcW w:type="dxa" w:w="2946"/>
            <w:vAlign w:val="center"/>
            <w:shd w:val="clear" w:color="auto" w:fill="F2F5F9"/>
          </w:tcPr>
          <w:p>
            <w:pPr>
              <w:spacing w:after="0" w:line="240" w:lineRule="auto"/>
              <w:jc w:val="left"/>
            </w:pPr>
            <w:r>
              <w:rPr>
                <w:rFonts w:ascii="Cambria" w:hAnsi="Cambria" w:eastAsia="Cambria"/>
                <w:b w:val="0"/>
                <w:i w:val="0"/>
                <w:color w:val="222222"/>
                <w:sz w:val="16"/>
              </w:rPr>
              <w:t>block_96</w:t>
            </w:r>
          </w:p>
        </w:tc>
        <w:tc>
          <w:tcPr>
            <w:tcW w:type="dxa" w:w="2946"/>
            <w:vAlign w:val="center"/>
            <w:shd w:val="clear" w:color="auto" w:fill="F2F5F9"/>
          </w:tcPr>
          <w:p>
            <w:pPr>
              <w:spacing w:after="0" w:line="240" w:lineRule="auto"/>
              <w:jc w:val="center"/>
            </w:pPr>
            <w:r>
              <w:rPr>
                <w:rFonts w:ascii="Cambria" w:hAnsi="Cambria" w:eastAsia="Cambria"/>
                <w:b w:val="0"/>
                <w:i w:val="0"/>
                <w:color w:val="222222"/>
                <w:sz w:val="16"/>
              </w:rPr>
              <w:t>0.000369</w:t>
            </w:r>
          </w:p>
        </w:tc>
        <w:tc>
          <w:tcPr>
            <w:tcW w:type="dxa" w:w="3119"/>
            <w:vAlign w:val="center"/>
            <w:shd w:val="clear" w:color="auto" w:fill="F2F5F9"/>
          </w:tcPr>
          <w:p>
            <w:pPr>
              <w:spacing w:after="0" w:line="240" w:lineRule="auto"/>
              <w:jc w:val="center"/>
            </w:pPr>
            <w:r>
              <w:rPr>
                <w:rFonts w:ascii="Cambria" w:hAnsi="Cambria" w:eastAsia="Cambria"/>
                <w:b w:val="0"/>
                <w:i w:val="0"/>
                <w:color w:val="222222"/>
                <w:sz w:val="16"/>
              </w:rPr>
              <w:t>0.000783</w:t>
            </w:r>
          </w:p>
        </w:tc>
      </w:tr>
    </w:tbl>
    <w:p>
      <w:pPr>
        <w:spacing w:after="20"/>
      </w:pPr>
    </w:p>
    <w:p>
      <w:pPr>
        <w:keepNext/>
        <w:spacing w:before="120" w:after="40"/>
        <w:jc w:val="center"/>
      </w:pPr>
      <w:r>
        <w:drawing>
          <wp:inline xmlns:a="http://schemas.openxmlformats.org/drawingml/2006/main" xmlns:pic="http://schemas.openxmlformats.org/drawingml/2006/picture">
            <wp:extent cx="5486400" cy="3093792"/>
            <wp:docPr id="6" name="Picture 6"/>
            <wp:cNvGraphicFramePr>
              <a:graphicFrameLocks noChangeAspect="1"/>
            </wp:cNvGraphicFramePr>
            <a:graphic>
              <a:graphicData uri="http://schemas.openxmlformats.org/drawingml/2006/picture">
                <pic:pic>
                  <pic:nvPicPr>
                    <pic:cNvPr id="0" name="paper_feature_importance.png"/>
                    <pic:cNvPicPr/>
                  </pic:nvPicPr>
                  <pic:blipFill>
                    <a:blip r:embed="rId16"/>
                    <a:stretch>
                      <a:fillRect/>
                    </a:stretch>
                  </pic:blipFill>
                  <pic:spPr>
                    <a:xfrm>
                      <a:off x="0" y="0"/>
                      <a:ext cx="5486400" cy="3093792"/>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6.</w:t>
      </w:r>
      <w:r>
        <w:rPr>
          <w:rFonts w:ascii="Cambria" w:hAnsi="Cambria" w:eastAsia="Cambria"/>
          <w:b w:val="0"/>
          <w:i w:val="0"/>
          <w:color w:val="595959"/>
          <w:sz w:val="17"/>
        </w:rPr>
        <w:t xml:space="preserve"> Permutation importance of the final global model on 1,500 test windows with five repeats (SYNTHETIC DEMO DATA). The top features are consistent with the synthetic multiplicative theft mechanism.</w:t>
      </w:r>
    </w:p>
    <w:p>
      <w:pPr>
        <w:pStyle w:val="Heading2"/>
      </w:pPr>
      <w:r>
        <w:rPr>
          <w:rFonts w:ascii="Cambria" w:hAnsi="Cambria" w:eastAsia="Cambria"/>
          <w:b/>
          <w:i w:val="0"/>
          <w:color w:val="2E5C8A"/>
          <w:sz w:val="22"/>
        </w:rPr>
        <w:t>5.9 Consumer-Level Performance</w:t>
      </w:r>
    </w:p>
    <w:p>
      <w:pPr>
        <w:spacing w:after="100" w:line="264" w:lineRule="auto"/>
        <w:jc w:val="both"/>
      </w:pPr>
      <w:r>
        <w:rPr>
          <w:rFonts w:ascii="Cambria" w:hAnsi="Cambria" w:eastAsia="Cambria"/>
          <w:b w:val="0"/>
          <w:i w:val="0"/>
          <w:color w:val="222222"/>
          <w:sz w:val="20"/>
        </w:rPr>
        <w:t>Table 11 is the most important deployment-oriented result. At the window level, both methods look excellent. At the consumer level, both detect only one of seven theft consumers, with precision 1.0000, recall 0.1429, and F1 0.2500. They label 41 normal consumers correctly and make no false-positive consumer flags; the failure is entirely missed theft consumers (FN = 6). Consumer-level ROC-AUC and PR-AUC are both 1.0000, which means the mean probabilities rank the 48 consumers perfectly. The bottleneck is the fixed 0.5 threshold on the mean probability, not the ranking.</w:t>
      </w:r>
    </w:p>
    <w:p>
      <w:pPr>
        <w:spacing w:after="100" w:line="264" w:lineRule="auto"/>
        <w:jc w:val="both"/>
      </w:pPr>
      <w:r>
        <w:rPr>
          <w:rFonts w:ascii="Cambria" w:hAnsi="Cambria" w:eastAsia="Cambria"/>
          <w:b w:val="0"/>
          <w:i w:val="0"/>
          <w:color w:val="222222"/>
          <w:sz w:val="20"/>
        </w:rPr>
        <w:t>This distinction is crucial. A model can rank consumers well and still fail an operational decision rule if its probabilities are not calibrated for the chosen threshold. A validation-tuned consumer threshold, a positive-window-ratio rule, or a cost-sensitive decision rule could change the result. None of those was used for the reported consumer metric. The test set also contains only seven theft consumers, so consumer-level F1 is unstable: one additional detection would raise recall from 1/7 to 2/7.</w:t>
      </w:r>
    </w:p>
    <w:p>
      <w:pPr>
        <w:keepNext/>
        <w:spacing w:before="140" w:after="60" w:line="240" w:lineRule="auto"/>
        <w:jc w:val="left"/>
      </w:pPr>
      <w:r>
        <w:rPr>
          <w:rFonts w:ascii="Cambria" w:hAnsi="Cambria" w:eastAsia="Cambria"/>
          <w:b/>
          <w:i w:val="0"/>
          <w:color w:val="1F3864"/>
          <w:sz w:val="18"/>
        </w:rPr>
        <w:t>Table 11. Window-level versus consumer-level test performance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1844"/>
        <w:gridCol w:w="1054"/>
        <w:gridCol w:w="1185"/>
        <w:gridCol w:w="790"/>
        <w:gridCol w:w="790"/>
        <w:gridCol w:w="922"/>
        <w:gridCol w:w="790"/>
        <w:gridCol w:w="2503"/>
      </w:tblGrid>
      <w:tr>
        <w:trPr>
          <w:tblHeader w:val="true"/>
          <w:cantSplit/>
        </w:trPr>
        <w:tc>
          <w:tcPr>
            <w:tcW w:type="dxa" w:w="1844"/>
            <w:vAlign w:val="center"/>
            <w:shd w:val="clear" w:color="auto" w:fill="1F3864"/>
          </w:tcPr>
          <w:p>
            <w:pPr>
              <w:spacing w:after="0" w:line="240" w:lineRule="auto"/>
              <w:jc w:val="left"/>
            </w:pPr>
            <w:r>
              <w:rPr>
                <w:rFonts w:ascii="Cambria" w:hAnsi="Cambria" w:eastAsia="Cambria"/>
                <w:b/>
                <w:i w:val="0"/>
                <w:color w:val="FFFFFF"/>
                <w:sz w:val="16"/>
              </w:rPr>
              <w:t>Method</w:t>
            </w:r>
          </w:p>
        </w:tc>
        <w:tc>
          <w:tcPr>
            <w:tcW w:type="dxa" w:w="1054"/>
            <w:vAlign w:val="center"/>
            <w:shd w:val="clear" w:color="auto" w:fill="1F3864"/>
          </w:tcPr>
          <w:p>
            <w:pPr>
              <w:spacing w:after="0" w:line="240" w:lineRule="auto"/>
              <w:jc w:val="center"/>
            </w:pPr>
            <w:r>
              <w:rPr>
                <w:rFonts w:ascii="Cambria" w:hAnsi="Cambria" w:eastAsia="Cambria"/>
                <w:b/>
                <w:i w:val="0"/>
                <w:color w:val="FFFFFF"/>
                <w:sz w:val="16"/>
              </w:rPr>
              <w:t>Level</w:t>
            </w:r>
          </w:p>
        </w:tc>
        <w:tc>
          <w:tcPr>
            <w:tcW w:type="dxa" w:w="1185"/>
            <w:vAlign w:val="center"/>
            <w:shd w:val="clear" w:color="auto" w:fill="1F3864"/>
          </w:tcPr>
          <w:p>
            <w:pPr>
              <w:spacing w:after="0" w:line="240" w:lineRule="auto"/>
              <w:jc w:val="center"/>
            </w:pPr>
            <w:r>
              <w:rPr>
                <w:rFonts w:ascii="Cambria" w:hAnsi="Cambria" w:eastAsia="Cambria"/>
                <w:b/>
                <w:i w:val="0"/>
                <w:color w:val="FFFFFF"/>
                <w:sz w:val="16"/>
              </w:rPr>
              <w:t>Precision</w:t>
            </w:r>
          </w:p>
        </w:tc>
        <w:tc>
          <w:tcPr>
            <w:tcW w:type="dxa" w:w="790"/>
            <w:vAlign w:val="center"/>
            <w:shd w:val="clear" w:color="auto" w:fill="1F3864"/>
          </w:tcPr>
          <w:p>
            <w:pPr>
              <w:spacing w:after="0" w:line="240" w:lineRule="auto"/>
              <w:jc w:val="center"/>
            </w:pPr>
            <w:r>
              <w:rPr>
                <w:rFonts w:ascii="Cambria" w:hAnsi="Cambria" w:eastAsia="Cambria"/>
                <w:b/>
                <w:i w:val="0"/>
                <w:color w:val="FFFFFF"/>
                <w:sz w:val="16"/>
              </w:rPr>
              <w:t>Recall</w:t>
            </w:r>
          </w:p>
        </w:tc>
        <w:tc>
          <w:tcPr>
            <w:tcW w:type="dxa" w:w="790"/>
            <w:vAlign w:val="center"/>
            <w:shd w:val="clear" w:color="auto" w:fill="1F3864"/>
          </w:tcPr>
          <w:p>
            <w:pPr>
              <w:spacing w:after="0" w:line="240" w:lineRule="auto"/>
              <w:jc w:val="center"/>
            </w:pPr>
            <w:r>
              <w:rPr>
                <w:rFonts w:ascii="Cambria" w:hAnsi="Cambria" w:eastAsia="Cambria"/>
                <w:b/>
                <w:i w:val="0"/>
                <w:color w:val="FFFFFF"/>
                <w:sz w:val="16"/>
              </w:rPr>
              <w:t>F1</w:t>
            </w:r>
          </w:p>
        </w:tc>
        <w:tc>
          <w:tcPr>
            <w:tcW w:type="dxa" w:w="922"/>
            <w:vAlign w:val="center"/>
            <w:shd w:val="clear" w:color="auto" w:fill="1F3864"/>
          </w:tcPr>
          <w:p>
            <w:pPr>
              <w:spacing w:after="0" w:line="240" w:lineRule="auto"/>
              <w:jc w:val="center"/>
            </w:pPr>
            <w:r>
              <w:rPr>
                <w:rFonts w:ascii="Cambria" w:hAnsi="Cambria" w:eastAsia="Cambria"/>
                <w:b/>
                <w:i w:val="0"/>
                <w:color w:val="FFFFFF"/>
                <w:sz w:val="16"/>
              </w:rPr>
              <w:t>ROC-AUC</w:t>
            </w:r>
          </w:p>
        </w:tc>
        <w:tc>
          <w:tcPr>
            <w:tcW w:type="dxa" w:w="790"/>
            <w:vAlign w:val="center"/>
            <w:shd w:val="clear" w:color="auto" w:fill="1F3864"/>
          </w:tcPr>
          <w:p>
            <w:pPr>
              <w:spacing w:after="0" w:line="240" w:lineRule="auto"/>
              <w:jc w:val="center"/>
            </w:pPr>
            <w:r>
              <w:rPr>
                <w:rFonts w:ascii="Cambria" w:hAnsi="Cambria" w:eastAsia="Cambria"/>
                <w:b/>
                <w:i w:val="0"/>
                <w:color w:val="FFFFFF"/>
                <w:sz w:val="16"/>
              </w:rPr>
              <w:t>PR-AUC</w:t>
            </w:r>
          </w:p>
        </w:tc>
        <w:tc>
          <w:tcPr>
            <w:tcW w:type="dxa" w:w="2503"/>
            <w:vAlign w:val="center"/>
            <w:shd w:val="clear" w:color="auto" w:fill="1F3864"/>
          </w:tcPr>
          <w:p>
            <w:pPr>
              <w:spacing w:after="0" w:line="240" w:lineRule="auto"/>
              <w:jc w:val="center"/>
            </w:pPr>
            <w:r>
              <w:rPr>
                <w:rFonts w:ascii="Cambria" w:hAnsi="Cambria" w:eastAsia="Cambria"/>
                <w:b/>
                <w:i w:val="0"/>
                <w:color w:val="FFFFFF"/>
                <w:sz w:val="16"/>
              </w:rPr>
              <w:t>TP / FP / TN / FN</w:t>
            </w:r>
          </w:p>
        </w:tc>
      </w:tr>
      <w:tr>
        <w:trPr>
          <w:cantSplit/>
        </w:trPr>
        <w:tc>
          <w:tcPr>
            <w:tcW w:type="dxa" w:w="1844"/>
            <w:vAlign w:val="center"/>
          </w:tcPr>
          <w:p>
            <w:pPr>
              <w:spacing w:after="0" w:line="240" w:lineRule="auto"/>
              <w:jc w:val="left"/>
            </w:pPr>
            <w:r>
              <w:rPr>
                <w:rFonts w:ascii="Cambria" w:hAnsi="Cambria" w:eastAsia="Cambria"/>
                <w:b w:val="0"/>
                <w:i w:val="0"/>
                <w:color w:val="222222"/>
                <w:sz w:val="16"/>
              </w:rPr>
              <w:t>FedAvg</w:t>
            </w:r>
          </w:p>
        </w:tc>
        <w:tc>
          <w:tcPr>
            <w:tcW w:type="dxa" w:w="1054"/>
            <w:vAlign w:val="center"/>
          </w:tcPr>
          <w:p>
            <w:pPr>
              <w:spacing w:after="0" w:line="240" w:lineRule="auto"/>
              <w:jc w:val="left"/>
            </w:pPr>
            <w:r>
              <w:rPr>
                <w:rFonts w:ascii="Cambria" w:hAnsi="Cambria" w:eastAsia="Cambria"/>
                <w:b w:val="0"/>
                <w:i w:val="0"/>
                <w:color w:val="222222"/>
                <w:sz w:val="16"/>
              </w:rPr>
              <w:t>Window</w:t>
            </w:r>
          </w:p>
        </w:tc>
        <w:tc>
          <w:tcPr>
            <w:tcW w:type="dxa" w:w="1185"/>
            <w:vAlign w:val="center"/>
          </w:tcPr>
          <w:p>
            <w:pPr>
              <w:spacing w:after="0" w:line="240" w:lineRule="auto"/>
              <w:jc w:val="center"/>
            </w:pPr>
            <w:r>
              <w:rPr>
                <w:rFonts w:ascii="Cambria" w:hAnsi="Cambria" w:eastAsia="Cambria"/>
                <w:b w:val="0"/>
                <w:i w:val="0"/>
                <w:color w:val="222222"/>
                <w:sz w:val="16"/>
              </w:rPr>
              <w:t>1.0000</w:t>
            </w:r>
          </w:p>
        </w:tc>
        <w:tc>
          <w:tcPr>
            <w:tcW w:type="dxa" w:w="790"/>
            <w:vAlign w:val="center"/>
          </w:tcPr>
          <w:p>
            <w:pPr>
              <w:spacing w:after="0" w:line="240" w:lineRule="auto"/>
              <w:jc w:val="center"/>
            </w:pPr>
            <w:r>
              <w:rPr>
                <w:rFonts w:ascii="Cambria" w:hAnsi="Cambria" w:eastAsia="Cambria"/>
                <w:b w:val="0"/>
                <w:i w:val="0"/>
                <w:color w:val="222222"/>
                <w:sz w:val="16"/>
              </w:rPr>
              <w:t>0.9877</w:t>
            </w:r>
          </w:p>
        </w:tc>
        <w:tc>
          <w:tcPr>
            <w:tcW w:type="dxa" w:w="790"/>
            <w:vAlign w:val="center"/>
          </w:tcPr>
          <w:p>
            <w:pPr>
              <w:spacing w:after="0" w:line="240" w:lineRule="auto"/>
              <w:jc w:val="center"/>
            </w:pPr>
            <w:r>
              <w:rPr>
                <w:rFonts w:ascii="Cambria" w:hAnsi="Cambria" w:eastAsia="Cambria"/>
                <w:b w:val="0"/>
                <w:i w:val="0"/>
                <w:color w:val="222222"/>
                <w:sz w:val="16"/>
              </w:rPr>
              <w:t>0.9938</w:t>
            </w:r>
          </w:p>
        </w:tc>
        <w:tc>
          <w:tcPr>
            <w:tcW w:type="dxa" w:w="922"/>
            <w:vAlign w:val="center"/>
          </w:tcPr>
          <w:p>
            <w:pPr>
              <w:spacing w:after="0" w:line="240" w:lineRule="auto"/>
              <w:jc w:val="center"/>
            </w:pPr>
            <w:r>
              <w:rPr>
                <w:rFonts w:ascii="Cambria" w:hAnsi="Cambria" w:eastAsia="Cambria"/>
                <w:b w:val="0"/>
                <w:i w:val="0"/>
                <w:color w:val="222222"/>
                <w:sz w:val="16"/>
              </w:rPr>
              <w:t>0.9973</w:t>
            </w:r>
          </w:p>
        </w:tc>
        <w:tc>
          <w:tcPr>
            <w:tcW w:type="dxa" w:w="790"/>
            <w:vAlign w:val="center"/>
          </w:tcPr>
          <w:p>
            <w:pPr>
              <w:spacing w:after="0" w:line="240" w:lineRule="auto"/>
              <w:jc w:val="center"/>
            </w:pPr>
            <w:r>
              <w:rPr>
                <w:rFonts w:ascii="Cambria" w:hAnsi="Cambria" w:eastAsia="Cambria"/>
                <w:b w:val="0"/>
                <w:i w:val="0"/>
                <w:color w:val="222222"/>
                <w:sz w:val="16"/>
              </w:rPr>
              <w:t>0.9927</w:t>
            </w:r>
          </w:p>
        </w:tc>
        <w:tc>
          <w:tcPr>
            <w:tcW w:type="dxa" w:w="2503"/>
            <w:vAlign w:val="center"/>
          </w:tcPr>
          <w:p>
            <w:pPr>
              <w:spacing w:after="0" w:line="240" w:lineRule="auto"/>
              <w:jc w:val="center"/>
            </w:pPr>
            <w:r>
              <w:rPr>
                <w:rFonts w:ascii="Cambria" w:hAnsi="Cambria" w:eastAsia="Cambria"/>
                <w:b w:val="0"/>
                <w:i w:val="0"/>
                <w:color w:val="222222"/>
                <w:sz w:val="16"/>
              </w:rPr>
              <w:t>160 / 0 / 2,526 / 2</w:t>
            </w:r>
          </w:p>
        </w:tc>
      </w:tr>
      <w:tr>
        <w:trPr>
          <w:cantSplit/>
        </w:trPr>
        <w:tc>
          <w:tcPr>
            <w:tcW w:type="dxa" w:w="1844"/>
            <w:vAlign w:val="center"/>
            <w:shd w:val="clear" w:color="auto" w:fill="F2F5F9"/>
          </w:tcPr>
          <w:p>
            <w:pPr>
              <w:spacing w:after="0" w:line="240" w:lineRule="auto"/>
              <w:jc w:val="left"/>
            </w:pPr>
            <w:r>
              <w:rPr>
                <w:rFonts w:ascii="Cambria" w:hAnsi="Cambria" w:eastAsia="Cambria"/>
                <w:b w:val="0"/>
                <w:i w:val="0"/>
                <w:color w:val="222222"/>
                <w:sz w:val="16"/>
              </w:rPr>
              <w:t>PowerShield-FL</w:t>
            </w:r>
          </w:p>
        </w:tc>
        <w:tc>
          <w:tcPr>
            <w:tcW w:type="dxa" w:w="1054"/>
            <w:vAlign w:val="center"/>
            <w:shd w:val="clear" w:color="auto" w:fill="F2F5F9"/>
          </w:tcPr>
          <w:p>
            <w:pPr>
              <w:spacing w:after="0" w:line="240" w:lineRule="auto"/>
              <w:jc w:val="left"/>
            </w:pPr>
            <w:r>
              <w:rPr>
                <w:rFonts w:ascii="Cambria" w:hAnsi="Cambria" w:eastAsia="Cambria"/>
                <w:b w:val="0"/>
                <w:i w:val="0"/>
                <w:color w:val="222222"/>
                <w:sz w:val="16"/>
              </w:rPr>
              <w:t>Window</w:t>
            </w:r>
          </w:p>
        </w:tc>
        <w:tc>
          <w:tcPr>
            <w:tcW w:type="dxa" w:w="1185"/>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0.9938</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0.9969</w:t>
            </w:r>
          </w:p>
        </w:tc>
        <w:tc>
          <w:tcPr>
            <w:tcW w:type="dxa" w:w="922"/>
            <w:vAlign w:val="center"/>
            <w:shd w:val="clear" w:color="auto" w:fill="F2F5F9"/>
          </w:tcPr>
          <w:p>
            <w:pPr>
              <w:spacing w:after="0" w:line="240" w:lineRule="auto"/>
              <w:jc w:val="center"/>
            </w:pPr>
            <w:r>
              <w:rPr>
                <w:rFonts w:ascii="Cambria" w:hAnsi="Cambria" w:eastAsia="Cambria"/>
                <w:b w:val="0"/>
                <w:i w:val="0"/>
                <w:color w:val="222222"/>
                <w:sz w:val="16"/>
              </w:rPr>
              <w:t>0.9969</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0.9945</w:t>
            </w:r>
          </w:p>
        </w:tc>
        <w:tc>
          <w:tcPr>
            <w:tcW w:type="dxa" w:w="2503"/>
            <w:vAlign w:val="center"/>
            <w:shd w:val="clear" w:color="auto" w:fill="F2F5F9"/>
          </w:tcPr>
          <w:p>
            <w:pPr>
              <w:spacing w:after="0" w:line="240" w:lineRule="auto"/>
              <w:jc w:val="center"/>
            </w:pPr>
            <w:r>
              <w:rPr>
                <w:rFonts w:ascii="Cambria" w:hAnsi="Cambria" w:eastAsia="Cambria"/>
                <w:b w:val="0"/>
                <w:i w:val="0"/>
                <w:color w:val="222222"/>
                <w:sz w:val="16"/>
              </w:rPr>
              <w:t>161 / 0 / 2,526 / 1</w:t>
            </w:r>
          </w:p>
        </w:tc>
      </w:tr>
      <w:tr>
        <w:trPr>
          <w:cantSplit/>
        </w:trPr>
        <w:tc>
          <w:tcPr>
            <w:tcW w:type="dxa" w:w="1844"/>
            <w:vAlign w:val="center"/>
          </w:tcPr>
          <w:p>
            <w:pPr>
              <w:spacing w:after="0" w:line="240" w:lineRule="auto"/>
              <w:jc w:val="left"/>
            </w:pPr>
            <w:r>
              <w:rPr>
                <w:rFonts w:ascii="Cambria" w:hAnsi="Cambria" w:eastAsia="Cambria"/>
                <w:b w:val="0"/>
                <w:i w:val="0"/>
                <w:color w:val="222222"/>
                <w:sz w:val="16"/>
              </w:rPr>
              <w:t>FedAvg</w:t>
            </w:r>
          </w:p>
        </w:tc>
        <w:tc>
          <w:tcPr>
            <w:tcW w:type="dxa" w:w="1054"/>
            <w:vAlign w:val="center"/>
          </w:tcPr>
          <w:p>
            <w:pPr>
              <w:spacing w:after="0" w:line="240" w:lineRule="auto"/>
              <w:jc w:val="left"/>
            </w:pPr>
            <w:r>
              <w:rPr>
                <w:rFonts w:ascii="Cambria" w:hAnsi="Cambria" w:eastAsia="Cambria"/>
                <w:b w:val="0"/>
                <w:i w:val="0"/>
                <w:color w:val="222222"/>
                <w:sz w:val="16"/>
              </w:rPr>
              <w:t>Consumer</w:t>
            </w:r>
          </w:p>
        </w:tc>
        <w:tc>
          <w:tcPr>
            <w:tcW w:type="dxa" w:w="1185"/>
            <w:vAlign w:val="center"/>
          </w:tcPr>
          <w:p>
            <w:pPr>
              <w:spacing w:after="0" w:line="240" w:lineRule="auto"/>
              <w:jc w:val="center"/>
            </w:pPr>
            <w:r>
              <w:rPr>
                <w:rFonts w:ascii="Cambria" w:hAnsi="Cambria" w:eastAsia="Cambria"/>
                <w:b w:val="0"/>
                <w:i w:val="0"/>
                <w:color w:val="222222"/>
                <w:sz w:val="16"/>
              </w:rPr>
              <w:t>1.0000</w:t>
            </w:r>
          </w:p>
        </w:tc>
        <w:tc>
          <w:tcPr>
            <w:tcW w:type="dxa" w:w="790"/>
            <w:vAlign w:val="center"/>
          </w:tcPr>
          <w:p>
            <w:pPr>
              <w:spacing w:after="0" w:line="240" w:lineRule="auto"/>
              <w:jc w:val="center"/>
            </w:pPr>
            <w:r>
              <w:rPr>
                <w:rFonts w:ascii="Cambria" w:hAnsi="Cambria" w:eastAsia="Cambria"/>
                <w:b w:val="0"/>
                <w:i w:val="0"/>
                <w:color w:val="222222"/>
                <w:sz w:val="16"/>
              </w:rPr>
              <w:t>0.1429</w:t>
            </w:r>
          </w:p>
        </w:tc>
        <w:tc>
          <w:tcPr>
            <w:tcW w:type="dxa" w:w="790"/>
            <w:vAlign w:val="center"/>
          </w:tcPr>
          <w:p>
            <w:pPr>
              <w:spacing w:after="0" w:line="240" w:lineRule="auto"/>
              <w:jc w:val="center"/>
            </w:pPr>
            <w:r>
              <w:rPr>
                <w:rFonts w:ascii="Cambria" w:hAnsi="Cambria" w:eastAsia="Cambria"/>
                <w:b w:val="0"/>
                <w:i w:val="0"/>
                <w:color w:val="222222"/>
                <w:sz w:val="16"/>
              </w:rPr>
              <w:t>0.2500</w:t>
            </w:r>
          </w:p>
        </w:tc>
        <w:tc>
          <w:tcPr>
            <w:tcW w:type="dxa" w:w="922"/>
            <w:vAlign w:val="center"/>
          </w:tcPr>
          <w:p>
            <w:pPr>
              <w:spacing w:after="0" w:line="240" w:lineRule="auto"/>
              <w:jc w:val="center"/>
            </w:pPr>
            <w:r>
              <w:rPr>
                <w:rFonts w:ascii="Cambria" w:hAnsi="Cambria" w:eastAsia="Cambria"/>
                <w:b w:val="0"/>
                <w:i w:val="0"/>
                <w:color w:val="222222"/>
                <w:sz w:val="16"/>
              </w:rPr>
              <w:t>1.0000</w:t>
            </w:r>
          </w:p>
        </w:tc>
        <w:tc>
          <w:tcPr>
            <w:tcW w:type="dxa" w:w="790"/>
            <w:vAlign w:val="center"/>
          </w:tcPr>
          <w:p>
            <w:pPr>
              <w:spacing w:after="0" w:line="240" w:lineRule="auto"/>
              <w:jc w:val="center"/>
            </w:pPr>
            <w:r>
              <w:rPr>
                <w:rFonts w:ascii="Cambria" w:hAnsi="Cambria" w:eastAsia="Cambria"/>
                <w:b w:val="0"/>
                <w:i w:val="0"/>
                <w:color w:val="222222"/>
                <w:sz w:val="16"/>
              </w:rPr>
              <w:t>1.0000</w:t>
            </w:r>
          </w:p>
        </w:tc>
        <w:tc>
          <w:tcPr>
            <w:tcW w:type="dxa" w:w="2503"/>
            <w:vAlign w:val="center"/>
          </w:tcPr>
          <w:p>
            <w:pPr>
              <w:spacing w:after="0" w:line="240" w:lineRule="auto"/>
              <w:jc w:val="center"/>
            </w:pPr>
            <w:r>
              <w:rPr>
                <w:rFonts w:ascii="Cambria" w:hAnsi="Cambria" w:eastAsia="Cambria"/>
                <w:b w:val="0"/>
                <w:i w:val="0"/>
                <w:color w:val="222222"/>
                <w:sz w:val="16"/>
              </w:rPr>
              <w:t>1 / 0 / 41 / 6</w:t>
            </w:r>
          </w:p>
        </w:tc>
      </w:tr>
      <w:tr>
        <w:trPr>
          <w:cantSplit/>
        </w:trPr>
        <w:tc>
          <w:tcPr>
            <w:tcW w:type="dxa" w:w="1844"/>
            <w:vAlign w:val="center"/>
            <w:shd w:val="clear" w:color="auto" w:fill="F2F5F9"/>
          </w:tcPr>
          <w:p>
            <w:pPr>
              <w:spacing w:after="0" w:line="240" w:lineRule="auto"/>
              <w:jc w:val="left"/>
            </w:pPr>
            <w:r>
              <w:rPr>
                <w:rFonts w:ascii="Cambria" w:hAnsi="Cambria" w:eastAsia="Cambria"/>
                <w:b w:val="0"/>
                <w:i w:val="0"/>
                <w:color w:val="222222"/>
                <w:sz w:val="16"/>
              </w:rPr>
              <w:t>PowerShield-FL</w:t>
            </w:r>
          </w:p>
        </w:tc>
        <w:tc>
          <w:tcPr>
            <w:tcW w:type="dxa" w:w="1054"/>
            <w:vAlign w:val="center"/>
            <w:shd w:val="clear" w:color="auto" w:fill="F2F5F9"/>
          </w:tcPr>
          <w:p>
            <w:pPr>
              <w:spacing w:after="0" w:line="240" w:lineRule="auto"/>
              <w:jc w:val="left"/>
            </w:pPr>
            <w:r>
              <w:rPr>
                <w:rFonts w:ascii="Cambria" w:hAnsi="Cambria" w:eastAsia="Cambria"/>
                <w:b w:val="0"/>
                <w:i w:val="0"/>
                <w:color w:val="222222"/>
                <w:sz w:val="16"/>
              </w:rPr>
              <w:t>Consumer</w:t>
            </w:r>
          </w:p>
        </w:tc>
        <w:tc>
          <w:tcPr>
            <w:tcW w:type="dxa" w:w="1185"/>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0.1429</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0.2500</w:t>
            </w:r>
          </w:p>
        </w:tc>
        <w:tc>
          <w:tcPr>
            <w:tcW w:type="dxa" w:w="922"/>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790"/>
            <w:vAlign w:val="center"/>
            <w:shd w:val="clear" w:color="auto" w:fill="F2F5F9"/>
          </w:tcPr>
          <w:p>
            <w:pPr>
              <w:spacing w:after="0" w:line="240" w:lineRule="auto"/>
              <w:jc w:val="center"/>
            </w:pPr>
            <w:r>
              <w:rPr>
                <w:rFonts w:ascii="Cambria" w:hAnsi="Cambria" w:eastAsia="Cambria"/>
                <w:b w:val="0"/>
                <w:i w:val="0"/>
                <w:color w:val="222222"/>
                <w:sz w:val="16"/>
              </w:rPr>
              <w:t>1.0000</w:t>
            </w:r>
          </w:p>
        </w:tc>
        <w:tc>
          <w:tcPr>
            <w:tcW w:type="dxa" w:w="2503"/>
            <w:vAlign w:val="center"/>
            <w:shd w:val="clear" w:color="auto" w:fill="F2F5F9"/>
          </w:tcPr>
          <w:p>
            <w:pPr>
              <w:spacing w:after="0" w:line="240" w:lineRule="auto"/>
              <w:jc w:val="center"/>
            </w:pPr>
            <w:r>
              <w:rPr>
                <w:rFonts w:ascii="Cambria" w:hAnsi="Cambria" w:eastAsia="Cambria"/>
                <w:b w:val="0"/>
                <w:i w:val="0"/>
                <w:color w:val="222222"/>
                <w:sz w:val="16"/>
              </w:rPr>
              <w:t>1 / 0 / 41 / 6</w:t>
            </w:r>
          </w:p>
        </w:tc>
      </w:tr>
    </w:tbl>
    <w:p>
      <w:pPr>
        <w:spacing w:after="20"/>
      </w:pPr>
    </w:p>
    <w:p>
      <w:pPr>
        <w:spacing w:after="100" w:line="264" w:lineRule="auto"/>
        <w:jc w:val="both"/>
      </w:pPr>
      <w:r>
        <w:rPr>
          <w:rFonts w:ascii="Cambria" w:hAnsi="Cambria" w:eastAsia="Cambria"/>
          <w:b w:val="0"/>
          <w:i w:val="0"/>
          <w:color w:val="222222"/>
          <w:sz w:val="20"/>
        </w:rPr>
        <w:t>Figure 7 shows the window-level confusion matrices. The only difference between the two matrices is the single FN/TP cell: FedAvg misses two theft windows, PowerShield-FL misses one. Figure 8 visualizes the window-to-consumer gap. The contrast is the central empirical lesson of the paper: window-level F1 is not a substitute for consumer-level evaluation.</w:t>
      </w:r>
    </w:p>
    <w:p>
      <w:pPr>
        <w:keepNext/>
        <w:spacing w:before="120" w:after="40"/>
        <w:jc w:val="center"/>
      </w:pPr>
      <w:r>
        <w:drawing>
          <wp:inline xmlns:a="http://schemas.openxmlformats.org/drawingml/2006/main" xmlns:pic="http://schemas.openxmlformats.org/drawingml/2006/picture">
            <wp:extent cx="5486400" cy="2510208"/>
            <wp:docPr id="7" name="Picture 7"/>
            <wp:cNvGraphicFramePr>
              <a:graphicFrameLocks noChangeAspect="1"/>
            </wp:cNvGraphicFramePr>
            <a:graphic>
              <a:graphicData uri="http://schemas.openxmlformats.org/drawingml/2006/picture">
                <pic:pic>
                  <pic:nvPicPr>
                    <pic:cNvPr id="0" name="paper_confusion.png"/>
                    <pic:cNvPicPr/>
                  </pic:nvPicPr>
                  <pic:blipFill>
                    <a:blip r:embed="rId17"/>
                    <a:stretch>
                      <a:fillRect/>
                    </a:stretch>
                  </pic:blipFill>
                  <pic:spPr>
                    <a:xfrm>
                      <a:off x="0" y="0"/>
                      <a:ext cx="5486400" cy="2510208"/>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7.</w:t>
      </w:r>
      <w:r>
        <w:rPr>
          <w:rFonts w:ascii="Cambria" w:hAnsi="Cambria" w:eastAsia="Cambria"/>
          <w:b w:val="0"/>
          <w:i w:val="0"/>
          <w:color w:val="595959"/>
          <w:sz w:val="17"/>
        </w:rPr>
        <w:t xml:space="preserve"> Window-level confusion matrices for FedAvg and PowerShield-FL on 2,688 test windows (SYNTHETIC DEMO DATA). The two matrices differ by one true-positive window.</w:t>
      </w:r>
    </w:p>
    <w:p>
      <w:pPr>
        <w:keepNext/>
        <w:spacing w:before="120" w:after="40"/>
        <w:jc w:val="center"/>
      </w:pPr>
      <w:r>
        <w:drawing>
          <wp:inline xmlns:a="http://schemas.openxmlformats.org/drawingml/2006/main" xmlns:pic="http://schemas.openxmlformats.org/drawingml/2006/picture">
            <wp:extent cx="5669280" cy="3014088"/>
            <wp:docPr id="8" name="Picture 8"/>
            <wp:cNvGraphicFramePr>
              <a:graphicFrameLocks noChangeAspect="1"/>
            </wp:cNvGraphicFramePr>
            <a:graphic>
              <a:graphicData uri="http://schemas.openxmlformats.org/drawingml/2006/picture">
                <pic:pic>
                  <pic:nvPicPr>
                    <pic:cNvPr id="0" name="paper_window_vs_consumer.png"/>
                    <pic:cNvPicPr/>
                  </pic:nvPicPr>
                  <pic:blipFill>
                    <a:blip r:embed="rId18"/>
                    <a:stretch>
                      <a:fillRect/>
                    </a:stretch>
                  </pic:blipFill>
                  <pic:spPr>
                    <a:xfrm>
                      <a:off x="0" y="0"/>
                      <a:ext cx="5669280" cy="3014088"/>
                    </a:xfrm>
                    <a:prstGeom prst="rect"/>
                  </pic:spPr>
                </pic:pic>
              </a:graphicData>
            </a:graphic>
          </wp:inline>
        </w:drawing>
      </w:r>
    </w:p>
    <w:p>
      <w:pPr>
        <w:keepNext w:val="0"/>
        <w:spacing w:before="40" w:after="140" w:line="240" w:lineRule="auto"/>
        <w:jc w:val="center"/>
      </w:pPr>
      <w:r>
        <w:rPr>
          <w:rFonts w:ascii="Cambria" w:hAnsi="Cambria" w:eastAsia="Cambria"/>
          <w:b/>
          <w:i w:val="0"/>
          <w:color w:val="595959"/>
          <w:sz w:val="17"/>
        </w:rPr>
        <w:t>Figure 8.</w:t>
      </w:r>
      <w:r>
        <w:rPr>
          <w:rFonts w:ascii="Cambria" w:hAnsi="Cambria" w:eastAsia="Cambria"/>
          <w:b w:val="0"/>
          <w:i w:val="0"/>
          <w:color w:val="595959"/>
          <w:sz w:val="17"/>
        </w:rPr>
        <w:t xml:space="preserve"> Window-level and consumer-level precision, recall, and F1 (SYNTHETIC DEMO DATA). Both methods retain high window-level scores but collapse to F1 = 0.25 at the consumer level under the fixed 0.5 mean-probability threshold.</w:t>
      </w:r>
    </w:p>
    <w:p>
      <w:pPr>
        <w:pStyle w:val="Heading2"/>
      </w:pPr>
      <w:r>
        <w:rPr>
          <w:rFonts w:ascii="Cambria" w:hAnsi="Cambria" w:eastAsia="Cambria"/>
          <w:b/>
          <w:i w:val="0"/>
          <w:color w:val="2E5C8A"/>
          <w:sz w:val="22"/>
        </w:rPr>
        <w:t>5.10 Summary of Findings</w:t>
      </w:r>
    </w:p>
    <w:p>
      <w:pPr>
        <w:spacing w:after="100" w:line="264" w:lineRule="auto"/>
        <w:jc w:val="both"/>
      </w:pPr>
      <w:r>
        <w:rPr>
          <w:rFonts w:ascii="Cambria" w:hAnsi="Cambria" w:eastAsia="Cambria"/>
          <w:b w:val="0"/>
          <w:i w:val="0"/>
          <w:color w:val="222222"/>
          <w:sz w:val="20"/>
        </w:rPr>
        <w:t>The measurements support four conclusions and one warning:</w:t>
      </w:r>
    </w:p>
    <w:p>
      <w:pPr>
        <w:spacing w:after="60" w:line="259" w:lineRule="auto"/>
        <w:ind w:left="432" w:hanging="245"/>
      </w:pPr>
      <w:r>
        <w:rPr>
          <w:b w:val="0"/>
          <w:i w:val="0"/>
          <w:color w:val="2E5C8A"/>
          <w:sz w:val="20"/>
        </w:rPr>
        <w:t xml:space="preserve">•  </w:t>
      </w:r>
      <w:r>
        <w:rPr>
          <w:rFonts w:ascii="Cambria" w:hAnsi="Cambria" w:eastAsia="Cambria"/>
          <w:b w:val="0"/>
          <w:i w:val="0"/>
          <w:color w:val="222222"/>
          <w:sz w:val="20"/>
        </w:rPr>
        <w:t>A 10,689-parameter model can reach high window-level F1 under FL on the synthetic benchmark.</w:t>
      </w:r>
    </w:p>
    <w:p>
      <w:pPr>
        <w:spacing w:after="60" w:line="259" w:lineRule="auto"/>
        <w:ind w:left="432" w:hanging="245"/>
      </w:pPr>
      <w:r>
        <w:rPr>
          <w:b w:val="0"/>
          <w:i w:val="0"/>
          <w:color w:val="2E5C8A"/>
          <w:sz w:val="20"/>
        </w:rPr>
        <w:t xml:space="preserve">•  </w:t>
      </w:r>
      <w:r>
        <w:rPr>
          <w:rFonts w:ascii="Cambria" w:hAnsi="Cambria" w:eastAsia="Cambria"/>
          <w:b w:val="0"/>
          <w:i w:val="0"/>
          <w:color w:val="222222"/>
          <w:sz w:val="20"/>
        </w:rPr>
        <w:t>Dense int8 compression reduces measured traffic by 73.87% with no F1 loss in the four-round sweep.</w:t>
      </w:r>
    </w:p>
    <w:p>
      <w:pPr>
        <w:spacing w:after="60" w:line="259" w:lineRule="auto"/>
        <w:ind w:left="432" w:hanging="245"/>
      </w:pPr>
      <w:r>
        <w:rPr>
          <w:b w:val="0"/>
          <w:i w:val="0"/>
          <w:color w:val="2E5C8A"/>
          <w:sz w:val="20"/>
        </w:rPr>
        <w:t xml:space="preserve">•  </w:t>
      </w:r>
      <w:r>
        <w:rPr>
          <w:rFonts w:ascii="Cambria" w:hAnsi="Cambria" w:eastAsia="Cambria"/>
          <w:b w:val="0"/>
          <w:i w:val="0"/>
          <w:color w:val="222222"/>
          <w:sz w:val="20"/>
        </w:rPr>
        <w:t>Clipping, not the small Gaussian noise, is associated with the observed privacy-sweep F1 drop.</w:t>
      </w:r>
    </w:p>
    <w:p>
      <w:pPr>
        <w:spacing w:after="60" w:line="259" w:lineRule="auto"/>
        <w:ind w:left="432" w:hanging="245"/>
      </w:pPr>
      <w:r>
        <w:rPr>
          <w:b w:val="0"/>
          <w:i w:val="0"/>
          <w:color w:val="2E5C8A"/>
          <w:sz w:val="20"/>
        </w:rPr>
        <w:t xml:space="preserve">•  </w:t>
      </w:r>
      <w:r>
        <w:rPr>
          <w:rFonts w:ascii="Cambria" w:hAnsi="Cambria" w:eastAsia="Cambria"/>
          <w:b w:val="0"/>
          <w:i w:val="0"/>
          <w:color w:val="222222"/>
          <w:sz w:val="20"/>
        </w:rPr>
        <w:t>Adaptive aggregation changes client influence in the expected direction, but its causal effect on F1 is not isolated.</w:t>
      </w:r>
    </w:p>
    <w:p>
      <w:pPr>
        <w:spacing w:after="60" w:line="259" w:lineRule="auto"/>
        <w:ind w:left="432" w:hanging="245"/>
      </w:pPr>
      <w:r>
        <w:rPr>
          <w:b w:val="0"/>
          <w:i w:val="0"/>
          <w:color w:val="2E5C8A"/>
          <w:sz w:val="20"/>
        </w:rPr>
        <w:t xml:space="preserve">•  </w:t>
      </w:r>
      <w:r>
        <w:rPr>
          <w:rFonts w:ascii="Cambria" w:hAnsi="Cambria" w:eastAsia="Cambria"/>
          <w:b/>
          <w:i w:val="0"/>
          <w:color w:val="222222"/>
          <w:sz w:val="20"/>
        </w:rPr>
        <w:t>Warning:</w:t>
      </w:r>
      <w:r>
        <w:rPr>
          <w:rFonts w:ascii="Cambria" w:hAnsi="Cambria" w:eastAsia="Cambria"/>
          <w:b w:val="0"/>
          <w:i w:val="0"/>
          <w:color w:val="222222"/>
          <w:sz w:val="20"/>
        </w:rPr>
        <w:t xml:space="preserve"> consumer-level F1 is 0.25 for both methods at the fixed 0.5 threshold, despite perfect consumer ranking. High window-level scores are not deployment evidence.</w:t>
      </w:r>
    </w:p>
    <w:p>
      <w:pPr>
        <w:pStyle w:val="Heading1"/>
        <w:pBdr>
          <w:bottom w:val="single" w:sz="8" w:space="2" w:color="D9E2F3"/>
        </w:pBdr>
      </w:pPr>
      <w:r>
        <w:rPr>
          <w:rFonts w:ascii="Cambria" w:hAnsi="Cambria" w:eastAsia="Cambria"/>
          <w:b/>
          <w:i w:val="0"/>
          <w:color w:val="1F3864"/>
          <w:sz w:val="26"/>
        </w:rPr>
        <w:t>6. Discussion</w:t>
      </w:r>
    </w:p>
    <w:p>
      <w:pPr>
        <w:pStyle w:val="Heading2"/>
      </w:pPr>
      <w:r>
        <w:rPr>
          <w:rFonts w:ascii="Cambria" w:hAnsi="Cambria" w:eastAsia="Cambria"/>
          <w:b/>
          <w:i w:val="0"/>
          <w:color w:val="2E5C8A"/>
          <w:sz w:val="22"/>
        </w:rPr>
        <w:t>6.1 What the Results Support</w:t>
      </w:r>
    </w:p>
    <w:p>
      <w:pPr>
        <w:spacing w:after="100" w:line="264" w:lineRule="auto"/>
        <w:jc w:val="both"/>
      </w:pPr>
      <w:r>
        <w:rPr>
          <w:rFonts w:ascii="Cambria" w:hAnsi="Cambria" w:eastAsia="Cambria"/>
          <w:b w:val="0"/>
          <w:i w:val="0"/>
          <w:color w:val="222222"/>
          <w:sz w:val="20"/>
        </w:rPr>
        <w:t>The strongest result is communication efficiency. The byte counts are instrumented from the serialized payloads, include headers and indices, and cover both uploads and broadcasts. Dense int8 quantization reduces traffic by 73.87% while preserving the four-round F1. This is a real systems property of the implementation, not an estimate. It is also model-specific: a 10,689-parameter dense network is a favorable case for dense int8 and an unfavorable case for top-k, because top-k must transmit int32 indices. The result should not be generalized to sparse or very large models without measurement.</w:t>
      </w:r>
    </w:p>
    <w:p>
      <w:pPr>
        <w:spacing w:after="100" w:line="264" w:lineRule="auto"/>
        <w:jc w:val="both"/>
      </w:pPr>
      <w:r>
        <w:rPr>
          <w:rFonts w:ascii="Cambria" w:hAnsi="Cambria" w:eastAsia="Cambria"/>
          <w:b w:val="0"/>
          <w:i w:val="0"/>
          <w:color w:val="222222"/>
          <w:sz w:val="20"/>
        </w:rPr>
        <w:t>The second supported result is that a compact FL model can match a centralized Random Forest on window-level F1 in this benchmark. The proposed model has a 41.75 KiB parameter payload and does not pool raw records. The Random Forest has 21,862 tree nodes and a 170.80 KiB payload estimate, and it requires central access to all training windows. This is the privacy-versus-accuracy trade-off the framework was designed to study. It is not a claim that FL is universally better: logistic regression is far smaller, much faster to train, and nearly as accurate, but it also requires pooling.</w:t>
      </w:r>
    </w:p>
    <w:p>
      <w:pPr>
        <w:pStyle w:val="Heading2"/>
      </w:pPr>
      <w:r>
        <w:rPr>
          <w:rFonts w:ascii="Cambria" w:hAnsi="Cambria" w:eastAsia="Cambria"/>
          <w:b/>
          <w:i w:val="0"/>
          <w:color w:val="2E5C8A"/>
          <w:sz w:val="22"/>
        </w:rPr>
        <w:t>6.2 The One-Window Difference</w:t>
      </w:r>
    </w:p>
    <w:p>
      <w:pPr>
        <w:spacing w:after="100" w:line="264" w:lineRule="auto"/>
        <w:jc w:val="both"/>
      </w:pPr>
      <w:r>
        <w:rPr>
          <w:rFonts w:ascii="Cambria" w:hAnsi="Cambria" w:eastAsia="Cambria"/>
          <w:b w:val="0"/>
          <w:i w:val="0"/>
          <w:color w:val="222222"/>
          <w:sz w:val="20"/>
        </w:rPr>
        <w:t>The headline federated comparison is F1 = 0.9969 versus 0.9938. The difference is +0.0031, which sounds precise but is one additional true-positive window out of 162. The precision is identical (1.0000), and both methods have zero false positives. The ROC-AUC is slightly higher for FedAvg. With one seed and no paired test, the difference is descriptive. It would be inappropriate to claim that adaptive aggregation, privacy, or compression “improves” detection from this comparison. The honest summary is: the proposed system is competitive on window-level F1, and its measured communication cost is much lower.</w:t>
      </w:r>
    </w:p>
    <w:p>
      <w:pPr>
        <w:pStyle w:val="Heading2"/>
      </w:pPr>
      <w:r>
        <w:rPr>
          <w:rFonts w:ascii="Cambria" w:hAnsi="Cambria" w:eastAsia="Cambria"/>
          <w:b/>
          <w:i w:val="0"/>
          <w:color w:val="2E5C8A"/>
          <w:sz w:val="22"/>
        </w:rPr>
        <w:t>6.3 The Privacy Caveat</w:t>
      </w:r>
    </w:p>
    <w:p>
      <w:pPr>
        <w:spacing w:after="100" w:line="264" w:lineRule="auto"/>
        <w:jc w:val="both"/>
      </w:pPr>
      <w:r>
        <w:rPr>
          <w:rFonts w:ascii="Cambria" w:hAnsi="Cambria" w:eastAsia="Cambria"/>
          <w:b w:val="0"/>
          <w:i w:val="0"/>
          <w:color w:val="222222"/>
          <w:sz w:val="20"/>
        </w:rPr>
        <w:t>The privacy layer is the weakest part of the story. At σ = 0.001, the single-release ε estimate is 4,844.81, which is far from a meaningful formal guarantee. The sweep shows that clipping alone accounts for the F1 difference between privacy-off and privacy-on; the Gaussian noise is too small to change the measured F1 at the tested levels. This is not a privacy-utility trade-off curve. It is a demonstration that the code path works and that the perturbation scale is small.</w:t>
      </w:r>
    </w:p>
    <w:p>
      <w:pPr>
        <w:spacing w:after="100" w:line="264" w:lineRule="auto"/>
        <w:jc w:val="both"/>
      </w:pPr>
      <w:r>
        <w:rPr>
          <w:rFonts w:ascii="Cambria" w:hAnsi="Cambria" w:eastAsia="Cambria"/>
          <w:b w:val="0"/>
          <w:i w:val="0"/>
          <w:color w:val="222222"/>
          <w:sz w:val="20"/>
        </w:rPr>
        <w:t xml:space="preserve">A deployable system would need a larger noise scale or a different mechanism, formal composition accounting across rounds, a threat model that includes the server and colluding clients, and a secure aggregation protocol that is actually enabled. The current implementation should be described as </w:t>
      </w:r>
      <w:r>
        <w:rPr>
          <w:rFonts w:ascii="Cambria" w:hAnsi="Cambria" w:eastAsia="Cambria"/>
          <w:b/>
          <w:i w:val="0"/>
          <w:color w:val="222222"/>
          <w:sz w:val="20"/>
        </w:rPr>
        <w:t>privacy-aware update perturbation</w:t>
      </w:r>
      <w:r>
        <w:rPr>
          <w:rFonts w:ascii="Cambria" w:hAnsi="Cambria" w:eastAsia="Cambria"/>
          <w:b w:val="0"/>
          <w:i w:val="0"/>
          <w:color w:val="222222"/>
          <w:sz w:val="20"/>
        </w:rPr>
        <w:t>, not as end-to-end differential privacy.</w:t>
      </w:r>
    </w:p>
    <w:p>
      <w:pPr>
        <w:pStyle w:val="Heading2"/>
      </w:pPr>
      <w:r>
        <w:rPr>
          <w:rFonts w:ascii="Cambria" w:hAnsi="Cambria" w:eastAsia="Cambria"/>
          <w:b/>
          <w:i w:val="0"/>
          <w:color w:val="2E5C8A"/>
          <w:sz w:val="22"/>
        </w:rPr>
        <w:t>6.4 Communication Trade-offs</w:t>
      </w:r>
    </w:p>
    <w:p>
      <w:pPr>
        <w:spacing w:after="100" w:line="264" w:lineRule="auto"/>
        <w:jc w:val="both"/>
      </w:pPr>
      <w:r>
        <w:rPr>
          <w:rFonts w:ascii="Cambria" w:hAnsi="Cambria" w:eastAsia="Cambria"/>
          <w:b w:val="0"/>
          <w:i w:val="0"/>
          <w:color w:val="222222"/>
          <w:sz w:val="20"/>
        </w:rPr>
        <w:t>The compression sweep is a useful negative result for top-k. At 20% sparsity, top-k sends 700,440 bytes—more than dense int8’s 451,222—because each selected value is paired with an int32 index. Top-k plus int8 matches dense int8 in bytes but loses more F1. For small dense models, dense int8 is the better default. This is exactly the kind of measurement that parameter-count estimates miss.</w:t>
      </w:r>
    </w:p>
    <w:p>
      <w:pPr>
        <w:spacing w:after="100" w:line="264" w:lineRule="auto"/>
        <w:jc w:val="both"/>
      </w:pPr>
      <w:r>
        <w:rPr>
          <w:rFonts w:ascii="Cambria" w:hAnsi="Cambria" w:eastAsia="Cambria"/>
          <w:b w:val="0"/>
          <w:i w:val="0"/>
          <w:color w:val="222222"/>
          <w:sz w:val="20"/>
        </w:rPr>
        <w:t>The 73.87% reduction is also not free. Quantization changes the update geometry, and the four-round sweep shows no F1 loss only at this scale and this model. A larger model, a different quantization scheme, or a harsher non-IID partition could change the trade-off. The correct claim is “73.87% fewer measured bytes with unchanged four-round F1 in this experiment,” not “73.87% compression is always lossless.”</w:t>
      </w:r>
    </w:p>
    <w:p>
      <w:pPr>
        <w:pStyle w:val="Heading2"/>
      </w:pPr>
      <w:r>
        <w:rPr>
          <w:rFonts w:ascii="Cambria" w:hAnsi="Cambria" w:eastAsia="Cambria"/>
          <w:b/>
          <w:i w:val="0"/>
          <w:color w:val="2E5C8A"/>
          <w:sz w:val="22"/>
        </w:rPr>
        <w:t>6.5 Consumer-Level Calibration</w:t>
      </w:r>
    </w:p>
    <w:p>
      <w:pPr>
        <w:spacing w:after="100" w:line="264" w:lineRule="auto"/>
        <w:jc w:val="both"/>
      </w:pPr>
      <w:r>
        <w:rPr>
          <w:rFonts w:ascii="Cambria" w:hAnsi="Cambria" w:eastAsia="Cambria"/>
          <w:b w:val="0"/>
          <w:i w:val="0"/>
          <w:color w:val="222222"/>
          <w:sz w:val="20"/>
        </w:rPr>
        <w:t>The consumer-level result is the paper’s most important caution. The mean-probability scores rank consumers perfectly (ROC-AUC = 1.0) but the 0.5 threshold flags only one of seven theft consumers. This is a calibration failure, not a discrimination failure. In deployment, the threshold would be chosen from validation consumers under an explicit cost model: missed theft, false accusation, investigation capacity, and regulatory constraints all matter. The current study does not tune that threshold, and the test set has only seven positive consumers.</w:t>
      </w:r>
    </w:p>
    <w:p>
      <w:pPr>
        <w:spacing w:after="100" w:line="264" w:lineRule="auto"/>
        <w:jc w:val="both"/>
      </w:pPr>
      <w:r>
        <w:rPr>
          <w:rFonts w:ascii="Cambria" w:hAnsi="Cambria" w:eastAsia="Cambria"/>
          <w:b w:val="0"/>
          <w:i w:val="0"/>
          <w:color w:val="222222"/>
          <w:sz w:val="20"/>
        </w:rPr>
        <w:t>The gap also reflects the difference between windows and consumers. A consumer with a short theft episode may have many normal windows and only a few theft windows; averaging probabilities can dilute the signal. A positive-window-ratio rule, a maximum-probability rule, or a calibrated consumer-level model could behave differently. These alternatives are future work, not claims of the current paper.</w:t>
      </w:r>
    </w:p>
    <w:p>
      <w:pPr>
        <w:pStyle w:val="Heading2"/>
      </w:pPr>
      <w:r>
        <w:rPr>
          <w:rFonts w:ascii="Cambria" w:hAnsi="Cambria" w:eastAsia="Cambria"/>
          <w:b/>
          <w:i w:val="0"/>
          <w:color w:val="2E5C8A"/>
          <w:sz w:val="22"/>
        </w:rPr>
        <w:t>6.6 Heterogeneity and Adaptive Aggregation</w:t>
      </w:r>
    </w:p>
    <w:p>
      <w:pPr>
        <w:spacing w:after="100" w:line="264" w:lineRule="auto"/>
        <w:jc w:val="both"/>
      </w:pPr>
      <w:r>
        <w:rPr>
          <w:rFonts w:ascii="Cambria" w:hAnsi="Cambria" w:eastAsia="Cambria"/>
          <w:b w:val="0"/>
          <w:i w:val="0"/>
          <w:color w:val="222222"/>
          <w:sz w:val="20"/>
        </w:rPr>
        <w:t>The partition is deliberately harsh: client sizes differ by more than 10×, and one client has no theft windows. The adaptive rule reduces the all-normal client’s weight from 0.2756 to 0.1212, but does not eliminate it. This is a reasonable behavior: the client still contributes normal-behavior data, and the quality fallback prevents a division-by-zero-style exclusion. The weight changes are measurable, but their effect on F1 is confounded with privacy and compression. An aggregation-only ablation with the same privacy and compression settings is needed before claiming that adaptive weighting improves accuracy.</w:t>
      </w:r>
    </w:p>
    <w:p>
      <w:pPr>
        <w:pStyle w:val="Heading2"/>
      </w:pPr>
      <w:r>
        <w:rPr>
          <w:rFonts w:ascii="Cambria" w:hAnsi="Cambria" w:eastAsia="Cambria"/>
          <w:b/>
          <w:i w:val="0"/>
          <w:color w:val="2E5C8A"/>
          <w:sz w:val="22"/>
        </w:rPr>
        <w:t>6.7 Threats to Validity</w:t>
      </w:r>
    </w:p>
    <w:p>
      <w:pPr>
        <w:spacing w:after="100" w:line="264" w:lineRule="auto"/>
        <w:jc w:val="both"/>
      </w:pPr>
      <w:r>
        <w:rPr>
          <w:rFonts w:ascii="Cambria" w:hAnsi="Cambria" w:eastAsia="Cambria"/>
          <w:b/>
          <w:i w:val="0"/>
          <w:color w:val="222222"/>
          <w:sz w:val="20"/>
        </w:rPr>
        <w:t>Construct validity.</w:t>
      </w:r>
      <w:r>
        <w:rPr>
          <w:rFonts w:ascii="Cambria" w:hAnsi="Cambria" w:eastAsia="Cambria"/>
          <w:b w:val="0"/>
          <w:i w:val="0"/>
          <w:color w:val="222222"/>
          <w:sz w:val="20"/>
        </w:rPr>
        <w:t xml:space="preserve"> The synthetic generator creates theft as a multiplicative level reduction with random activation and intermittent days. This is a simplified signature. Real theft can involve meter tampering, bypasses, collusion, irregular loads, and adversarial behavior that the generator does not model. The top features—ratios and daily drops—are plausible but are also aligned with the generator, so feature-importance results may not transfer.</w:t>
      </w:r>
    </w:p>
    <w:p>
      <w:pPr>
        <w:spacing w:after="100" w:line="264" w:lineRule="auto"/>
        <w:jc w:val="both"/>
      </w:pPr>
      <w:r>
        <w:rPr>
          <w:rFonts w:ascii="Cambria" w:hAnsi="Cambria" w:eastAsia="Cambria"/>
          <w:b/>
          <w:i w:val="0"/>
          <w:color w:val="222222"/>
          <w:sz w:val="20"/>
        </w:rPr>
        <w:t>Internal validity.</w:t>
      </w:r>
      <w:r>
        <w:rPr>
          <w:rFonts w:ascii="Cambria" w:hAnsi="Cambria" w:eastAsia="Cambria"/>
          <w:b w:val="0"/>
          <w:i w:val="0"/>
          <w:color w:val="222222"/>
          <w:sz w:val="20"/>
        </w:rPr>
        <w:t xml:space="preserve"> The suite uses one seed. There are no confidence intervals over seeds, no paired significance tests, and no hyperparameter search. The main comparison changes three system layers at once (aggregation, privacy, compression), so it cannot attribute the F1 difference to a single component. The training budgets for centralized and federated models are not compute-matched. The consumer threshold is fixed rather than tuned. The 4-round sweeps are shorter than the 8-round main run.</w:t>
      </w:r>
    </w:p>
    <w:p>
      <w:pPr>
        <w:spacing w:after="100" w:line="264" w:lineRule="auto"/>
        <w:jc w:val="both"/>
      </w:pPr>
      <w:r>
        <w:rPr>
          <w:rFonts w:ascii="Cambria" w:hAnsi="Cambria" w:eastAsia="Cambria"/>
          <w:b/>
          <w:i w:val="0"/>
          <w:color w:val="222222"/>
          <w:sz w:val="20"/>
        </w:rPr>
        <w:t>External validity.</w:t>
      </w:r>
      <w:r>
        <w:rPr>
          <w:rFonts w:ascii="Cambria" w:hAnsi="Cambria" w:eastAsia="Cambria"/>
          <w:b w:val="0"/>
          <w:i w:val="0"/>
          <w:color w:val="222222"/>
          <w:sz w:val="20"/>
        </w:rPr>
        <w:t xml:space="preserve"> The study uses simulated clients, a CPU-only host, and a synthetic dataset. It does not use SGCC, IRISE, or any real utility data. Full mode—600 consumers, 10 clients, 25 rounds, 3 seeds, 20-client scalability—is </w:t>
      </w:r>
      <w:r>
        <w:rPr>
          <w:rFonts w:ascii="Cambria" w:hAnsi="Cambria" w:eastAsia="Cambria"/>
          <w:b/>
          <w:i w:val="0"/>
          <w:color w:val="222222"/>
          <w:sz w:val="20"/>
        </w:rPr>
        <w:t>NOT RUN</w:t>
      </w:r>
      <w:r>
        <w:rPr>
          <w:rFonts w:ascii="Cambria" w:hAnsi="Cambria" w:eastAsia="Cambria"/>
          <w:b w:val="0"/>
          <w:i w:val="0"/>
          <w:color w:val="222222"/>
          <w:sz w:val="20"/>
        </w:rPr>
        <w:t>. The results should not be generalized to real utilities, real non-IID populations, or production communication networks.</w:t>
      </w:r>
    </w:p>
    <w:p>
      <w:pPr>
        <w:spacing w:after="100" w:line="264" w:lineRule="auto"/>
        <w:jc w:val="both"/>
      </w:pPr>
      <w:r>
        <w:rPr>
          <w:rFonts w:ascii="Cambria" w:hAnsi="Cambria" w:eastAsia="Cambria"/>
          <w:b/>
          <w:i w:val="0"/>
          <w:color w:val="222222"/>
          <w:sz w:val="20"/>
        </w:rPr>
        <w:t>Conclusion validity.</w:t>
      </w:r>
      <w:r>
        <w:rPr>
          <w:rFonts w:ascii="Cambria" w:hAnsi="Cambria" w:eastAsia="Cambria"/>
          <w:b w:val="0"/>
          <w:i w:val="0"/>
          <w:color w:val="222222"/>
          <w:sz w:val="20"/>
        </w:rPr>
        <w:t xml:space="preserve"> The +0.0031 F1 difference is one window. The consumer-level test has seven positive consumers. The communication reduction is a single-run measurement. The privacy estimates are single-release and not end-to-end. These are descriptive findings, not statistically established effects.</w:t>
      </w:r>
    </w:p>
    <w:p>
      <w:pPr>
        <w:pStyle w:val="Heading2"/>
      </w:pPr>
      <w:r>
        <w:rPr>
          <w:rFonts w:ascii="Cambria" w:hAnsi="Cambria" w:eastAsia="Cambria"/>
          <w:b/>
          <w:i w:val="0"/>
          <w:color w:val="2E5C8A"/>
          <w:sz w:val="22"/>
        </w:rPr>
        <w:t>6.8 Claim–Evidence Matrix</w:t>
      </w:r>
    </w:p>
    <w:p>
      <w:pPr>
        <w:spacing w:after="100" w:line="264" w:lineRule="auto"/>
        <w:jc w:val="both"/>
      </w:pPr>
      <w:r>
        <w:rPr>
          <w:rFonts w:ascii="Cambria" w:hAnsi="Cambria" w:eastAsia="Cambria"/>
          <w:b w:val="0"/>
          <w:i w:val="0"/>
          <w:color w:val="222222"/>
          <w:sz w:val="20"/>
        </w:rPr>
        <w:t>Table 12 summarizes what the paper does and does not establish. It is intended to prevent the most common overclaims in FL-for-energy papers: treating window F1 as deployment performance, treating byte estimates as measurements, and treating perturbation as a formal privacy guarantee.</w:t>
      </w:r>
    </w:p>
    <w:p>
      <w:pPr>
        <w:keepNext/>
        <w:spacing w:before="140" w:after="60" w:line="240" w:lineRule="auto"/>
        <w:jc w:val="left"/>
      </w:pPr>
      <w:r>
        <w:rPr>
          <w:rFonts w:ascii="Cambria" w:hAnsi="Cambria" w:eastAsia="Cambria"/>
          <w:b/>
          <w:i w:val="0"/>
          <w:color w:val="1F3864"/>
          <w:sz w:val="18"/>
        </w:rPr>
        <w:t>Table 12. Claim–evidence matrix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3293"/>
        <w:gridCol w:w="3293"/>
        <w:gridCol w:w="3293"/>
      </w:tblGrid>
      <w:tr>
        <w:trPr>
          <w:tblHeader w:val="true"/>
          <w:cantSplit/>
        </w:trPr>
        <w:tc>
          <w:tcPr>
            <w:tcW w:type="dxa" w:w="3293"/>
            <w:vAlign w:val="center"/>
            <w:shd w:val="clear" w:color="auto" w:fill="1F3864"/>
          </w:tcPr>
          <w:p>
            <w:pPr>
              <w:spacing w:after="0" w:line="240" w:lineRule="auto"/>
              <w:jc w:val="left"/>
            </w:pPr>
            <w:r>
              <w:rPr>
                <w:rFonts w:ascii="Cambria" w:hAnsi="Cambria" w:eastAsia="Cambria"/>
                <w:b/>
                <w:i w:val="0"/>
                <w:color w:val="FFFFFF"/>
                <w:sz w:val="16"/>
              </w:rPr>
              <w:t>Claim</w:t>
            </w:r>
          </w:p>
        </w:tc>
        <w:tc>
          <w:tcPr>
            <w:tcW w:type="dxa" w:w="3293"/>
            <w:vAlign w:val="center"/>
            <w:shd w:val="clear" w:color="auto" w:fill="1F3864"/>
          </w:tcPr>
          <w:p>
            <w:pPr>
              <w:spacing w:after="0" w:line="240" w:lineRule="auto"/>
              <w:jc w:val="center"/>
            </w:pPr>
            <w:r>
              <w:rPr>
                <w:rFonts w:ascii="Cambria" w:hAnsi="Cambria" w:eastAsia="Cambria"/>
                <w:b/>
                <w:i w:val="0"/>
                <w:color w:val="FFFFFF"/>
                <w:sz w:val="16"/>
              </w:rPr>
              <w:t>Evidence</w:t>
            </w:r>
          </w:p>
        </w:tc>
        <w:tc>
          <w:tcPr>
            <w:tcW w:type="dxa" w:w="3293"/>
            <w:vAlign w:val="center"/>
            <w:shd w:val="clear" w:color="auto" w:fill="1F3864"/>
          </w:tcPr>
          <w:p>
            <w:pPr>
              <w:spacing w:after="0" w:line="240" w:lineRule="auto"/>
              <w:jc w:val="center"/>
            </w:pPr>
            <w:r>
              <w:rPr>
                <w:rFonts w:ascii="Cambria" w:hAnsi="Cambria" w:eastAsia="Cambria"/>
                <w:b/>
                <w:i w:val="0"/>
                <w:color w:val="FFFFFF"/>
                <w:sz w:val="16"/>
              </w:rPr>
              <w:t>Status</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73.87% communication reduction</w:t>
            </w:r>
          </w:p>
        </w:tc>
        <w:tc>
          <w:tcPr>
            <w:tcW w:type="dxa" w:w="3293"/>
            <w:vAlign w:val="center"/>
          </w:tcPr>
          <w:p>
            <w:pPr>
              <w:spacing w:after="0" w:line="240" w:lineRule="auto"/>
              <w:jc w:val="left"/>
            </w:pPr>
            <w:r>
              <w:rPr>
                <w:rFonts w:ascii="Cambria" w:hAnsi="Cambria" w:eastAsia="Cambria"/>
                <w:b w:val="0"/>
                <w:i w:val="0"/>
                <w:color w:val="222222"/>
                <w:sz w:val="16"/>
              </w:rPr>
              <w:t>3,453,520 → 902,449 measured bytes; 8 rounds; 5 clients</w:t>
            </w:r>
          </w:p>
        </w:tc>
        <w:tc>
          <w:tcPr>
            <w:tcW w:type="dxa" w:w="3293"/>
            <w:vAlign w:val="center"/>
          </w:tcPr>
          <w:p>
            <w:pPr>
              <w:spacing w:after="0" w:line="240" w:lineRule="auto"/>
              <w:jc w:val="left"/>
            </w:pPr>
            <w:r>
              <w:rPr>
                <w:rFonts w:ascii="Cambria" w:hAnsi="Cambria" w:eastAsia="Cambria"/>
                <w:b w:val="0"/>
                <w:i w:val="0"/>
                <w:color w:val="222222"/>
                <w:sz w:val="16"/>
              </w:rPr>
              <w:t>Supported for this run</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PowerShield-FL window F1 = 0.9969</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Held-out test windows; seed 42</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Measured, descriptive</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+0.0031 F1 over FedAvg</w:t>
            </w:r>
          </w:p>
        </w:tc>
        <w:tc>
          <w:tcPr>
            <w:tcW w:type="dxa" w:w="3293"/>
            <w:vAlign w:val="center"/>
          </w:tcPr>
          <w:p>
            <w:pPr>
              <w:spacing w:after="0" w:line="240" w:lineRule="auto"/>
              <w:jc w:val="left"/>
            </w:pPr>
            <w:r>
              <w:rPr>
                <w:rFonts w:ascii="Cambria" w:hAnsi="Cambria" w:eastAsia="Cambria"/>
                <w:b w:val="0"/>
                <w:i w:val="0"/>
                <w:color w:val="222222"/>
                <w:sz w:val="16"/>
              </w:rPr>
              <w:t>TP 160→161; FN 2→1; one window</w:t>
            </w:r>
          </w:p>
        </w:tc>
        <w:tc>
          <w:tcPr>
            <w:tcW w:type="dxa" w:w="3293"/>
            <w:vAlign w:val="center"/>
          </w:tcPr>
          <w:p>
            <w:pPr>
              <w:spacing w:after="0" w:line="240" w:lineRule="auto"/>
              <w:jc w:val="left"/>
            </w:pPr>
            <w:r>
              <w:rPr>
                <w:rFonts w:ascii="Cambria" w:hAnsi="Cambria" w:eastAsia="Cambria"/>
                <w:b w:val="0"/>
                <w:i w:val="0"/>
                <w:color w:val="222222"/>
                <w:sz w:val="16"/>
              </w:rPr>
              <w:t>Measured, not significant</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Matches centralized Random Forest F1</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Both 0.9969; different training regimes</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Measured, not compute-matched</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Consumer-level F1 = 0.25</w:t>
            </w:r>
          </w:p>
        </w:tc>
        <w:tc>
          <w:tcPr>
            <w:tcW w:type="dxa" w:w="3293"/>
            <w:vAlign w:val="center"/>
          </w:tcPr>
          <w:p>
            <w:pPr>
              <w:spacing w:after="0" w:line="240" w:lineRule="auto"/>
              <w:jc w:val="left"/>
            </w:pPr>
            <w:r>
              <w:rPr>
                <w:rFonts w:ascii="Cambria" w:hAnsi="Cambria" w:eastAsia="Cambria"/>
                <w:b w:val="0"/>
                <w:i w:val="0"/>
                <w:color w:val="222222"/>
                <w:sz w:val="16"/>
              </w:rPr>
              <w:t>48 test consumers; 7 theft; mean-probability threshold 0.5</w:t>
            </w:r>
          </w:p>
        </w:tc>
        <w:tc>
          <w:tcPr>
            <w:tcW w:type="dxa" w:w="3293"/>
            <w:vAlign w:val="center"/>
          </w:tcPr>
          <w:p>
            <w:pPr>
              <w:spacing w:after="0" w:line="240" w:lineRule="auto"/>
              <w:jc w:val="left"/>
            </w:pPr>
            <w:r>
              <w:rPr>
                <w:rFonts w:ascii="Cambria" w:hAnsi="Cambria" w:eastAsia="Cambria"/>
                <w:b w:val="0"/>
                <w:i w:val="0"/>
                <w:color w:val="222222"/>
                <w:sz w:val="16"/>
              </w:rPr>
              <w:t>Measured, limitation</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Consumer ranking is perfect</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Consumer ROC-AUC = 1.0000</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Measured, but threshold-calibration failure</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Formal end-to-end differential privacy</w:t>
            </w:r>
          </w:p>
        </w:tc>
        <w:tc>
          <w:tcPr>
            <w:tcW w:type="dxa" w:w="3293"/>
            <w:vAlign w:val="center"/>
          </w:tcPr>
          <w:p>
            <w:pPr>
              <w:spacing w:after="0" w:line="240" w:lineRule="auto"/>
              <w:jc w:val="left"/>
            </w:pPr>
            <w:r>
              <w:rPr>
                <w:rFonts w:ascii="Cambria" w:hAnsi="Cambria" w:eastAsia="Cambria"/>
                <w:b w:val="0"/>
                <w:i w:val="0"/>
                <w:color w:val="222222"/>
                <w:sz w:val="16"/>
              </w:rPr>
              <w:t>Single-release ε 807–4,845; no composition; secure aggregation disabled</w:t>
            </w:r>
          </w:p>
        </w:tc>
        <w:tc>
          <w:tcPr>
            <w:tcW w:type="dxa" w:w="3293"/>
            <w:vAlign w:val="center"/>
          </w:tcPr>
          <w:p>
            <w:pPr>
              <w:spacing w:after="0" w:line="240" w:lineRule="auto"/>
              <w:jc w:val="left"/>
            </w:pPr>
            <w:r>
              <w:rPr>
                <w:rFonts w:ascii="Cambria" w:hAnsi="Cambria" w:eastAsia="Cambria"/>
                <w:b/>
                <w:i w:val="0"/>
                <w:color w:val="222222"/>
                <w:sz w:val="16"/>
              </w:rPr>
              <w:t>NOT CLAIMED</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Production secure aggregation</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Simulated additive masking; disabled</w:t>
            </w:r>
          </w:p>
        </w:tc>
        <w:tc>
          <w:tcPr>
            <w:tcW w:type="dxa" w:w="3293"/>
            <w:vAlign w:val="center"/>
            <w:shd w:val="clear" w:color="auto" w:fill="F2F5F9"/>
          </w:tcPr>
          <w:p>
            <w:pPr>
              <w:spacing w:after="0" w:line="240" w:lineRule="auto"/>
              <w:jc w:val="left"/>
            </w:pPr>
            <w:r>
              <w:rPr>
                <w:rFonts w:ascii="Cambria" w:hAnsi="Cambria" w:eastAsia="Cambria"/>
                <w:b/>
                <w:i w:val="0"/>
                <w:color w:val="222222"/>
                <w:sz w:val="16"/>
              </w:rPr>
              <w:t>NOT CLAIMED</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Full-mode results</w:t>
            </w:r>
          </w:p>
        </w:tc>
        <w:tc>
          <w:tcPr>
            <w:tcW w:type="dxa" w:w="3293"/>
            <w:vAlign w:val="center"/>
          </w:tcPr>
          <w:p>
            <w:pPr>
              <w:spacing w:after="0" w:line="240" w:lineRule="auto"/>
              <w:jc w:val="left"/>
            </w:pPr>
            <w:r>
              <w:rPr>
                <w:rFonts w:ascii="Cambria" w:hAnsi="Cambria" w:eastAsia="Cambria"/>
                <w:b w:val="0"/>
                <w:i w:val="0"/>
                <w:color w:val="222222"/>
                <w:sz w:val="16"/>
              </w:rPr>
              <w:t>600 consumers, 10 clients, 25 rounds, 3 seeds</w:t>
            </w:r>
          </w:p>
        </w:tc>
        <w:tc>
          <w:tcPr>
            <w:tcW w:type="dxa" w:w="3293"/>
            <w:vAlign w:val="center"/>
          </w:tcPr>
          <w:p>
            <w:pPr>
              <w:spacing w:after="0" w:line="240" w:lineRule="auto"/>
              <w:jc w:val="left"/>
            </w:pPr>
            <w:r>
              <w:rPr>
                <w:rFonts w:ascii="Cambria" w:hAnsi="Cambria" w:eastAsia="Cambria"/>
                <w:b/>
                <w:i w:val="0"/>
                <w:color w:val="222222"/>
                <w:sz w:val="16"/>
              </w:rPr>
              <w:t>NOT RUN</w:t>
            </w:r>
          </w:p>
        </w:tc>
      </w:tr>
      <w:tr>
        <w:trPr>
          <w:cantSplit/>
        </w:trPr>
        <w:tc>
          <w:tcPr>
            <w:tcW w:type="dxa" w:w="3293"/>
            <w:vAlign w:val="center"/>
            <w:shd w:val="clear" w:color="auto" w:fill="F2F5F9"/>
          </w:tcPr>
          <w:p>
            <w:pPr>
              <w:spacing w:after="0" w:line="240" w:lineRule="auto"/>
              <w:jc w:val="left"/>
            </w:pPr>
            <w:r>
              <w:rPr>
                <w:rFonts w:ascii="Cambria" w:hAnsi="Cambria" w:eastAsia="Cambria"/>
                <w:b w:val="0"/>
                <w:i w:val="0"/>
                <w:color w:val="222222"/>
                <w:sz w:val="16"/>
              </w:rPr>
              <w:t>Real-data results</w:t>
            </w:r>
          </w:p>
        </w:tc>
        <w:tc>
          <w:tcPr>
            <w:tcW w:type="dxa" w:w="3293"/>
            <w:vAlign w:val="center"/>
            <w:shd w:val="clear" w:color="auto" w:fill="F2F5F9"/>
          </w:tcPr>
          <w:p>
            <w:pPr>
              <w:spacing w:after="0" w:line="240" w:lineRule="auto"/>
              <w:jc w:val="left"/>
            </w:pPr>
            <w:r>
              <w:rPr>
                <w:rFonts w:ascii="Cambria" w:hAnsi="Cambria" w:eastAsia="Cambria"/>
                <w:b w:val="0"/>
                <w:i w:val="0"/>
                <w:color w:val="222222"/>
                <w:sz w:val="16"/>
              </w:rPr>
              <w:t>SGCC/IRISE</w:t>
            </w:r>
          </w:p>
        </w:tc>
        <w:tc>
          <w:tcPr>
            <w:tcW w:type="dxa" w:w="3293"/>
            <w:vAlign w:val="center"/>
            <w:shd w:val="clear" w:color="auto" w:fill="F2F5F9"/>
          </w:tcPr>
          <w:p>
            <w:pPr>
              <w:spacing w:after="0" w:line="240" w:lineRule="auto"/>
              <w:jc w:val="left"/>
            </w:pPr>
            <w:r>
              <w:rPr>
                <w:rFonts w:ascii="Cambria" w:hAnsi="Cambria" w:eastAsia="Cambria"/>
                <w:b/>
                <w:i w:val="0"/>
                <w:color w:val="222222"/>
                <w:sz w:val="16"/>
              </w:rPr>
              <w:t>DATASET NOT CONFIGURED</w:t>
            </w:r>
          </w:p>
        </w:tc>
      </w:tr>
      <w:tr>
        <w:trPr>
          <w:cantSplit/>
        </w:trPr>
        <w:tc>
          <w:tcPr>
            <w:tcW w:type="dxa" w:w="3293"/>
            <w:vAlign w:val="center"/>
          </w:tcPr>
          <w:p>
            <w:pPr>
              <w:spacing w:after="0" w:line="240" w:lineRule="auto"/>
              <w:jc w:val="left"/>
            </w:pPr>
            <w:r>
              <w:rPr>
                <w:rFonts w:ascii="Cambria" w:hAnsi="Cambria" w:eastAsia="Cambria"/>
                <w:b w:val="0"/>
                <w:i w:val="0"/>
                <w:color w:val="222222"/>
                <w:sz w:val="16"/>
              </w:rPr>
              <w:t>Statistical significance</w:t>
            </w:r>
          </w:p>
        </w:tc>
        <w:tc>
          <w:tcPr>
            <w:tcW w:type="dxa" w:w="3293"/>
            <w:vAlign w:val="center"/>
          </w:tcPr>
          <w:p>
            <w:pPr>
              <w:spacing w:after="0" w:line="240" w:lineRule="auto"/>
              <w:jc w:val="left"/>
            </w:pPr>
            <w:r>
              <w:rPr>
                <w:rFonts w:ascii="Cambria" w:hAnsi="Cambria" w:eastAsia="Cambria"/>
                <w:b w:val="0"/>
                <w:i w:val="0"/>
                <w:color w:val="222222"/>
                <w:sz w:val="16"/>
              </w:rPr>
              <w:t>One seed; no paired test</w:t>
            </w:r>
          </w:p>
        </w:tc>
        <w:tc>
          <w:tcPr>
            <w:tcW w:type="dxa" w:w="3293"/>
            <w:vAlign w:val="center"/>
          </w:tcPr>
          <w:p>
            <w:pPr>
              <w:spacing w:after="0" w:line="240" w:lineRule="auto"/>
              <w:jc w:val="left"/>
            </w:pPr>
            <w:r>
              <w:rPr>
                <w:rFonts w:ascii="Cambria" w:hAnsi="Cambria" w:eastAsia="Cambria"/>
                <w:b/>
                <w:i w:val="0"/>
                <w:color w:val="222222"/>
                <w:sz w:val="16"/>
              </w:rPr>
              <w:t>STATISTICAL TEST NOT RUN</w:t>
            </w:r>
          </w:p>
        </w:tc>
      </w:tr>
    </w:tbl>
    <w:p>
      <w:pPr>
        <w:spacing w:after="20"/>
      </w:pPr>
    </w:p>
    <w:p>
      <w:pPr>
        <w:pStyle w:val="Heading1"/>
        <w:pBdr>
          <w:bottom w:val="single" w:sz="8" w:space="2" w:color="D9E2F3"/>
        </w:pBdr>
      </w:pPr>
      <w:r>
        <w:rPr>
          <w:rFonts w:ascii="Cambria" w:hAnsi="Cambria" w:eastAsia="Cambria"/>
          <w:b/>
          <w:i w:val="0"/>
          <w:color w:val="1F3864"/>
          <w:sz w:val="26"/>
        </w:rPr>
        <w:t>7. Limitations</w:t>
      </w:r>
    </w:p>
    <w:p>
      <w:pPr>
        <w:spacing w:after="100" w:line="264" w:lineRule="auto"/>
        <w:jc w:val="both"/>
      </w:pPr>
      <w:r>
        <w:rPr>
          <w:rFonts w:ascii="Cambria" w:hAnsi="Cambria" w:eastAsia="Cambria"/>
          <w:b w:val="0"/>
          <w:i w:val="0"/>
          <w:color w:val="222222"/>
          <w:sz w:val="20"/>
        </w:rPr>
        <w:t>The limitations are part of the result, not an afterthought.</w:t>
      </w:r>
    </w:p>
    <w:p>
      <w:pPr>
        <w:spacing w:after="60" w:line="259" w:lineRule="auto"/>
        <w:ind w:left="461" w:hanging="317"/>
      </w:pPr>
      <w:r>
        <w:rPr>
          <w:b w:val="0"/>
          <w:i w:val="0"/>
          <w:color w:val="2E5C8A"/>
          <w:sz w:val="20"/>
        </w:rPr>
        <w:t xml:space="preserve">1.  </w:t>
      </w:r>
      <w:r>
        <w:rPr>
          <w:rFonts w:ascii="Cambria" w:hAnsi="Cambria" w:eastAsia="Cambria"/>
          <w:b/>
          <w:i w:val="0"/>
          <w:color w:val="222222"/>
          <w:sz w:val="20"/>
        </w:rPr>
        <w:t>Synthetic data only.</w:t>
      </w:r>
      <w:r>
        <w:rPr>
          <w:rFonts w:ascii="Cambria" w:hAnsi="Cambria" w:eastAsia="Cambria"/>
          <w:b w:val="0"/>
          <w:i w:val="0"/>
          <w:color w:val="222222"/>
          <w:sz w:val="20"/>
        </w:rPr>
        <w:t xml:space="preserve"> Every number comes from a synthetic generator. The theft mechanism is a simplified multiplicative reduction. Real smart-meter data have different noise, missingness, tampering, and adversarial patterns. The study cannot establish real-world accuracy.</w:t>
      </w:r>
    </w:p>
    <w:p>
      <w:pPr>
        <w:spacing w:after="60" w:line="259" w:lineRule="auto"/>
        <w:ind w:left="461" w:hanging="317"/>
      </w:pPr>
      <w:r>
        <w:rPr>
          <w:b w:val="0"/>
          <w:i w:val="0"/>
          <w:color w:val="2E5C8A"/>
          <w:sz w:val="20"/>
        </w:rPr>
        <w:t xml:space="preserve">2.  </w:t>
      </w:r>
      <w:r>
        <w:rPr>
          <w:rFonts w:ascii="Cambria" w:hAnsi="Cambria" w:eastAsia="Cambria"/>
          <w:b/>
          <w:i w:val="0"/>
          <w:color w:val="222222"/>
          <w:sz w:val="20"/>
        </w:rPr>
        <w:t>Single seed.</w:t>
      </w:r>
      <w:r>
        <w:rPr>
          <w:rFonts w:ascii="Cambria" w:hAnsi="Cambria" w:eastAsia="Cambria"/>
          <w:b w:val="0"/>
          <w:i w:val="0"/>
          <w:color w:val="222222"/>
          <w:sz w:val="20"/>
        </w:rPr>
        <w:t xml:space="preserve"> The main run uses seed 42. There are no seed-to-seed confidence intervals or significance tests. The +0.0031 F1 difference is a point estimate from one run.</w:t>
      </w:r>
    </w:p>
    <w:p>
      <w:pPr>
        <w:spacing w:after="60" w:line="259" w:lineRule="auto"/>
        <w:ind w:left="461" w:hanging="317"/>
      </w:pPr>
      <w:r>
        <w:rPr>
          <w:b w:val="0"/>
          <w:i w:val="0"/>
          <w:color w:val="2E5C8A"/>
          <w:sz w:val="20"/>
        </w:rPr>
        <w:t xml:space="preserve">3.  </w:t>
      </w:r>
      <w:r>
        <w:rPr>
          <w:rFonts w:ascii="Cambria" w:hAnsi="Cambria" w:eastAsia="Cambria"/>
          <w:b/>
          <w:i w:val="0"/>
          <w:color w:val="222222"/>
          <w:sz w:val="20"/>
        </w:rPr>
        <w:t>Short training.</w:t>
      </w:r>
      <w:r>
        <w:rPr>
          <w:rFonts w:ascii="Cambria" w:hAnsi="Cambria" w:eastAsia="Cambria"/>
          <w:b w:val="0"/>
          <w:i w:val="0"/>
          <w:color w:val="222222"/>
          <w:sz w:val="20"/>
        </w:rPr>
        <w:t xml:space="preserve"> The main run uses eight rounds and two local epochs. The sweeps use four rounds. This is appropriate for a CPU quick mode but not for a converged FL study.</w:t>
      </w:r>
    </w:p>
    <w:p>
      <w:pPr>
        <w:spacing w:after="60" w:line="259" w:lineRule="auto"/>
        <w:ind w:left="461" w:hanging="317"/>
      </w:pPr>
      <w:r>
        <w:rPr>
          <w:b w:val="0"/>
          <w:i w:val="0"/>
          <w:color w:val="2E5C8A"/>
          <w:sz w:val="20"/>
        </w:rPr>
        <w:t xml:space="preserve">4.  </w:t>
      </w:r>
      <w:r>
        <w:rPr>
          <w:rFonts w:ascii="Cambria" w:hAnsi="Cambria" w:eastAsia="Cambria"/>
          <w:b/>
          <w:i w:val="0"/>
          <w:color w:val="222222"/>
          <w:sz w:val="20"/>
        </w:rPr>
        <w:t>No full mode.</w:t>
      </w:r>
      <w:r>
        <w:rPr>
          <w:rFonts w:ascii="Cambria" w:hAnsi="Cambria" w:eastAsia="Cambria"/>
          <w:b w:val="0"/>
          <w:i w:val="0"/>
          <w:color w:val="222222"/>
          <w:sz w:val="20"/>
        </w:rPr>
        <w:t xml:space="preserve"> The 600-consumer, 10-client, 25-round, 3-seed, 20-client scalability suite is </w:t>
      </w:r>
      <w:r>
        <w:rPr>
          <w:rFonts w:ascii="Cambria" w:hAnsi="Cambria" w:eastAsia="Cambria"/>
          <w:b/>
          <w:i w:val="0"/>
          <w:color w:val="222222"/>
          <w:sz w:val="20"/>
        </w:rPr>
        <w:t>NOT RUN</w:t>
      </w:r>
      <w:r>
        <w:rPr>
          <w:rFonts w:ascii="Cambria" w:hAnsi="Cambria" w:eastAsia="Cambria"/>
          <w:b w:val="0"/>
          <w:i w:val="0"/>
          <w:color w:val="222222"/>
          <w:sz w:val="20"/>
        </w:rPr>
        <w:t>. The present results are a quick-mode demonstration.</w:t>
      </w:r>
    </w:p>
    <w:p>
      <w:pPr>
        <w:spacing w:after="60" w:line="259" w:lineRule="auto"/>
        <w:ind w:left="461" w:hanging="317"/>
      </w:pPr>
      <w:r>
        <w:rPr>
          <w:b w:val="0"/>
          <w:i w:val="0"/>
          <w:color w:val="2E5C8A"/>
          <w:sz w:val="20"/>
        </w:rPr>
        <w:t xml:space="preserve">5.  </w:t>
      </w:r>
      <w:r>
        <w:rPr>
          <w:rFonts w:ascii="Cambria" w:hAnsi="Cambria" w:eastAsia="Cambria"/>
          <w:b/>
          <w:i w:val="0"/>
          <w:color w:val="222222"/>
          <w:sz w:val="20"/>
        </w:rPr>
        <w:t>No real dataset.</w:t>
      </w:r>
      <w:r>
        <w:rPr>
          <w:rFonts w:ascii="Cambria" w:hAnsi="Cambria" w:eastAsia="Cambria"/>
          <w:b w:val="0"/>
          <w:i w:val="0"/>
          <w:color w:val="222222"/>
          <w:sz w:val="20"/>
        </w:rPr>
        <w:t xml:space="preserve"> SGCC and IRISE execution is </w:t>
      </w:r>
      <w:r>
        <w:rPr>
          <w:rFonts w:ascii="Cambria" w:hAnsi="Cambria" w:eastAsia="Cambria"/>
          <w:b/>
          <w:i w:val="0"/>
          <w:color w:val="222222"/>
          <w:sz w:val="20"/>
        </w:rPr>
        <w:t>DATASET NOT CONFIGURED</w:t>
      </w:r>
      <w:r>
        <w:rPr>
          <w:rFonts w:ascii="Cambria" w:hAnsi="Cambria" w:eastAsia="Cambria"/>
          <w:b w:val="0"/>
          <w:i w:val="0"/>
          <w:color w:val="222222"/>
          <w:sz w:val="20"/>
        </w:rPr>
        <w:t>. No real utility or customer data were used.</w:t>
      </w:r>
    </w:p>
    <w:p>
      <w:pPr>
        <w:spacing w:after="60" w:line="259" w:lineRule="auto"/>
        <w:ind w:left="461" w:hanging="317"/>
      </w:pPr>
      <w:r>
        <w:rPr>
          <w:b w:val="0"/>
          <w:i w:val="0"/>
          <w:color w:val="2E5C8A"/>
          <w:sz w:val="20"/>
        </w:rPr>
        <w:t xml:space="preserve">6.  </w:t>
      </w:r>
      <w:r>
        <w:rPr>
          <w:rFonts w:ascii="Cambria" w:hAnsi="Cambria" w:eastAsia="Cambria"/>
          <w:b/>
          <w:i w:val="0"/>
          <w:color w:val="222222"/>
          <w:sz w:val="20"/>
        </w:rPr>
        <w:t>No formal DP.</w:t>
      </w:r>
      <w:r>
        <w:rPr>
          <w:rFonts w:ascii="Cambria" w:hAnsi="Cambria" w:eastAsia="Cambria"/>
          <w:b w:val="0"/>
          <w:i w:val="0"/>
          <w:color w:val="222222"/>
          <w:sz w:val="20"/>
        </w:rPr>
        <w:t xml:space="preserve"> The privacy layer reports single-release ε estimates of 807–4,845 and does not account for composition. Secure aggregation is simulated and disabled. No end-to-end DP guarantee is claimed.</w:t>
      </w:r>
    </w:p>
    <w:p>
      <w:pPr>
        <w:spacing w:after="60" w:line="259" w:lineRule="auto"/>
        <w:ind w:left="461" w:hanging="317"/>
      </w:pPr>
      <w:r>
        <w:rPr>
          <w:b w:val="0"/>
          <w:i w:val="0"/>
          <w:color w:val="2E5C8A"/>
          <w:sz w:val="20"/>
        </w:rPr>
        <w:t xml:space="preserve">7.  </w:t>
      </w:r>
      <w:r>
        <w:rPr>
          <w:rFonts w:ascii="Cambria" w:hAnsi="Cambria" w:eastAsia="Cambria"/>
          <w:b/>
          <w:i w:val="0"/>
          <w:color w:val="222222"/>
          <w:sz w:val="20"/>
        </w:rPr>
        <w:t>No aggregation-only ablation.</w:t>
      </w:r>
      <w:r>
        <w:rPr>
          <w:rFonts w:ascii="Cambria" w:hAnsi="Cambria" w:eastAsia="Cambria"/>
          <w:b w:val="0"/>
          <w:i w:val="0"/>
          <w:color w:val="222222"/>
          <w:sz w:val="20"/>
        </w:rPr>
        <w:t xml:space="preserve"> The main comparison changes aggregation, privacy, and compression together. The adaptive-weight diagnostics are not causal evidence of improved F1.</w:t>
      </w:r>
    </w:p>
    <w:p>
      <w:pPr>
        <w:spacing w:after="60" w:line="259" w:lineRule="auto"/>
        <w:ind w:left="461" w:hanging="317"/>
      </w:pPr>
      <w:r>
        <w:rPr>
          <w:b w:val="0"/>
          <w:i w:val="0"/>
          <w:color w:val="2E5C8A"/>
          <w:sz w:val="20"/>
        </w:rPr>
        <w:t xml:space="preserve">8.  </w:t>
      </w:r>
      <w:r>
        <w:rPr>
          <w:rFonts w:ascii="Cambria" w:hAnsi="Cambria" w:eastAsia="Cambria"/>
          <w:b/>
          <w:i w:val="0"/>
          <w:color w:val="222222"/>
          <w:sz w:val="20"/>
        </w:rPr>
        <w:t>No compute-matched comparison.</w:t>
      </w:r>
      <w:r>
        <w:rPr>
          <w:rFonts w:ascii="Cambria" w:hAnsi="Cambria" w:eastAsia="Cambria"/>
          <w:b w:val="0"/>
          <w:i w:val="0"/>
          <w:color w:val="222222"/>
          <w:sz w:val="20"/>
        </w:rPr>
        <w:t xml:space="preserve"> Centralized and federated training budgets differ. Centralized Random Forest and logistic regression are strong references, not controlled FL baselines.</w:t>
      </w:r>
    </w:p>
    <w:p>
      <w:pPr>
        <w:spacing w:after="60" w:line="259" w:lineRule="auto"/>
        <w:ind w:left="461" w:hanging="317"/>
      </w:pPr>
      <w:r>
        <w:rPr>
          <w:b w:val="0"/>
          <w:i w:val="0"/>
          <w:color w:val="2E5C8A"/>
          <w:sz w:val="20"/>
        </w:rPr>
        <w:t xml:space="preserve">9.  </w:t>
      </w:r>
      <w:r>
        <w:rPr>
          <w:rFonts w:ascii="Cambria" w:hAnsi="Cambria" w:eastAsia="Cambria"/>
          <w:b/>
          <w:i w:val="0"/>
          <w:color w:val="222222"/>
          <w:sz w:val="20"/>
        </w:rPr>
        <w:t>Consumer-level threshold not tuned.</w:t>
      </w:r>
      <w:r>
        <w:rPr>
          <w:rFonts w:ascii="Cambria" w:hAnsi="Cambria" w:eastAsia="Cambria"/>
          <w:b w:val="0"/>
          <w:i w:val="0"/>
          <w:color w:val="222222"/>
          <w:sz w:val="20"/>
        </w:rPr>
        <w:t xml:space="preserve"> The reported consumer F1 uses a fixed 0.5 mean-probability threshold. A validation-tuned consumer threshold or a positive-window-ratio rule could produce different results. The test set has only seven theft consumers.</w:t>
      </w:r>
    </w:p>
    <w:p>
      <w:pPr>
        <w:spacing w:after="60" w:line="259" w:lineRule="auto"/>
        <w:ind w:left="461" w:hanging="317"/>
      </w:pPr>
      <w:r>
        <w:rPr>
          <w:b w:val="0"/>
          <w:i w:val="0"/>
          <w:color w:val="2E5C8A"/>
          <w:sz w:val="20"/>
        </w:rPr>
        <w:t xml:space="preserve">10.  </w:t>
      </w:r>
      <w:r>
        <w:rPr>
          <w:rFonts w:ascii="Cambria" w:hAnsi="Cambria" w:eastAsia="Cambria"/>
          <w:b/>
          <w:i w:val="0"/>
          <w:color w:val="222222"/>
          <w:sz w:val="20"/>
        </w:rPr>
        <w:t>Overlapping windows.</w:t>
      </w:r>
      <w:r>
        <w:rPr>
          <w:rFonts w:ascii="Cambria" w:hAnsi="Cambria" w:eastAsia="Cambria"/>
          <w:b w:val="0"/>
          <w:i w:val="0"/>
          <w:color w:val="222222"/>
          <w:sz w:val="20"/>
        </w:rPr>
        <w:t xml:space="preserve"> Windows from the same consumer overlap and are correlated. Window-level F1 can look better than consumer-level decision quality; this is exactly what the consumer-level result shows.</w:t>
      </w:r>
    </w:p>
    <w:p>
      <w:pPr>
        <w:spacing w:after="60" w:line="259" w:lineRule="auto"/>
        <w:ind w:left="461" w:hanging="317"/>
      </w:pPr>
      <w:r>
        <w:rPr>
          <w:b w:val="0"/>
          <w:i w:val="0"/>
          <w:color w:val="2E5C8A"/>
          <w:sz w:val="20"/>
        </w:rPr>
        <w:t xml:space="preserve">11.  </w:t>
      </w:r>
      <w:r>
        <w:rPr>
          <w:rFonts w:ascii="Cambria" w:hAnsi="Cambria" w:eastAsia="Cambria"/>
          <w:b/>
          <w:i w:val="0"/>
          <w:color w:val="222222"/>
          <w:sz w:val="20"/>
        </w:rPr>
        <w:t>Model-specific compression.</w:t>
      </w:r>
      <w:r>
        <w:rPr>
          <w:rFonts w:ascii="Cambria" w:hAnsi="Cambria" w:eastAsia="Cambria"/>
          <w:b w:val="0"/>
          <w:i w:val="0"/>
          <w:color w:val="222222"/>
          <w:sz w:val="20"/>
        </w:rPr>
        <w:t xml:space="preserve"> The int8 versus top-k result depends on the model’s dense 10,689-parameter structure. It should not be generalized to sparse or large models without re-measurement.</w:t>
      </w:r>
    </w:p>
    <w:p>
      <w:pPr>
        <w:spacing w:after="60" w:line="259" w:lineRule="auto"/>
        <w:ind w:left="461" w:hanging="317"/>
      </w:pPr>
      <w:r>
        <w:rPr>
          <w:b w:val="0"/>
          <w:i w:val="0"/>
          <w:color w:val="2E5C8A"/>
          <w:sz w:val="20"/>
        </w:rPr>
        <w:t xml:space="preserve">12.  </w:t>
      </w:r>
      <w:r>
        <w:rPr>
          <w:rFonts w:ascii="Cambria" w:hAnsi="Cambria" w:eastAsia="Cambria"/>
          <w:b/>
          <w:i w:val="0"/>
          <w:color w:val="222222"/>
          <w:sz w:val="20"/>
        </w:rPr>
        <w:t>CPU-only, machine-specific timing.</w:t>
      </w:r>
      <w:r>
        <w:rPr>
          <w:rFonts w:ascii="Cambria" w:hAnsi="Cambria" w:eastAsia="Cambria"/>
          <w:b w:val="0"/>
          <w:i w:val="0"/>
          <w:color w:val="222222"/>
          <w:sz w:val="20"/>
        </w:rPr>
        <w:t xml:space="preserve"> Wall time and memory are measured on one Windows host. They are not portable performance claims.</w:t>
      </w:r>
    </w:p>
    <w:p>
      <w:pPr>
        <w:spacing w:after="60" w:line="259" w:lineRule="auto"/>
        <w:ind w:left="461" w:hanging="317"/>
      </w:pPr>
      <w:r>
        <w:rPr>
          <w:b w:val="0"/>
          <w:i w:val="0"/>
          <w:color w:val="2E5C8A"/>
          <w:sz w:val="20"/>
        </w:rPr>
        <w:t xml:space="preserve">13.  </w:t>
      </w:r>
      <w:r>
        <w:rPr>
          <w:rFonts w:ascii="Cambria" w:hAnsi="Cambria" w:eastAsia="Cambria"/>
          <w:b/>
          <w:i w:val="0"/>
          <w:color w:val="222222"/>
          <w:sz w:val="20"/>
        </w:rPr>
        <w:t>No adversarial or drift evaluation.</w:t>
      </w:r>
      <w:r>
        <w:rPr>
          <w:rFonts w:ascii="Cambria" w:hAnsi="Cambria" w:eastAsia="Cambria"/>
          <w:b w:val="0"/>
          <w:i w:val="0"/>
          <w:color w:val="222222"/>
          <w:sz w:val="20"/>
        </w:rPr>
        <w:t xml:space="preserve"> The study does not test poisoning, backdoors, membership-inference attacks, concept drift, or fairness. These are essential for deployment.</w:t>
      </w:r>
    </w:p>
    <w:p>
      <w:pPr>
        <w:pStyle w:val="Heading1"/>
        <w:pBdr>
          <w:bottom w:val="single" w:sz="8" w:space="2" w:color="D9E2F3"/>
        </w:pBdr>
      </w:pPr>
      <w:r>
        <w:rPr>
          <w:rFonts w:ascii="Cambria" w:hAnsi="Cambria" w:eastAsia="Cambria"/>
          <w:b/>
          <w:i w:val="0"/>
          <w:color w:val="1F3864"/>
          <w:sz w:val="26"/>
        </w:rPr>
        <w:t>8. Conclusion and Future Work</w:t>
      </w:r>
    </w:p>
    <w:p>
      <w:pPr>
        <w:spacing w:after="100" w:line="264" w:lineRule="auto"/>
        <w:jc w:val="both"/>
      </w:pPr>
      <w:r>
        <w:rPr>
          <w:rFonts w:ascii="Cambria" w:hAnsi="Cambria" w:eastAsia="Cambria"/>
          <w:b w:val="0"/>
          <w:i w:val="0"/>
          <w:color w:val="222222"/>
          <w:sz w:val="20"/>
        </w:rPr>
        <w:t>PowerShield-FL is a reproducible, end-to-end framework for studying lightweight FL on electricity-theft detection. On a synthetic 240-consumer benchmark in QUICK mode, it reaches window-level F1 = 0.9969 with 10,689 parameters, transmits 73.87% fewer bytes than FedAvg, and matches the F1 of a centralized Random Forest without pooling raw records. These are encouraging feasibility results for a controlled synthetic workload.</w:t>
      </w:r>
    </w:p>
    <w:p>
      <w:pPr>
        <w:spacing w:after="100" w:line="264" w:lineRule="auto"/>
        <w:jc w:val="both"/>
      </w:pPr>
      <w:r>
        <w:rPr>
          <w:rFonts w:ascii="Cambria" w:hAnsi="Cambria" w:eastAsia="Cambria"/>
          <w:b w:val="0"/>
          <w:i w:val="0"/>
          <w:color w:val="222222"/>
          <w:sz w:val="20"/>
        </w:rPr>
        <w:t xml:space="preserve">They are not deployment results. The +0.0031 F1 difference over FedAvg is one window and is not statistically significant. Consumer-level F1 is 0.25 for both methods at a fixed threshold, even though consumer-level ranking is perfect; calibration, not ranking, is the bottleneck. The privacy layer is update-level clipping plus tiny Gaussian noise with single-release ε estimates in the thousands; secure aggregation is simulated and disabled. Full mode and real-data experiments are </w:t>
      </w:r>
      <w:r>
        <w:rPr>
          <w:rFonts w:ascii="Cambria" w:hAnsi="Cambria" w:eastAsia="Cambria"/>
          <w:b/>
          <w:i w:val="0"/>
          <w:color w:val="222222"/>
          <w:sz w:val="20"/>
        </w:rPr>
        <w:t>NOT RUN</w:t>
      </w:r>
      <w:r>
        <w:rPr>
          <w:rFonts w:ascii="Cambria" w:hAnsi="Cambria" w:eastAsia="Cambria"/>
          <w:b w:val="0"/>
          <w:i w:val="0"/>
          <w:color w:val="222222"/>
          <w:sz w:val="20"/>
        </w:rPr>
        <w:t xml:space="preserve"> and </w:t>
      </w:r>
      <w:r>
        <w:rPr>
          <w:rFonts w:ascii="Cambria" w:hAnsi="Cambria" w:eastAsia="Cambria"/>
          <w:b/>
          <w:i w:val="0"/>
          <w:color w:val="222222"/>
          <w:sz w:val="20"/>
        </w:rPr>
        <w:t>DATASET NOT CONFIGURED</w:t>
      </w:r>
      <w:r>
        <w:rPr>
          <w:rFonts w:ascii="Cambria" w:hAnsi="Cambria" w:eastAsia="Cambria"/>
          <w:b w:val="0"/>
          <w:i w:val="0"/>
          <w:color w:val="222222"/>
          <w:sz w:val="20"/>
        </w:rPr>
        <w:t>.</w:t>
      </w:r>
    </w:p>
    <w:p>
      <w:pPr>
        <w:spacing w:after="100" w:line="264" w:lineRule="auto"/>
        <w:jc w:val="both"/>
      </w:pPr>
      <w:r>
        <w:rPr>
          <w:rFonts w:ascii="Cambria" w:hAnsi="Cambria" w:eastAsia="Cambria"/>
          <w:b w:val="0"/>
          <w:i w:val="0"/>
          <w:color w:val="222222"/>
          <w:sz w:val="20"/>
        </w:rPr>
        <w:t>Future work should proceed in four directions. First, run the full mode with multiple seeds and report paired confidence intervals and significance tests. Second, execute the pipeline on SGCC/IRISE or a governed utility dataset, with drift and fairness analysis. Third, implement formal DP accounting across rounds and a real secure-aggregation protocol, then measure the utility and communication cost. Fourth, calibrate and evaluate consumer-level decisions under explicit operational costs, including positive-window-ratio and maximum-probability rules. Until those steps are completed, the appropriate conclusion is that the framework is feasible on synthetic data and that its communication and consumer-level behavior deserve further study—not that it is ready for production electricity-theft detection.</w:t>
      </w:r>
    </w:p>
    <w:p>
      <w:pPr>
        <w:pStyle w:val="Heading1"/>
        <w:pBdr>
          <w:bottom w:val="single" w:sz="8" w:space="2" w:color="D9E2F3"/>
        </w:pBdr>
      </w:pPr>
      <w:r>
        <w:rPr>
          <w:rFonts w:ascii="Cambria" w:hAnsi="Cambria" w:eastAsia="Cambria"/>
          <w:b/>
          <w:i w:val="0"/>
          <w:color w:val="1F3864"/>
          <w:sz w:val="26"/>
        </w:rPr>
        <w:t>Data and Code Availability</w:t>
      </w:r>
    </w:p>
    <w:p>
      <w:pPr>
        <w:spacing w:after="100" w:line="264" w:lineRule="auto"/>
        <w:jc w:val="both"/>
      </w:pPr>
      <w:r>
        <w:rPr>
          <w:rFonts w:ascii="Cambria" w:hAnsi="Cambria" w:eastAsia="Cambria"/>
          <w:b w:val="0"/>
          <w:i w:val="0"/>
          <w:color w:val="222222"/>
          <w:sz w:val="20"/>
        </w:rPr>
        <w:t xml:space="preserve">The implementation and curated artifacts are available at </w:t>
      </w:r>
      <w:r>
        <w:rPr>
          <w:rFonts w:ascii="Consolas" w:hAnsi="Consolas" w:eastAsia="Consolas"/>
          <w:b w:val="0"/>
          <w:i w:val="0"/>
          <w:color w:val="222222"/>
          <w:sz w:val="19"/>
        </w:rPr>
        <w:t>https://github.com/dti-tech-hub/Surya-11</w:t>
      </w:r>
      <w:r>
        <w:rPr>
          <w:rFonts w:ascii="Cambria" w:hAnsi="Cambria" w:eastAsia="Cambria"/>
          <w:b w:val="0"/>
          <w:i w:val="0"/>
          <w:color w:val="222222"/>
          <w:sz w:val="20"/>
        </w:rPr>
        <w:t xml:space="preserve">. The repository includes the synthetic generator, configuration files, experiment drivers, tests, dashboard, and the final quick-suite artifacts. Raw real utility data are not included; no real customer data were used. The authoritative run is </w:t>
      </w:r>
      <w:r>
        <w:rPr>
          <w:rFonts w:ascii="Consolas" w:hAnsi="Consolas" w:eastAsia="Consolas"/>
          <w:b w:val="0"/>
          <w:i w:val="0"/>
          <w:color w:val="222222"/>
          <w:sz w:val="19"/>
        </w:rPr>
        <w:t>experiment_20261025_014623_793809_suite_s42</w:t>
      </w:r>
      <w:r>
        <w:rPr>
          <w:rFonts w:ascii="Cambria" w:hAnsi="Cambria" w:eastAsia="Cambria"/>
          <w:b w:val="0"/>
          <w:i w:val="0"/>
          <w:color w:val="222222"/>
          <w:sz w:val="20"/>
        </w:rPr>
        <w:t xml:space="preserve">; the machine-readable summary is </w:t>
      </w:r>
      <w:r>
        <w:rPr>
          <w:rFonts w:ascii="Consolas" w:hAnsi="Consolas" w:eastAsia="Consolas"/>
          <w:b w:val="0"/>
          <w:i w:val="0"/>
          <w:color w:val="222222"/>
          <w:sz w:val="19"/>
        </w:rPr>
        <w:t>results/metrics/summary.json</w:t>
      </w:r>
      <w:r>
        <w:rPr>
          <w:rFonts w:ascii="Cambria" w:hAnsi="Cambria" w:eastAsia="Cambria"/>
          <w:b w:val="0"/>
          <w:i w:val="0"/>
          <w:color w:val="222222"/>
          <w:sz w:val="20"/>
        </w:rPr>
        <w:t>.</w:t>
      </w:r>
    </w:p>
    <w:p>
      <w:pPr>
        <w:pStyle w:val="Heading1"/>
        <w:pBdr>
          <w:bottom w:val="single" w:sz="8" w:space="2" w:color="D9E2F3"/>
        </w:pBdr>
      </w:pPr>
      <w:r>
        <w:rPr>
          <w:rFonts w:ascii="Cambria" w:hAnsi="Cambria" w:eastAsia="Cambria"/>
          <w:b/>
          <w:i w:val="0"/>
          <w:color w:val="1F3864"/>
          <w:sz w:val="26"/>
        </w:rPr>
        <w:t>Ethics Statement</w:t>
      </w:r>
    </w:p>
    <w:p>
      <w:pPr>
        <w:spacing w:after="100" w:line="264" w:lineRule="auto"/>
        <w:jc w:val="both"/>
      </w:pPr>
      <w:r>
        <w:rPr>
          <w:rFonts w:ascii="Cambria" w:hAnsi="Cambria" w:eastAsia="Cambria"/>
          <w:b w:val="0"/>
          <w:i w:val="0"/>
          <w:color w:val="222222"/>
          <w:sz w:val="20"/>
        </w:rPr>
        <w:t>This study uses synthetic data only. It does not involve human subjects, real customers, or personally identifiable utility records. The synthetic consumer identifiers are artificial. Any deployment of electricity-theft detection should consider false-accusation risk, due process, privacy law, and fairness across customer groups; those considerations are outside the scope of this benchmark.</w:t>
      </w:r>
    </w:p>
    <w:p>
      <w:r>
        <w:br w:type="page"/>
      </w:r>
    </w:p>
    <w:p>
      <w:pPr>
        <w:pStyle w:val="Heading1"/>
        <w:pBdr>
          <w:bottom w:val="single" w:sz="8" w:space="2" w:color="D9E2F3"/>
        </w:pBdr>
      </w:pPr>
      <w:r>
        <w:rPr>
          <w:rFonts w:ascii="Cambria" w:hAnsi="Cambria" w:eastAsia="Cambria"/>
          <w:b/>
          <w:i w:val="0"/>
          <w:color w:val="1F3864"/>
          <w:sz w:val="26"/>
        </w:rPr>
        <w:t>References</w:t>
      </w:r>
    </w:p>
    <w:p>
      <w:pPr>
        <w:spacing w:after="60" w:line="240" w:lineRule="auto"/>
        <w:ind w:left="389" w:hanging="389"/>
        <w:jc w:val="both"/>
      </w:pPr>
      <w:r>
        <w:rPr>
          <w:rFonts w:ascii="Cambria" w:hAnsi="Cambria" w:eastAsia="Cambria"/>
          <w:b w:val="0"/>
          <w:i w:val="0"/>
          <w:color w:val="222222"/>
          <w:sz w:val="17"/>
        </w:rPr>
        <w:t xml:space="preserve">[1] B. McMahan, E. Moore, D. Ramage, S. Hampson, and B. Agüera y Arcas, “Communication-efficient learning of deep networks from decentralized data,” in </w:t>
      </w:r>
      <w:r>
        <w:rPr>
          <w:rFonts w:ascii="Cambria" w:hAnsi="Cambria" w:eastAsia="Cambria"/>
          <w:b w:val="0"/>
          <w:i/>
          <w:color w:val="222222"/>
          <w:sz w:val="17"/>
        </w:rPr>
        <w:t>Proceedings of the 20th International Conference on Artificial Intelligence and Statistics (AISTATS)</w:t>
      </w:r>
      <w:r>
        <w:rPr>
          <w:rFonts w:ascii="Cambria" w:hAnsi="Cambria" w:eastAsia="Cambria"/>
          <w:b w:val="0"/>
          <w:i w:val="0"/>
          <w:color w:val="222222"/>
          <w:sz w:val="17"/>
        </w:rPr>
        <w:t>, 2017, pp. 1273–1282.</w:t>
      </w:r>
    </w:p>
    <w:p>
      <w:pPr>
        <w:spacing w:after="60" w:line="240" w:lineRule="auto"/>
        <w:ind w:left="389" w:hanging="389"/>
        <w:jc w:val="both"/>
      </w:pPr>
      <w:r>
        <w:rPr>
          <w:rFonts w:ascii="Cambria" w:hAnsi="Cambria" w:eastAsia="Cambria"/>
          <w:b w:val="0"/>
          <w:i w:val="0"/>
          <w:color w:val="222222"/>
          <w:sz w:val="17"/>
        </w:rPr>
        <w:t xml:space="preserve">[2] P. Kairouz, H. B. McMahan, B. Avent, A. Bellet, M. Bennis, A. N. Bhagoji, et al., “Advances and open problems in federated learning,” </w:t>
      </w:r>
      <w:r>
        <w:rPr>
          <w:rFonts w:ascii="Cambria" w:hAnsi="Cambria" w:eastAsia="Cambria"/>
          <w:b w:val="0"/>
          <w:i/>
          <w:color w:val="222222"/>
          <w:sz w:val="17"/>
        </w:rPr>
        <w:t>Foundations and Trends in Machine Learning</w:t>
      </w:r>
      <w:r>
        <w:rPr>
          <w:rFonts w:ascii="Cambria" w:hAnsi="Cambria" w:eastAsia="Cambria"/>
          <w:b w:val="0"/>
          <w:i w:val="0"/>
          <w:color w:val="222222"/>
          <w:sz w:val="17"/>
        </w:rPr>
        <w:t>, vol. 14, no. 1–2, pp. 1–210, 2021.</w:t>
      </w:r>
    </w:p>
    <w:p>
      <w:pPr>
        <w:spacing w:after="60" w:line="240" w:lineRule="auto"/>
        <w:ind w:left="389" w:hanging="389"/>
        <w:jc w:val="both"/>
      </w:pPr>
      <w:r>
        <w:rPr>
          <w:rFonts w:ascii="Cambria" w:hAnsi="Cambria" w:eastAsia="Cambria"/>
          <w:b w:val="0"/>
          <w:i w:val="0"/>
          <w:color w:val="222222"/>
          <w:sz w:val="17"/>
        </w:rPr>
        <w:t xml:space="preserve">[3] T. Li, A. K. Sahu, M. Zaheer, M. Sanjabi, A. Talwalkar, and V. Smith, “Federated optimization in heterogeneous networks,” in </w:t>
      </w:r>
      <w:r>
        <w:rPr>
          <w:rFonts w:ascii="Cambria" w:hAnsi="Cambria" w:eastAsia="Cambria"/>
          <w:b w:val="0"/>
          <w:i/>
          <w:color w:val="222222"/>
          <w:sz w:val="17"/>
        </w:rPr>
        <w:t>Proceedings of Machine Learning and Systems (MLSys)</w:t>
      </w:r>
      <w:r>
        <w:rPr>
          <w:rFonts w:ascii="Cambria" w:hAnsi="Cambria" w:eastAsia="Cambria"/>
          <w:b w:val="0"/>
          <w:i w:val="0"/>
          <w:color w:val="222222"/>
          <w:sz w:val="17"/>
        </w:rPr>
        <w:t>, 2020.</w:t>
      </w:r>
    </w:p>
    <w:p>
      <w:pPr>
        <w:spacing w:after="60" w:line="240" w:lineRule="auto"/>
        <w:ind w:left="389" w:hanging="389"/>
        <w:jc w:val="both"/>
      </w:pPr>
      <w:r>
        <w:rPr>
          <w:rFonts w:ascii="Cambria" w:hAnsi="Cambria" w:eastAsia="Cambria"/>
          <w:b w:val="0"/>
          <w:i w:val="0"/>
          <w:color w:val="222222"/>
          <w:sz w:val="17"/>
        </w:rPr>
        <w:t xml:space="preserve">[4] S. P. Karimireddy, S. Kale, M. Mohri, S. Reddi, S. Stich, and A. T. Suresh, “SCAFFOLD: Stochastic controlled averaging for federated learning,” in </w:t>
      </w:r>
      <w:r>
        <w:rPr>
          <w:rFonts w:ascii="Cambria" w:hAnsi="Cambria" w:eastAsia="Cambria"/>
          <w:b w:val="0"/>
          <w:i/>
          <w:color w:val="222222"/>
          <w:sz w:val="17"/>
        </w:rPr>
        <w:t>Proceedings of the 37th International Conference on Machine Learning (ICML)</w:t>
      </w:r>
      <w:r>
        <w:rPr>
          <w:rFonts w:ascii="Cambria" w:hAnsi="Cambria" w:eastAsia="Cambria"/>
          <w:b w:val="0"/>
          <w:i w:val="0"/>
          <w:color w:val="222222"/>
          <w:sz w:val="17"/>
        </w:rPr>
        <w:t>, 2020, pp. 5132–5143.</w:t>
      </w:r>
    </w:p>
    <w:p>
      <w:pPr>
        <w:spacing w:after="60" w:line="240" w:lineRule="auto"/>
        <w:ind w:left="389" w:hanging="389"/>
        <w:jc w:val="both"/>
      </w:pPr>
      <w:r>
        <w:rPr>
          <w:rFonts w:ascii="Cambria" w:hAnsi="Cambria" w:eastAsia="Cambria"/>
          <w:b w:val="0"/>
          <w:i w:val="0"/>
          <w:color w:val="222222"/>
          <w:sz w:val="17"/>
        </w:rPr>
        <w:t xml:space="preserve">[5] Y. Zhao, M. Li, L. Lai, N. Suda, D. Civin, and V. Chandra, “Federated learning with non-IID data,” </w:t>
      </w:r>
      <w:r>
        <w:rPr>
          <w:rFonts w:ascii="Cambria" w:hAnsi="Cambria" w:eastAsia="Cambria"/>
          <w:b w:val="0"/>
          <w:i/>
          <w:color w:val="222222"/>
          <w:sz w:val="17"/>
        </w:rPr>
        <w:t>arXiv:1806.00582</w:t>
      </w:r>
      <w:r>
        <w:rPr>
          <w:rFonts w:ascii="Cambria" w:hAnsi="Cambria" w:eastAsia="Cambria"/>
          <w:b w:val="0"/>
          <w:i w:val="0"/>
          <w:color w:val="222222"/>
          <w:sz w:val="17"/>
        </w:rPr>
        <w:t>, 2018.</w:t>
      </w:r>
    </w:p>
    <w:p>
      <w:pPr>
        <w:spacing w:after="60" w:line="240" w:lineRule="auto"/>
        <w:ind w:left="389" w:hanging="389"/>
        <w:jc w:val="both"/>
      </w:pPr>
      <w:r>
        <w:rPr>
          <w:rFonts w:ascii="Cambria" w:hAnsi="Cambria" w:eastAsia="Cambria"/>
          <w:b w:val="0"/>
          <w:i w:val="0"/>
          <w:color w:val="222222"/>
          <w:sz w:val="17"/>
        </w:rPr>
        <w:t xml:space="preserve">[6] T.-M. H. Hsu, H. Qi, and M. Brown, “Measuring the effects of non-identical data distribution for federated visual classification,” </w:t>
      </w:r>
      <w:r>
        <w:rPr>
          <w:rFonts w:ascii="Cambria" w:hAnsi="Cambria" w:eastAsia="Cambria"/>
          <w:b w:val="0"/>
          <w:i/>
          <w:color w:val="222222"/>
          <w:sz w:val="17"/>
        </w:rPr>
        <w:t>arXiv:1909.06335</w:t>
      </w:r>
      <w:r>
        <w:rPr>
          <w:rFonts w:ascii="Cambria" w:hAnsi="Cambria" w:eastAsia="Cambria"/>
          <w:b w:val="0"/>
          <w:i w:val="0"/>
          <w:color w:val="222222"/>
          <w:sz w:val="17"/>
        </w:rPr>
        <w:t>, 2019.</w:t>
      </w:r>
    </w:p>
    <w:p>
      <w:pPr>
        <w:spacing w:after="60" w:line="240" w:lineRule="auto"/>
        <w:ind w:left="389" w:hanging="389"/>
        <w:jc w:val="both"/>
      </w:pPr>
      <w:r>
        <w:rPr>
          <w:rFonts w:ascii="Cambria" w:hAnsi="Cambria" w:eastAsia="Cambria"/>
          <w:b w:val="0"/>
          <w:i w:val="0"/>
          <w:color w:val="222222"/>
          <w:sz w:val="17"/>
        </w:rPr>
        <w:t xml:space="preserve">[7] R. Shokri, M. Stronati, C. Song, and V. Shmatikov, “Membership inference attacks against machine learning models,” in </w:t>
      </w:r>
      <w:r>
        <w:rPr>
          <w:rFonts w:ascii="Cambria" w:hAnsi="Cambria" w:eastAsia="Cambria"/>
          <w:b w:val="0"/>
          <w:i/>
          <w:color w:val="222222"/>
          <w:sz w:val="17"/>
        </w:rPr>
        <w:t>Proceedings of the IEEE Symposium on Security and Privacy (S&amp;P)</w:t>
      </w:r>
      <w:r>
        <w:rPr>
          <w:rFonts w:ascii="Cambria" w:hAnsi="Cambria" w:eastAsia="Cambria"/>
          <w:b w:val="0"/>
          <w:i w:val="0"/>
          <w:color w:val="222222"/>
          <w:sz w:val="17"/>
        </w:rPr>
        <w:t>, 2017, pp. 3–18.</w:t>
      </w:r>
    </w:p>
    <w:p>
      <w:pPr>
        <w:spacing w:after="60" w:line="240" w:lineRule="auto"/>
        <w:ind w:left="389" w:hanging="389"/>
        <w:jc w:val="both"/>
      </w:pPr>
      <w:r>
        <w:rPr>
          <w:rFonts w:ascii="Cambria" w:hAnsi="Cambria" w:eastAsia="Cambria"/>
          <w:b w:val="0"/>
          <w:i w:val="0"/>
          <w:color w:val="222222"/>
          <w:sz w:val="17"/>
        </w:rPr>
        <w:t xml:space="preserve">[8] L. Zhu, Z. Liu, and S. Han, “Deep leakage from gradients,” in </w:t>
      </w:r>
      <w:r>
        <w:rPr>
          <w:rFonts w:ascii="Cambria" w:hAnsi="Cambria" w:eastAsia="Cambria"/>
          <w:b w:val="0"/>
          <w:i/>
          <w:color w:val="222222"/>
          <w:sz w:val="17"/>
        </w:rPr>
        <w:t>Advances in Neural Information Processing Systems (NeurIPS)</w:t>
      </w:r>
      <w:r>
        <w:rPr>
          <w:rFonts w:ascii="Cambria" w:hAnsi="Cambria" w:eastAsia="Cambria"/>
          <w:b w:val="0"/>
          <w:i w:val="0"/>
          <w:color w:val="222222"/>
          <w:sz w:val="17"/>
        </w:rPr>
        <w:t>, 2019.</w:t>
      </w:r>
    </w:p>
    <w:p>
      <w:pPr>
        <w:spacing w:after="60" w:line="240" w:lineRule="auto"/>
        <w:ind w:left="389" w:hanging="389"/>
        <w:jc w:val="both"/>
      </w:pPr>
      <w:r>
        <w:rPr>
          <w:rFonts w:ascii="Cambria" w:hAnsi="Cambria" w:eastAsia="Cambria"/>
          <w:b w:val="0"/>
          <w:i w:val="0"/>
          <w:color w:val="222222"/>
          <w:sz w:val="17"/>
        </w:rPr>
        <w:t xml:space="preserve">[9] M. Abadi, A. Chu, I. Goodfellow, H. B. McMahan, I. Mironov, K. Talwar, and L. Zhang, “Deep learning with differential privacy,” in </w:t>
      </w:r>
      <w:r>
        <w:rPr>
          <w:rFonts w:ascii="Cambria" w:hAnsi="Cambria" w:eastAsia="Cambria"/>
          <w:b w:val="0"/>
          <w:i/>
          <w:color w:val="222222"/>
          <w:sz w:val="17"/>
        </w:rPr>
        <w:t>Proceedings of the ACM SIGSAC Conference on Computer and Communications Security (CCS)</w:t>
      </w:r>
      <w:r>
        <w:rPr>
          <w:rFonts w:ascii="Cambria" w:hAnsi="Cambria" w:eastAsia="Cambria"/>
          <w:b w:val="0"/>
          <w:i w:val="0"/>
          <w:color w:val="222222"/>
          <w:sz w:val="17"/>
        </w:rPr>
        <w:t>, 2016, pp. 308–318.</w:t>
      </w:r>
    </w:p>
    <w:p>
      <w:pPr>
        <w:spacing w:after="60" w:line="240" w:lineRule="auto"/>
        <w:ind w:left="389" w:hanging="389"/>
        <w:jc w:val="both"/>
      </w:pPr>
      <w:r>
        <w:rPr>
          <w:rFonts w:ascii="Cambria" w:hAnsi="Cambria" w:eastAsia="Cambria"/>
          <w:b w:val="0"/>
          <w:i w:val="0"/>
          <w:color w:val="222222"/>
          <w:sz w:val="17"/>
        </w:rPr>
        <w:t xml:space="preserve">[10] K. Bonawitz, V. Ivanov, B. Kreuter, A. Marcedone, H. B. McMahan, S. Patel, D. Ramage, A. Segal, and K. Seth, “Practical secure aggregation for privacy-preserving machine learning,” in </w:t>
      </w:r>
      <w:r>
        <w:rPr>
          <w:rFonts w:ascii="Cambria" w:hAnsi="Cambria" w:eastAsia="Cambria"/>
          <w:b w:val="0"/>
          <w:i/>
          <w:color w:val="222222"/>
          <w:sz w:val="17"/>
        </w:rPr>
        <w:t>Proceedings of the ACM SIGSAC Conference on Computer and Communications Security (CCS)</w:t>
      </w:r>
      <w:r>
        <w:rPr>
          <w:rFonts w:ascii="Cambria" w:hAnsi="Cambria" w:eastAsia="Cambria"/>
          <w:b w:val="0"/>
          <w:i w:val="0"/>
          <w:color w:val="222222"/>
          <w:sz w:val="17"/>
        </w:rPr>
        <w:t>, 2017, pp. 1175–1191.</w:t>
      </w:r>
    </w:p>
    <w:p>
      <w:pPr>
        <w:spacing w:after="60" w:line="240" w:lineRule="auto"/>
        <w:ind w:left="389" w:hanging="389"/>
        <w:jc w:val="both"/>
      </w:pPr>
      <w:r>
        <w:rPr>
          <w:rFonts w:ascii="Cambria" w:hAnsi="Cambria" w:eastAsia="Cambria"/>
          <w:b w:val="0"/>
          <w:i w:val="0"/>
          <w:color w:val="222222"/>
          <w:sz w:val="17"/>
        </w:rPr>
        <w:t xml:space="preserve">[11] C. Dwork and A. Roth, “The algorithmic foundations of differential privacy,” </w:t>
      </w:r>
      <w:r>
        <w:rPr>
          <w:rFonts w:ascii="Cambria" w:hAnsi="Cambria" w:eastAsia="Cambria"/>
          <w:b w:val="0"/>
          <w:i/>
          <w:color w:val="222222"/>
          <w:sz w:val="17"/>
        </w:rPr>
        <w:t>Foundations and Trends in Theoretical Computer Science</w:t>
      </w:r>
      <w:r>
        <w:rPr>
          <w:rFonts w:ascii="Cambria" w:hAnsi="Cambria" w:eastAsia="Cambria"/>
          <w:b w:val="0"/>
          <w:i w:val="0"/>
          <w:color w:val="222222"/>
          <w:sz w:val="17"/>
        </w:rPr>
        <w:t>, vol. 9, no. 3–4, pp. 211–407, 2014.</w:t>
      </w:r>
    </w:p>
    <w:p>
      <w:pPr>
        <w:spacing w:after="60" w:line="240" w:lineRule="auto"/>
        <w:ind w:left="389" w:hanging="389"/>
        <w:jc w:val="both"/>
      </w:pPr>
      <w:r>
        <w:rPr>
          <w:rFonts w:ascii="Cambria" w:hAnsi="Cambria" w:eastAsia="Cambria"/>
          <w:b w:val="0"/>
          <w:i w:val="0"/>
          <w:color w:val="222222"/>
          <w:sz w:val="17"/>
        </w:rPr>
        <w:t xml:space="preserve">[12] D. Alistarh, D. Grubic, J. Li, R. Tomioka, and M. Vojnovic, “QSGD: Communication-efficient SGD via gradient quantization and encoding,” in </w:t>
      </w:r>
      <w:r>
        <w:rPr>
          <w:rFonts w:ascii="Cambria" w:hAnsi="Cambria" w:eastAsia="Cambria"/>
          <w:b w:val="0"/>
          <w:i/>
          <w:color w:val="222222"/>
          <w:sz w:val="17"/>
        </w:rPr>
        <w:t>Advances in Neural Information Processing Systems (NeurIPS)</w:t>
      </w:r>
      <w:r>
        <w:rPr>
          <w:rFonts w:ascii="Cambria" w:hAnsi="Cambria" w:eastAsia="Cambria"/>
          <w:b w:val="0"/>
          <w:i w:val="0"/>
          <w:color w:val="222222"/>
          <w:sz w:val="17"/>
        </w:rPr>
        <w:t>, 2017.</w:t>
      </w:r>
    </w:p>
    <w:p>
      <w:pPr>
        <w:spacing w:after="60" w:line="240" w:lineRule="auto"/>
        <w:ind w:left="389" w:hanging="389"/>
        <w:jc w:val="both"/>
      </w:pPr>
      <w:r>
        <w:rPr>
          <w:rFonts w:ascii="Cambria" w:hAnsi="Cambria" w:eastAsia="Cambria"/>
          <w:b w:val="0"/>
          <w:i w:val="0"/>
          <w:color w:val="222222"/>
          <w:sz w:val="17"/>
        </w:rPr>
        <w:t xml:space="preserve">[13] Y. Lin, S. Han, H. Mao, Y. Wang, and W. J. Dally, “Deep gradient compression: Reducing the communication bandwidth for distributed training,” in </w:t>
      </w:r>
      <w:r>
        <w:rPr>
          <w:rFonts w:ascii="Cambria" w:hAnsi="Cambria" w:eastAsia="Cambria"/>
          <w:b w:val="0"/>
          <w:i/>
          <w:color w:val="222222"/>
          <w:sz w:val="17"/>
        </w:rPr>
        <w:t>International Conference on Learning Representations (ICLR)</w:t>
      </w:r>
      <w:r>
        <w:rPr>
          <w:rFonts w:ascii="Cambria" w:hAnsi="Cambria" w:eastAsia="Cambria"/>
          <w:b w:val="0"/>
          <w:i w:val="0"/>
          <w:color w:val="222222"/>
          <w:sz w:val="17"/>
        </w:rPr>
        <w:t>, 2018.</w:t>
      </w:r>
    </w:p>
    <w:p>
      <w:pPr>
        <w:spacing w:after="60" w:line="240" w:lineRule="auto"/>
        <w:ind w:left="389" w:hanging="389"/>
        <w:jc w:val="both"/>
      </w:pPr>
      <w:r>
        <w:rPr>
          <w:rFonts w:ascii="Cambria" w:hAnsi="Cambria" w:eastAsia="Cambria"/>
          <w:b w:val="0"/>
          <w:i w:val="0"/>
          <w:color w:val="222222"/>
          <w:sz w:val="17"/>
        </w:rPr>
        <w:t xml:space="preserve">[14] F. Sattler, S. Wiedemann, K.-R. Müller, and W. Samek, “Robust and communication-efficient federated learning from non-IID data,” </w:t>
      </w:r>
      <w:r>
        <w:rPr>
          <w:rFonts w:ascii="Cambria" w:hAnsi="Cambria" w:eastAsia="Cambria"/>
          <w:b w:val="0"/>
          <w:i/>
          <w:color w:val="222222"/>
          <w:sz w:val="17"/>
        </w:rPr>
        <w:t>IEEE Transactions on Neural Networks and Learning Systems</w:t>
      </w:r>
      <w:r>
        <w:rPr>
          <w:rFonts w:ascii="Cambria" w:hAnsi="Cambria" w:eastAsia="Cambria"/>
          <w:b w:val="0"/>
          <w:i w:val="0"/>
          <w:color w:val="222222"/>
          <w:sz w:val="17"/>
        </w:rPr>
        <w:t>, vol. 31, no. 9, pp. 3400–3413, 2020.</w:t>
      </w:r>
    </w:p>
    <w:p>
      <w:pPr>
        <w:spacing w:after="60" w:line="240" w:lineRule="auto"/>
        <w:ind w:left="389" w:hanging="389"/>
        <w:jc w:val="both"/>
      </w:pPr>
      <w:r>
        <w:rPr>
          <w:rFonts w:ascii="Cambria" w:hAnsi="Cambria" w:eastAsia="Cambria"/>
          <w:b w:val="0"/>
          <w:i w:val="0"/>
          <w:color w:val="222222"/>
          <w:sz w:val="17"/>
        </w:rPr>
        <w:t xml:space="preserve">[15] P. Jokar, N. Arianpoo, and V. C. M. Leung, “Electricity theft detection in AMI using customers’ consumption patterns,” </w:t>
      </w:r>
      <w:r>
        <w:rPr>
          <w:rFonts w:ascii="Cambria" w:hAnsi="Cambria" w:eastAsia="Cambria"/>
          <w:b w:val="0"/>
          <w:i/>
          <w:color w:val="222222"/>
          <w:sz w:val="17"/>
        </w:rPr>
        <w:t>IEEE Transactions on Smart Grid</w:t>
      </w:r>
      <w:r>
        <w:rPr>
          <w:rFonts w:ascii="Cambria" w:hAnsi="Cambria" w:eastAsia="Cambria"/>
          <w:b w:val="0"/>
          <w:i w:val="0"/>
          <w:color w:val="222222"/>
          <w:sz w:val="17"/>
        </w:rPr>
        <w:t>, vol. 7, no. 1, pp. 216–226, 2016.</w:t>
      </w:r>
    </w:p>
    <w:p>
      <w:pPr>
        <w:spacing w:after="60" w:line="240" w:lineRule="auto"/>
        <w:ind w:left="389" w:hanging="389"/>
        <w:jc w:val="both"/>
      </w:pPr>
      <w:r>
        <w:rPr>
          <w:rFonts w:ascii="Cambria" w:hAnsi="Cambria" w:eastAsia="Cambria"/>
          <w:b w:val="0"/>
          <w:i w:val="0"/>
          <w:color w:val="222222"/>
          <w:sz w:val="17"/>
        </w:rPr>
        <w:t xml:space="preserve">[16] G. M. Messinis and N. D. Hatziargyriou, “Review of non-technical loss detection methods,” </w:t>
      </w:r>
      <w:r>
        <w:rPr>
          <w:rFonts w:ascii="Cambria" w:hAnsi="Cambria" w:eastAsia="Cambria"/>
          <w:b w:val="0"/>
          <w:i/>
          <w:color w:val="222222"/>
          <w:sz w:val="17"/>
        </w:rPr>
        <w:t>Electric Power Systems Research</w:t>
      </w:r>
      <w:r>
        <w:rPr>
          <w:rFonts w:ascii="Cambria" w:hAnsi="Cambria" w:eastAsia="Cambria"/>
          <w:b w:val="0"/>
          <w:i w:val="0"/>
          <w:color w:val="222222"/>
          <w:sz w:val="17"/>
        </w:rPr>
        <w:t>, vol. 158, pp. 250–266, 2018.</w:t>
      </w:r>
    </w:p>
    <w:p>
      <w:pPr>
        <w:spacing w:after="60" w:line="240" w:lineRule="auto"/>
        <w:ind w:left="389" w:hanging="389"/>
        <w:jc w:val="both"/>
      </w:pPr>
      <w:r>
        <w:rPr>
          <w:rFonts w:ascii="Cambria" w:hAnsi="Cambria" w:eastAsia="Cambria"/>
          <w:b w:val="0"/>
          <w:i w:val="0"/>
          <w:color w:val="222222"/>
          <w:sz w:val="17"/>
        </w:rPr>
        <w:t xml:space="preserve">[17] K. Zheng, Q. Chen, Y. Wang, C. Kang, and Q. Xia, “A novel combined data-driven approach for electricity theft detection,” </w:t>
      </w:r>
      <w:r>
        <w:rPr>
          <w:rFonts w:ascii="Cambria" w:hAnsi="Cambria" w:eastAsia="Cambria"/>
          <w:b w:val="0"/>
          <w:i/>
          <w:color w:val="222222"/>
          <w:sz w:val="17"/>
        </w:rPr>
        <w:t>IEEE Transactions on Industrial Informatics</w:t>
      </w:r>
      <w:r>
        <w:rPr>
          <w:rFonts w:ascii="Cambria" w:hAnsi="Cambria" w:eastAsia="Cambria"/>
          <w:b w:val="0"/>
          <w:i w:val="0"/>
          <w:color w:val="222222"/>
          <w:sz w:val="17"/>
        </w:rPr>
        <w:t>, vol. 15, no. 3, pp. 1809–1819, 2019.</w:t>
      </w:r>
    </w:p>
    <w:p>
      <w:pPr>
        <w:spacing w:after="60" w:line="240" w:lineRule="auto"/>
        <w:ind w:left="389" w:hanging="389"/>
        <w:jc w:val="both"/>
      </w:pPr>
      <w:r>
        <w:rPr>
          <w:rFonts w:ascii="Cambria" w:hAnsi="Cambria" w:eastAsia="Cambria"/>
          <w:b w:val="0"/>
          <w:i w:val="0"/>
          <w:color w:val="222222"/>
          <w:sz w:val="17"/>
        </w:rPr>
        <w:t xml:space="preserve">[18] S. M. Lundberg and S.-I. Lee, “A unified approach to interpreting model predictions,” in </w:t>
      </w:r>
      <w:r>
        <w:rPr>
          <w:rFonts w:ascii="Cambria" w:hAnsi="Cambria" w:eastAsia="Cambria"/>
          <w:b w:val="0"/>
          <w:i/>
          <w:color w:val="222222"/>
          <w:sz w:val="17"/>
        </w:rPr>
        <w:t>Advances in Neural Information Processing Systems (NeurIPS)</w:t>
      </w:r>
      <w:r>
        <w:rPr>
          <w:rFonts w:ascii="Cambria" w:hAnsi="Cambria" w:eastAsia="Cambria"/>
          <w:b w:val="0"/>
          <w:i w:val="0"/>
          <w:color w:val="222222"/>
          <w:sz w:val="17"/>
        </w:rPr>
        <w:t>, 2017.</w:t>
      </w:r>
    </w:p>
    <w:p>
      <w:pPr>
        <w:spacing w:after="60" w:line="240" w:lineRule="auto"/>
        <w:ind w:left="389" w:hanging="389"/>
        <w:jc w:val="both"/>
      </w:pPr>
      <w:r>
        <w:rPr>
          <w:rFonts w:ascii="Cambria" w:hAnsi="Cambria" w:eastAsia="Cambria"/>
          <w:b w:val="0"/>
          <w:i w:val="0"/>
          <w:color w:val="222222"/>
          <w:sz w:val="17"/>
        </w:rPr>
        <w:t xml:space="preserve">[19] L. Breiman, “Random forests,” </w:t>
      </w:r>
      <w:r>
        <w:rPr>
          <w:rFonts w:ascii="Cambria" w:hAnsi="Cambria" w:eastAsia="Cambria"/>
          <w:b w:val="0"/>
          <w:i/>
          <w:color w:val="222222"/>
          <w:sz w:val="17"/>
        </w:rPr>
        <w:t>Machine Learning</w:t>
      </w:r>
      <w:r>
        <w:rPr>
          <w:rFonts w:ascii="Cambria" w:hAnsi="Cambria" w:eastAsia="Cambria"/>
          <w:b w:val="0"/>
          <w:i w:val="0"/>
          <w:color w:val="222222"/>
          <w:sz w:val="17"/>
        </w:rPr>
        <w:t>, vol. 45, no. 1, pp. 5–32, 2001.</w:t>
      </w:r>
    </w:p>
    <w:p>
      <w:pPr>
        <w:spacing w:after="60" w:line="240" w:lineRule="auto"/>
        <w:ind w:left="389" w:hanging="389"/>
        <w:jc w:val="both"/>
      </w:pPr>
      <w:r>
        <w:rPr>
          <w:rFonts w:ascii="Cambria" w:hAnsi="Cambria" w:eastAsia="Cambria"/>
          <w:b w:val="0"/>
          <w:i w:val="0"/>
          <w:color w:val="222222"/>
          <w:sz w:val="17"/>
        </w:rPr>
        <w:t xml:space="preserve">[20] F. Pedregosa et al., “Scikit-learn: Machine learning in Python,” </w:t>
      </w:r>
      <w:r>
        <w:rPr>
          <w:rFonts w:ascii="Cambria" w:hAnsi="Cambria" w:eastAsia="Cambria"/>
          <w:b w:val="0"/>
          <w:i/>
          <w:color w:val="222222"/>
          <w:sz w:val="17"/>
        </w:rPr>
        <w:t>Journal of Machine Learning Research</w:t>
      </w:r>
      <w:r>
        <w:rPr>
          <w:rFonts w:ascii="Cambria" w:hAnsi="Cambria" w:eastAsia="Cambria"/>
          <w:b w:val="0"/>
          <w:i w:val="0"/>
          <w:color w:val="222222"/>
          <w:sz w:val="17"/>
        </w:rPr>
        <w:t>, vol. 12, pp. 2825–2830, 2011.</w:t>
      </w:r>
    </w:p>
    <w:p>
      <w:pPr>
        <w:spacing w:after="60" w:line="240" w:lineRule="auto"/>
        <w:ind w:left="389" w:hanging="389"/>
        <w:jc w:val="both"/>
      </w:pPr>
      <w:r>
        <w:rPr>
          <w:rFonts w:ascii="Cambria" w:hAnsi="Cambria" w:eastAsia="Cambria"/>
          <w:b w:val="0"/>
          <w:i w:val="0"/>
          <w:color w:val="222222"/>
          <w:sz w:val="17"/>
        </w:rPr>
        <w:t xml:space="preserve">[21] A. Paszke et al., “PyTorch: An imperative style, high-performance deep learning library,” in </w:t>
      </w:r>
      <w:r>
        <w:rPr>
          <w:rFonts w:ascii="Cambria" w:hAnsi="Cambria" w:eastAsia="Cambria"/>
          <w:b w:val="0"/>
          <w:i/>
          <w:color w:val="222222"/>
          <w:sz w:val="17"/>
        </w:rPr>
        <w:t>Advances in Neural Information Processing Systems (NeurIPS)</w:t>
      </w:r>
      <w:r>
        <w:rPr>
          <w:rFonts w:ascii="Cambria" w:hAnsi="Cambria" w:eastAsia="Cambria"/>
          <w:b w:val="0"/>
          <w:i w:val="0"/>
          <w:color w:val="222222"/>
          <w:sz w:val="17"/>
        </w:rPr>
        <w:t>, 2019.</w:t>
      </w:r>
    </w:p>
    <w:p>
      <w:pPr>
        <w:spacing w:after="60" w:line="240" w:lineRule="auto"/>
        <w:ind w:left="389" w:hanging="389"/>
        <w:jc w:val="both"/>
      </w:pPr>
      <w:r>
        <w:rPr>
          <w:rFonts w:ascii="Cambria" w:hAnsi="Cambria" w:eastAsia="Cambria"/>
          <w:b w:val="0"/>
          <w:i w:val="0"/>
          <w:color w:val="222222"/>
          <w:sz w:val="17"/>
        </w:rPr>
        <w:t xml:space="preserve">[22] D. P. Kingma and J. Ba, “Adam: A method for stochastic optimization,” in </w:t>
      </w:r>
      <w:r>
        <w:rPr>
          <w:rFonts w:ascii="Cambria" w:hAnsi="Cambria" w:eastAsia="Cambria"/>
          <w:b w:val="0"/>
          <w:i/>
          <w:color w:val="222222"/>
          <w:sz w:val="17"/>
        </w:rPr>
        <w:t>International Conference on Learning Representations (ICLR)</w:t>
      </w:r>
      <w:r>
        <w:rPr>
          <w:rFonts w:ascii="Cambria" w:hAnsi="Cambria" w:eastAsia="Cambria"/>
          <w:b w:val="0"/>
          <w:i w:val="0"/>
          <w:color w:val="222222"/>
          <w:sz w:val="17"/>
        </w:rPr>
        <w:t>, 2015.</w:t>
      </w:r>
    </w:p>
    <w:p>
      <w:pPr>
        <w:spacing w:after="60" w:line="240" w:lineRule="auto"/>
        <w:ind w:left="389" w:hanging="389"/>
        <w:jc w:val="both"/>
      </w:pPr>
      <w:r>
        <w:rPr>
          <w:rFonts w:ascii="Cambria" w:hAnsi="Cambria" w:eastAsia="Cambria"/>
          <w:b w:val="0"/>
          <w:i w:val="0"/>
          <w:color w:val="222222"/>
          <w:sz w:val="17"/>
        </w:rPr>
        <w:t xml:space="preserve">[23] S. Hochreiter and J. Schmidhuber, “Long short-term memory,” </w:t>
      </w:r>
      <w:r>
        <w:rPr>
          <w:rFonts w:ascii="Cambria" w:hAnsi="Cambria" w:eastAsia="Cambria"/>
          <w:b w:val="0"/>
          <w:i/>
          <w:color w:val="222222"/>
          <w:sz w:val="17"/>
        </w:rPr>
        <w:t>Neural Computation</w:t>
      </w:r>
      <w:r>
        <w:rPr>
          <w:rFonts w:ascii="Cambria" w:hAnsi="Cambria" w:eastAsia="Cambria"/>
          <w:b w:val="0"/>
          <w:i w:val="0"/>
          <w:color w:val="222222"/>
          <w:sz w:val="17"/>
        </w:rPr>
        <w:t>, vol. 9, no. 8, pp. 1735–1780, 1997.</w:t>
      </w:r>
    </w:p>
    <w:p>
      <w:pPr>
        <w:spacing w:after="60" w:line="240" w:lineRule="auto"/>
        <w:ind w:left="389" w:hanging="389"/>
        <w:jc w:val="both"/>
      </w:pPr>
      <w:r>
        <w:rPr>
          <w:rFonts w:ascii="Cambria" w:hAnsi="Cambria" w:eastAsia="Cambria"/>
          <w:b w:val="0"/>
          <w:i w:val="0"/>
          <w:color w:val="222222"/>
          <w:sz w:val="17"/>
        </w:rPr>
        <w:t xml:space="preserve">[24] S. J. Reddi, Z. Charles, M. Zaheer, Z. Garrett, K. Rush, J. Konečný, S. Kumar, and H. B. McMahan, “Adaptive federated optimization,” in </w:t>
      </w:r>
      <w:r>
        <w:rPr>
          <w:rFonts w:ascii="Cambria" w:hAnsi="Cambria" w:eastAsia="Cambria"/>
          <w:b w:val="0"/>
          <w:i/>
          <w:color w:val="222222"/>
          <w:sz w:val="17"/>
        </w:rPr>
        <w:t>International Conference on Learning Representations (ICLR)</w:t>
      </w:r>
      <w:r>
        <w:rPr>
          <w:rFonts w:ascii="Cambria" w:hAnsi="Cambria" w:eastAsia="Cambria"/>
          <w:b w:val="0"/>
          <w:i w:val="0"/>
          <w:color w:val="222222"/>
          <w:sz w:val="17"/>
        </w:rPr>
        <w:t>, 2021.</w:t>
      </w:r>
    </w:p>
    <w:p>
      <w:pPr>
        <w:spacing w:after="60" w:line="240" w:lineRule="auto"/>
        <w:ind w:left="389" w:hanging="389"/>
        <w:jc w:val="both"/>
      </w:pPr>
      <w:r>
        <w:rPr>
          <w:rFonts w:ascii="Cambria" w:hAnsi="Cambria" w:eastAsia="Cambria"/>
          <w:b w:val="0"/>
          <w:i w:val="0"/>
          <w:color w:val="222222"/>
          <w:sz w:val="17"/>
        </w:rPr>
        <w:t xml:space="preserve">[25] J. Konečný, H. B. McMahan, D. Ramage, and P. Richtárik, “Federated optimization: Distributed machine learning for on-device intelligence,” </w:t>
      </w:r>
      <w:r>
        <w:rPr>
          <w:rFonts w:ascii="Cambria" w:hAnsi="Cambria" w:eastAsia="Cambria"/>
          <w:b w:val="0"/>
          <w:i/>
          <w:color w:val="222222"/>
          <w:sz w:val="17"/>
        </w:rPr>
        <w:t>arXiv:1610.02527</w:t>
      </w:r>
      <w:r>
        <w:rPr>
          <w:rFonts w:ascii="Cambria" w:hAnsi="Cambria" w:eastAsia="Cambria"/>
          <w:b w:val="0"/>
          <w:i w:val="0"/>
          <w:color w:val="222222"/>
          <w:sz w:val="17"/>
        </w:rPr>
        <w:t>, 2016.</w:t>
      </w:r>
    </w:p>
    <w:p>
      <w:pPr>
        <w:spacing w:after="60" w:line="240" w:lineRule="auto"/>
        <w:ind w:left="389" w:hanging="389"/>
        <w:jc w:val="both"/>
      </w:pPr>
      <w:r>
        <w:rPr>
          <w:rFonts w:ascii="Cambria" w:hAnsi="Cambria" w:eastAsia="Cambria"/>
          <w:b w:val="0"/>
          <w:i w:val="0"/>
          <w:color w:val="222222"/>
          <w:sz w:val="17"/>
        </w:rPr>
        <w:t xml:space="preserve">[26] I. Mironov, “Rényi differential privacy,” in </w:t>
      </w:r>
      <w:r>
        <w:rPr>
          <w:rFonts w:ascii="Cambria" w:hAnsi="Cambria" w:eastAsia="Cambria"/>
          <w:b w:val="0"/>
          <w:i/>
          <w:color w:val="222222"/>
          <w:sz w:val="17"/>
        </w:rPr>
        <w:t>Proceedings of the IEEE 30th Computer Security Foundations Symposium (CSF)</w:t>
      </w:r>
      <w:r>
        <w:rPr>
          <w:rFonts w:ascii="Cambria" w:hAnsi="Cambria" w:eastAsia="Cambria"/>
          <w:b w:val="0"/>
          <w:i w:val="0"/>
          <w:color w:val="222222"/>
          <w:sz w:val="17"/>
        </w:rPr>
        <w:t>, 2017, pp. 263–275.</w:t>
      </w:r>
    </w:p>
    <w:p>
      <w:pPr>
        <w:pStyle w:val="Heading1"/>
        <w:pBdr>
          <w:bottom w:val="single" w:sz="8" w:space="2" w:color="D9E2F3"/>
        </w:pBdr>
      </w:pPr>
      <w:r>
        <w:rPr>
          <w:rFonts w:ascii="Cambria" w:hAnsi="Cambria" w:eastAsia="Cambria"/>
          <w:b/>
          <w:i w:val="0"/>
          <w:color w:val="1F3864"/>
          <w:sz w:val="26"/>
        </w:rPr>
        <w:t>Appendix A. Quick-Mode Configuration</w:t>
      </w:r>
    </w:p>
    <w:p>
      <w:pPr>
        <w:keepNext/>
        <w:spacing w:before="140" w:after="60" w:line="240" w:lineRule="auto"/>
        <w:jc w:val="left"/>
      </w:pPr>
      <w:r>
        <w:rPr>
          <w:rFonts w:ascii="Cambria" w:hAnsi="Cambria" w:eastAsia="Cambria"/>
          <w:b/>
          <w:i w:val="0"/>
          <w:color w:val="1F3864"/>
          <w:sz w:val="18"/>
        </w:rPr>
        <w:t>Table A1. Configuration of the reported quick-mode suite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4110"/>
        <w:gridCol w:w="5768"/>
      </w:tblGrid>
      <w:tr>
        <w:trPr>
          <w:tblHeader w:val="true"/>
          <w:cantSplit/>
        </w:trPr>
        <w:tc>
          <w:tcPr>
            <w:tcW w:type="dxa" w:w="4110"/>
            <w:vAlign w:val="center"/>
            <w:shd w:val="clear" w:color="auto" w:fill="1F3864"/>
          </w:tcPr>
          <w:p>
            <w:pPr>
              <w:spacing w:after="0" w:line="240" w:lineRule="auto"/>
              <w:jc w:val="left"/>
            </w:pPr>
            <w:r>
              <w:rPr>
                <w:rFonts w:ascii="Cambria" w:hAnsi="Cambria" w:eastAsia="Cambria"/>
                <w:b/>
                <w:i w:val="0"/>
                <w:color w:val="FFFFFF"/>
                <w:sz w:val="16"/>
              </w:rPr>
              <w:t>Parameter</w:t>
            </w:r>
          </w:p>
        </w:tc>
        <w:tc>
          <w:tcPr>
            <w:tcW w:type="dxa" w:w="5768"/>
            <w:vAlign w:val="center"/>
            <w:shd w:val="clear" w:color="auto" w:fill="1F3864"/>
          </w:tcPr>
          <w:p>
            <w:pPr>
              <w:spacing w:after="0" w:line="240" w:lineRule="auto"/>
              <w:jc w:val="center"/>
            </w:pPr>
            <w:r>
              <w:rPr>
                <w:rFonts w:ascii="Cambria" w:hAnsi="Cambria" w:eastAsia="Cambria"/>
                <w:b/>
                <w:i w:val="0"/>
                <w:color w:val="FFFFFF"/>
                <w:sz w:val="16"/>
              </w:rPr>
              <w:t>Value</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Data source</w:t>
            </w:r>
          </w:p>
        </w:tc>
        <w:tc>
          <w:tcPr>
            <w:tcW w:type="dxa" w:w="5768"/>
            <w:vAlign w:val="center"/>
          </w:tcPr>
          <w:p>
            <w:pPr>
              <w:spacing w:after="0" w:line="240" w:lineRule="auto"/>
              <w:jc w:val="left"/>
            </w:pPr>
            <w:r>
              <w:rPr>
                <w:rFonts w:ascii="Cambria" w:hAnsi="Cambria" w:eastAsia="Cambria"/>
                <w:b w:val="0"/>
                <w:i w:val="0"/>
                <w:color w:val="222222"/>
                <w:sz w:val="16"/>
              </w:rPr>
              <w:t>Synthetic generator; 240 consumers; 180 days; 48 intervals/day</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Split</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156 train / 36 validation / 48 test consumers</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Window</w:t>
            </w:r>
          </w:p>
        </w:tc>
        <w:tc>
          <w:tcPr>
            <w:tcW w:type="dxa" w:w="5768"/>
            <w:vAlign w:val="center"/>
          </w:tcPr>
          <w:p>
            <w:pPr>
              <w:spacing w:after="0" w:line="240" w:lineRule="auto"/>
              <w:jc w:val="left"/>
            </w:pPr>
            <w:r>
              <w:rPr>
                <w:rFonts w:ascii="Cambria" w:hAnsi="Cambria" w:eastAsia="Cambria"/>
                <w:b w:val="0"/>
                <w:i w:val="0"/>
                <w:color w:val="222222"/>
                <w:sz w:val="16"/>
              </w:rPr>
              <w:t>14 days; stride 3 days; 56 windows per consumer</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Features</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133 (112 block means + 21 engineered)</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Model</w:t>
            </w:r>
          </w:p>
        </w:tc>
        <w:tc>
          <w:tcPr>
            <w:tcW w:type="dxa" w:w="5768"/>
            <w:vAlign w:val="center"/>
          </w:tcPr>
          <w:p>
            <w:pPr>
              <w:spacing w:after="0" w:line="240" w:lineRule="auto"/>
              <w:jc w:val="left"/>
            </w:pPr>
            <w:r>
              <w:rPr>
                <w:rFonts w:ascii="Cambria" w:hAnsi="Cambria" w:eastAsia="Cambria"/>
                <w:b w:val="0"/>
                <w:i w:val="0"/>
                <w:color w:val="222222"/>
                <w:sz w:val="16"/>
              </w:rPr>
              <w:t>MLP 133→64→32→1; dropout 0.2; 10,689 parameters</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Loss</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Class-weighted BCE; weights 0.544 and 6.187</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Clients</w:t>
            </w:r>
          </w:p>
        </w:tc>
        <w:tc>
          <w:tcPr>
            <w:tcW w:type="dxa" w:w="5768"/>
            <w:vAlign w:val="center"/>
          </w:tcPr>
          <w:p>
            <w:pPr>
              <w:spacing w:after="0" w:line="240" w:lineRule="auto"/>
              <w:jc w:val="left"/>
            </w:pPr>
            <w:r>
              <w:rPr>
                <w:rFonts w:ascii="Cambria" w:hAnsi="Cambria" w:eastAsia="Cambria"/>
                <w:b w:val="0"/>
                <w:i w:val="0"/>
                <w:color w:val="222222"/>
                <w:sz w:val="16"/>
              </w:rPr>
              <w:t>5; Dirichlet α = 0.5; quantity skew 0.6; full participation</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Federated schedule</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8 rounds; 2 local epochs; batch 128; local validation 15%</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Optimizer</w:t>
            </w:r>
          </w:p>
        </w:tc>
        <w:tc>
          <w:tcPr>
            <w:tcW w:type="dxa" w:w="5768"/>
            <w:vAlign w:val="center"/>
          </w:tcPr>
          <w:p>
            <w:pPr>
              <w:spacing w:after="0" w:line="240" w:lineRule="auto"/>
              <w:jc w:val="left"/>
            </w:pPr>
            <w:r>
              <w:rPr>
                <w:rFonts w:ascii="Cambria" w:hAnsi="Cambria" w:eastAsia="Cambria"/>
                <w:b w:val="0"/>
                <w:i w:val="0"/>
                <w:color w:val="222222"/>
                <w:sz w:val="16"/>
              </w:rPr>
              <w:t>Adam; learning rate 0.001; weight decay 0.0001</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Privacy</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L2 clip C = 1.0; Gaussian σ = 0.001; δ = 10⁻⁵; secure aggregation simulated and disabled</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Compression</w:t>
            </w:r>
          </w:p>
        </w:tc>
        <w:tc>
          <w:tcPr>
            <w:tcW w:type="dxa" w:w="5768"/>
            <w:vAlign w:val="center"/>
          </w:tcPr>
          <w:p>
            <w:pPr>
              <w:spacing w:after="0" w:line="240" w:lineRule="auto"/>
              <w:jc w:val="left"/>
            </w:pPr>
            <w:r>
              <w:rPr>
                <w:rFonts w:ascii="Cambria" w:hAnsi="Cambria" w:eastAsia="Cambria"/>
                <w:b w:val="0"/>
                <w:i w:val="0"/>
                <w:color w:val="222222"/>
                <w:sz w:val="16"/>
              </w:rPr>
              <w:t>Dense int8 for uploads and broadcasts; top-k 20% in sweep</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Aggregation</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α = 1.0; β = 0.5; γ = 0.5; quality floor 0.1; λ = 0.2; minimum weight 0.01; robust clip of normalized weights at 3× the mean</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Detection</w:t>
            </w:r>
          </w:p>
        </w:tc>
        <w:tc>
          <w:tcPr>
            <w:tcW w:type="dxa" w:w="5768"/>
            <w:vAlign w:val="center"/>
          </w:tcPr>
          <w:p>
            <w:pPr>
              <w:spacing w:after="0" w:line="240" w:lineRule="auto"/>
              <w:jc w:val="left"/>
            </w:pPr>
            <w:r>
              <w:rPr>
                <w:rFonts w:ascii="Cambria" w:hAnsi="Cambria" w:eastAsia="Cambria"/>
                <w:b w:val="0"/>
                <w:i w:val="0"/>
                <w:color w:val="222222"/>
                <w:sz w:val="16"/>
              </w:rPr>
              <w:t>Validation F1 grid 0.05–0.95; uncertainty margin 0.15; consumer mean-probability threshold 0.5</w:t>
            </w:r>
          </w:p>
        </w:tc>
      </w:tr>
      <w:tr>
        <w:trPr>
          <w:cantSplit/>
        </w:trPr>
        <w:tc>
          <w:tcPr>
            <w:tcW w:type="dxa" w:w="4110"/>
            <w:vAlign w:val="center"/>
            <w:shd w:val="clear" w:color="auto" w:fill="F2F5F9"/>
          </w:tcPr>
          <w:p>
            <w:pPr>
              <w:spacing w:after="0" w:line="240" w:lineRule="auto"/>
              <w:jc w:val="left"/>
            </w:pPr>
            <w:r>
              <w:rPr>
                <w:rFonts w:ascii="Cambria" w:hAnsi="Cambria" w:eastAsia="Cambria"/>
                <w:b w:val="0"/>
                <w:i w:val="0"/>
                <w:color w:val="222222"/>
                <w:sz w:val="16"/>
              </w:rPr>
              <w:t>Explainability</w:t>
            </w:r>
          </w:p>
        </w:tc>
        <w:tc>
          <w:tcPr>
            <w:tcW w:type="dxa" w:w="5768"/>
            <w:vAlign w:val="center"/>
            <w:shd w:val="clear" w:color="auto" w:fill="F2F5F9"/>
          </w:tcPr>
          <w:p>
            <w:pPr>
              <w:spacing w:after="0" w:line="240" w:lineRule="auto"/>
              <w:jc w:val="left"/>
            </w:pPr>
            <w:r>
              <w:rPr>
                <w:rFonts w:ascii="Cambria" w:hAnsi="Cambria" w:eastAsia="Cambria"/>
                <w:b w:val="0"/>
                <w:i w:val="0"/>
                <w:color w:val="222222"/>
                <w:sz w:val="16"/>
              </w:rPr>
              <w:t>SHAP 40 samples / 30 background / 100 nsamples; permutation 5 repeats over 1,500 rows; 10 local explanations</w:t>
            </w:r>
          </w:p>
        </w:tc>
      </w:tr>
      <w:tr>
        <w:trPr>
          <w:cantSplit/>
        </w:trPr>
        <w:tc>
          <w:tcPr>
            <w:tcW w:type="dxa" w:w="4110"/>
            <w:vAlign w:val="center"/>
          </w:tcPr>
          <w:p>
            <w:pPr>
              <w:spacing w:after="0" w:line="240" w:lineRule="auto"/>
              <w:jc w:val="left"/>
            </w:pPr>
            <w:r>
              <w:rPr>
                <w:rFonts w:ascii="Cambria" w:hAnsi="Cambria" w:eastAsia="Cambria"/>
                <w:b w:val="0"/>
                <w:i w:val="0"/>
                <w:color w:val="222222"/>
                <w:sz w:val="16"/>
              </w:rPr>
              <w:t>Environment</w:t>
            </w:r>
          </w:p>
        </w:tc>
        <w:tc>
          <w:tcPr>
            <w:tcW w:type="dxa" w:w="5768"/>
            <w:vAlign w:val="center"/>
          </w:tcPr>
          <w:p>
            <w:pPr>
              <w:spacing w:after="0" w:line="240" w:lineRule="auto"/>
              <w:jc w:val="left"/>
            </w:pPr>
            <w:r>
              <w:rPr>
                <w:rFonts w:ascii="Cambria" w:hAnsi="Cambria" w:eastAsia="Cambria"/>
                <w:b w:val="0"/>
                <w:i w:val="0"/>
                <w:color w:val="222222"/>
                <w:sz w:val="16"/>
              </w:rPr>
              <w:t>Python 3.14.5; Windows 11; CPU-only; 10 physical / 12 logical cores; 15.72 GB RAM; PyTorch 2.14.1+cpu</w:t>
            </w:r>
          </w:p>
        </w:tc>
      </w:tr>
    </w:tbl>
    <w:p>
      <w:pPr>
        <w:spacing w:after="20"/>
      </w:pPr>
    </w:p>
    <w:p>
      <w:pPr>
        <w:pStyle w:val="Heading1"/>
        <w:pBdr>
          <w:bottom w:val="single" w:sz="8" w:space="2" w:color="D9E2F3"/>
        </w:pBdr>
      </w:pPr>
      <w:r>
        <w:rPr>
          <w:rFonts w:ascii="Cambria" w:hAnsi="Cambria" w:eastAsia="Cambria"/>
          <w:b/>
          <w:i w:val="0"/>
          <w:color w:val="1F3864"/>
          <w:sz w:val="26"/>
        </w:rPr>
        <w:t>Appendix B. Verification Evidence</w:t>
      </w:r>
    </w:p>
    <w:p>
      <w:pPr>
        <w:keepNext/>
        <w:spacing w:before="140" w:after="60" w:line="240" w:lineRule="auto"/>
        <w:jc w:val="left"/>
      </w:pPr>
      <w:r>
        <w:rPr>
          <w:rFonts w:ascii="Cambria" w:hAnsi="Cambria" w:eastAsia="Cambria"/>
          <w:b/>
          <w:i w:val="0"/>
          <w:color w:val="1F3864"/>
          <w:sz w:val="18"/>
        </w:rPr>
        <w:t>Table B1. Validation evidence for the reported artifacts (SYNTHETIC DEMO DATA).</w:t>
      </w:r>
    </w:p>
    <w:tbl>
      <w:tblPr>
        <w:tblStyle w:val="TableGrid"/>
        <w:tblW w:type="auto" w:w="0"/>
        <w:jc w:val="center"/>
        <w:tblLayout w:type="fixed"/>
        <w:tblLook w:firstColumn="1" w:firstRow="1" w:lastColumn="0" w:lastRow="0" w:noHBand="0" w:noVBand="1" w:val="04A0"/>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CellMar>
          <w:top w:w="28" w:type="dxa"/>
          <w:start w:w="52" w:type="dxa"/>
          <w:bottom w:w="28" w:type="dxa"/>
          <w:end w:w="52" w:type="dxa"/>
        </w:tblCellMar>
      </w:tblPr>
      <w:tblGrid>
        <w:gridCol w:w="4939"/>
        <w:gridCol w:w="4939"/>
      </w:tblGrid>
      <w:tr>
        <w:trPr>
          <w:tblHeader w:val="true"/>
          <w:cantSplit/>
        </w:trPr>
        <w:tc>
          <w:tcPr>
            <w:tcW w:type="dxa" w:w="4939"/>
            <w:vAlign w:val="center"/>
            <w:shd w:val="clear" w:color="auto" w:fill="1F3864"/>
          </w:tcPr>
          <w:p>
            <w:pPr>
              <w:spacing w:after="0" w:line="240" w:lineRule="auto"/>
              <w:jc w:val="left"/>
            </w:pPr>
            <w:r>
              <w:rPr>
                <w:rFonts w:ascii="Cambria" w:hAnsi="Cambria" w:eastAsia="Cambria"/>
                <w:b/>
                <w:i w:val="0"/>
                <w:color w:val="FFFFFF"/>
                <w:sz w:val="16"/>
              </w:rPr>
              <w:t>Check</w:t>
            </w:r>
          </w:p>
        </w:tc>
        <w:tc>
          <w:tcPr>
            <w:tcW w:type="dxa" w:w="4939"/>
            <w:vAlign w:val="center"/>
            <w:shd w:val="clear" w:color="auto" w:fill="1F3864"/>
          </w:tcPr>
          <w:p>
            <w:pPr>
              <w:spacing w:after="0" w:line="240" w:lineRule="auto"/>
              <w:jc w:val="center"/>
            </w:pPr>
            <w:r>
              <w:rPr>
                <w:rFonts w:ascii="Cambria" w:hAnsi="Cambria" w:eastAsia="Cambria"/>
                <w:b/>
                <w:i w:val="0"/>
                <w:color w:val="FFFFFF"/>
                <w:sz w:val="16"/>
              </w:rPr>
              <w:t>Result</w:t>
            </w:r>
          </w:p>
        </w:tc>
      </w:tr>
      <w:tr>
        <w:trPr>
          <w:cantSplit/>
        </w:trPr>
        <w:tc>
          <w:tcPr>
            <w:tcW w:type="dxa" w:w="4939"/>
            <w:vAlign w:val="center"/>
          </w:tcPr>
          <w:p>
            <w:pPr>
              <w:spacing w:after="0" w:line="240" w:lineRule="auto"/>
              <w:jc w:val="left"/>
            </w:pPr>
            <w:r>
              <w:rPr>
                <w:rFonts w:ascii="Cambria" w:hAnsi="Cambria" w:eastAsia="Cambria"/>
                <w:b w:val="0"/>
                <w:i w:val="0"/>
                <w:color w:val="222222"/>
                <w:sz w:val="16"/>
              </w:rPr>
              <w:t>Unit and integration tests</w:t>
            </w:r>
          </w:p>
        </w:tc>
        <w:tc>
          <w:tcPr>
            <w:tcW w:type="dxa" w:w="4939"/>
            <w:vAlign w:val="center"/>
          </w:tcPr>
          <w:p>
            <w:pPr>
              <w:spacing w:after="0" w:line="240" w:lineRule="auto"/>
              <w:jc w:val="left"/>
            </w:pPr>
            <w:r>
              <w:rPr>
                <w:rFonts w:ascii="Cambria" w:hAnsi="Cambria" w:eastAsia="Cambria"/>
                <w:b w:val="0"/>
                <w:i w:val="0"/>
                <w:color w:val="222222"/>
                <w:sz w:val="16"/>
              </w:rPr>
              <w:t>33 passed</w:t>
            </w:r>
          </w:p>
        </w:tc>
      </w:tr>
      <w:tr>
        <w:trPr>
          <w:cantSplit/>
        </w:trPr>
        <w:tc>
          <w:tcPr>
            <w:tcW w:type="dxa" w:w="4939"/>
            <w:vAlign w:val="center"/>
            <w:shd w:val="clear" w:color="auto" w:fill="F2F5F9"/>
          </w:tcPr>
          <w:p>
            <w:pPr>
              <w:spacing w:after="0" w:line="240" w:lineRule="auto"/>
              <w:jc w:val="left"/>
            </w:pPr>
            <w:r>
              <w:rPr>
                <w:rFonts w:ascii="Cambria" w:hAnsi="Cambria" w:eastAsia="Cambria"/>
                <w:b w:val="0"/>
                <w:i w:val="0"/>
                <w:color w:val="222222"/>
                <w:sz w:val="16"/>
              </w:rPr>
              <w:t>Pipeline checks</w:t>
            </w:r>
          </w:p>
        </w:tc>
        <w:tc>
          <w:tcPr>
            <w:tcW w:type="dxa" w:w="4939"/>
            <w:vAlign w:val="center"/>
            <w:shd w:val="clear" w:color="auto" w:fill="F2F5F9"/>
          </w:tcPr>
          <w:p>
            <w:pPr>
              <w:spacing w:after="0" w:line="240" w:lineRule="auto"/>
              <w:jc w:val="left"/>
            </w:pPr>
            <w:r>
              <w:rPr>
                <w:rFonts w:ascii="Cambria" w:hAnsi="Cambria" w:eastAsia="Cambria"/>
                <w:b w:val="0"/>
                <w:i w:val="0"/>
                <w:color w:val="222222"/>
                <w:sz w:val="16"/>
              </w:rPr>
              <w:t>12 PASS; 1 WARNING (synthetic data expected); 0 FAIL</w:t>
            </w:r>
          </w:p>
        </w:tc>
      </w:tr>
      <w:tr>
        <w:trPr>
          <w:cantSplit/>
        </w:trPr>
        <w:tc>
          <w:tcPr>
            <w:tcW w:type="dxa" w:w="4939"/>
            <w:vAlign w:val="center"/>
          </w:tcPr>
          <w:p>
            <w:pPr>
              <w:spacing w:after="0" w:line="240" w:lineRule="auto"/>
              <w:jc w:val="left"/>
            </w:pPr>
            <w:r>
              <w:rPr>
                <w:rFonts w:ascii="Cambria" w:hAnsi="Cambria" w:eastAsia="Cambria"/>
                <w:b w:val="0"/>
                <w:i w:val="0"/>
                <w:color w:val="222222"/>
                <w:sz w:val="16"/>
              </w:rPr>
              <w:t>Dashboard</w:t>
            </w:r>
          </w:p>
        </w:tc>
        <w:tc>
          <w:tcPr>
            <w:tcW w:type="dxa" w:w="4939"/>
            <w:vAlign w:val="center"/>
          </w:tcPr>
          <w:p>
            <w:pPr>
              <w:spacing w:after="0" w:line="240" w:lineRule="auto"/>
              <w:jc w:val="left"/>
            </w:pPr>
            <w:r>
              <w:rPr>
                <w:rFonts w:ascii="Cambria" w:hAnsi="Cambria" w:eastAsia="Cambria"/>
                <w:b w:val="0"/>
                <w:i w:val="0"/>
                <w:color w:val="222222"/>
                <w:sz w:val="16"/>
              </w:rPr>
              <w:t>10 tabs; 0 exceptions</w:t>
            </w:r>
          </w:p>
        </w:tc>
      </w:tr>
      <w:tr>
        <w:trPr>
          <w:cantSplit/>
        </w:trPr>
        <w:tc>
          <w:tcPr>
            <w:tcW w:type="dxa" w:w="4939"/>
            <w:vAlign w:val="center"/>
            <w:shd w:val="clear" w:color="auto" w:fill="F2F5F9"/>
          </w:tcPr>
          <w:p>
            <w:pPr>
              <w:spacing w:after="0" w:line="240" w:lineRule="auto"/>
              <w:jc w:val="left"/>
            </w:pPr>
            <w:r>
              <w:rPr>
                <w:rFonts w:ascii="Cambria" w:hAnsi="Cambria" w:eastAsia="Cambria"/>
                <w:b w:val="0"/>
                <w:i w:val="0"/>
                <w:color w:val="222222"/>
                <w:sz w:val="16"/>
              </w:rPr>
              <w:t>Notebooks</w:t>
            </w:r>
          </w:p>
        </w:tc>
        <w:tc>
          <w:tcPr>
            <w:tcW w:type="dxa" w:w="4939"/>
            <w:vAlign w:val="center"/>
            <w:shd w:val="clear" w:color="auto" w:fill="F2F5F9"/>
          </w:tcPr>
          <w:p>
            <w:pPr>
              <w:spacing w:after="0" w:line="240" w:lineRule="auto"/>
              <w:jc w:val="left"/>
            </w:pPr>
            <w:r>
              <w:rPr>
                <w:rFonts w:ascii="Cambria" w:hAnsi="Cambria" w:eastAsia="Cambria"/>
                <w:b w:val="0"/>
                <w:i w:val="0"/>
                <w:color w:val="222222"/>
                <w:sz w:val="16"/>
              </w:rPr>
              <w:t>1–5 executed</w:t>
            </w:r>
          </w:p>
        </w:tc>
      </w:tr>
      <w:tr>
        <w:trPr>
          <w:cantSplit/>
        </w:trPr>
        <w:tc>
          <w:tcPr>
            <w:tcW w:type="dxa" w:w="4939"/>
            <w:vAlign w:val="center"/>
          </w:tcPr>
          <w:p>
            <w:pPr>
              <w:spacing w:after="0" w:line="240" w:lineRule="auto"/>
              <w:jc w:val="left"/>
            </w:pPr>
            <w:r>
              <w:rPr>
                <w:rFonts w:ascii="Cambria" w:hAnsi="Cambria" w:eastAsia="Cambria"/>
                <w:b w:val="0"/>
                <w:i w:val="0"/>
                <w:color w:val="222222"/>
                <w:sz w:val="16"/>
              </w:rPr>
              <w:t>Full mode</w:t>
            </w:r>
          </w:p>
        </w:tc>
        <w:tc>
          <w:tcPr>
            <w:tcW w:type="dxa" w:w="4939"/>
            <w:vAlign w:val="center"/>
          </w:tcPr>
          <w:p>
            <w:pPr>
              <w:spacing w:after="0" w:line="240" w:lineRule="auto"/>
              <w:jc w:val="left"/>
            </w:pPr>
            <w:r>
              <w:rPr>
                <w:rFonts w:ascii="Cambria" w:hAnsi="Cambria" w:eastAsia="Cambria"/>
                <w:b/>
                <w:i w:val="0"/>
                <w:color w:val="222222"/>
                <w:sz w:val="16"/>
              </w:rPr>
              <w:t>NOT RUN</w:t>
            </w:r>
          </w:p>
        </w:tc>
      </w:tr>
      <w:tr>
        <w:trPr>
          <w:cantSplit/>
        </w:trPr>
        <w:tc>
          <w:tcPr>
            <w:tcW w:type="dxa" w:w="4939"/>
            <w:vAlign w:val="center"/>
            <w:shd w:val="clear" w:color="auto" w:fill="F2F5F9"/>
          </w:tcPr>
          <w:p>
            <w:pPr>
              <w:spacing w:after="0" w:line="240" w:lineRule="auto"/>
              <w:jc w:val="left"/>
            </w:pPr>
            <w:r>
              <w:rPr>
                <w:rFonts w:ascii="Cambria" w:hAnsi="Cambria" w:eastAsia="Cambria"/>
                <w:b w:val="0"/>
                <w:i w:val="0"/>
                <w:color w:val="222222"/>
                <w:sz w:val="16"/>
              </w:rPr>
              <w:t>Real SGCC/IRISE data</w:t>
            </w:r>
          </w:p>
        </w:tc>
        <w:tc>
          <w:tcPr>
            <w:tcW w:type="dxa" w:w="4939"/>
            <w:vAlign w:val="center"/>
            <w:shd w:val="clear" w:color="auto" w:fill="F2F5F9"/>
          </w:tcPr>
          <w:p>
            <w:pPr>
              <w:spacing w:after="0" w:line="240" w:lineRule="auto"/>
              <w:jc w:val="left"/>
            </w:pPr>
            <w:r>
              <w:rPr>
                <w:rFonts w:ascii="Cambria" w:hAnsi="Cambria" w:eastAsia="Cambria"/>
                <w:b/>
                <w:i w:val="0"/>
                <w:color w:val="222222"/>
                <w:sz w:val="16"/>
              </w:rPr>
              <w:t>DATASET NOT CONFIGURED</w:t>
            </w:r>
          </w:p>
        </w:tc>
      </w:tr>
      <w:tr>
        <w:trPr>
          <w:cantSplit/>
        </w:trPr>
        <w:tc>
          <w:tcPr>
            <w:tcW w:type="dxa" w:w="4939"/>
            <w:vAlign w:val="center"/>
          </w:tcPr>
          <w:p>
            <w:pPr>
              <w:spacing w:after="0" w:line="240" w:lineRule="auto"/>
              <w:jc w:val="left"/>
            </w:pPr>
            <w:r>
              <w:rPr>
                <w:rFonts w:ascii="Cambria" w:hAnsi="Cambria" w:eastAsia="Cambria"/>
                <w:b w:val="0"/>
                <w:i w:val="0"/>
                <w:color w:val="222222"/>
                <w:sz w:val="16"/>
              </w:rPr>
              <w:t>Statistical significance</w:t>
            </w:r>
          </w:p>
        </w:tc>
        <w:tc>
          <w:tcPr>
            <w:tcW w:type="dxa" w:w="4939"/>
            <w:vAlign w:val="center"/>
          </w:tcPr>
          <w:p>
            <w:pPr>
              <w:spacing w:after="0" w:line="240" w:lineRule="auto"/>
              <w:jc w:val="left"/>
            </w:pPr>
            <w:r>
              <w:rPr>
                <w:rFonts w:ascii="Cambria" w:hAnsi="Cambria" w:eastAsia="Cambria"/>
                <w:b/>
                <w:i w:val="0"/>
                <w:color w:val="222222"/>
                <w:sz w:val="16"/>
              </w:rPr>
              <w:t>STATISTICAL TEST NOT RUN — fewer than 2 paired seeds</w:t>
            </w:r>
          </w:p>
        </w:tc>
      </w:tr>
      <w:tr>
        <w:trPr>
          <w:cantSplit/>
        </w:trPr>
        <w:tc>
          <w:tcPr>
            <w:tcW w:type="dxa" w:w="4939"/>
            <w:vAlign w:val="center"/>
            <w:shd w:val="clear" w:color="auto" w:fill="F2F5F9"/>
          </w:tcPr>
          <w:p>
            <w:pPr>
              <w:spacing w:after="0" w:line="240" w:lineRule="auto"/>
              <w:jc w:val="left"/>
            </w:pPr>
            <w:r>
              <w:rPr>
                <w:rFonts w:ascii="Cambria" w:hAnsi="Cambria" w:eastAsia="Cambria"/>
                <w:b w:val="0"/>
                <w:i w:val="0"/>
                <w:color w:val="222222"/>
                <w:sz w:val="16"/>
              </w:rPr>
              <w:t>Formal end-to-end DP</w:t>
            </w:r>
          </w:p>
        </w:tc>
        <w:tc>
          <w:tcPr>
            <w:tcW w:type="dxa" w:w="4939"/>
            <w:vAlign w:val="center"/>
            <w:shd w:val="clear" w:color="auto" w:fill="F2F5F9"/>
          </w:tcPr>
          <w:p>
            <w:pPr>
              <w:spacing w:after="0" w:line="240" w:lineRule="auto"/>
              <w:jc w:val="left"/>
            </w:pPr>
            <w:r>
              <w:rPr>
                <w:rFonts w:ascii="Cambria" w:hAnsi="Cambria" w:eastAsia="Cambria"/>
                <w:b/>
                <w:i w:val="0"/>
                <w:color w:val="222222"/>
                <w:sz w:val="16"/>
              </w:rPr>
              <w:t>NOT CLAIMED</w:t>
            </w:r>
          </w:p>
        </w:tc>
      </w:tr>
      <w:tr>
        <w:trPr>
          <w:cantSplit/>
        </w:trPr>
        <w:tc>
          <w:tcPr>
            <w:tcW w:type="dxa" w:w="4939"/>
            <w:vAlign w:val="center"/>
          </w:tcPr>
          <w:p>
            <w:pPr>
              <w:spacing w:after="0" w:line="240" w:lineRule="auto"/>
              <w:jc w:val="left"/>
            </w:pPr>
            <w:r>
              <w:rPr>
                <w:rFonts w:ascii="Cambria" w:hAnsi="Cambria" w:eastAsia="Cambria"/>
                <w:b w:val="0"/>
                <w:i w:val="0"/>
                <w:color w:val="222222"/>
                <w:sz w:val="16"/>
              </w:rPr>
              <w:t>Production secure aggregation</w:t>
            </w:r>
          </w:p>
        </w:tc>
        <w:tc>
          <w:tcPr>
            <w:tcW w:type="dxa" w:w="4939"/>
            <w:vAlign w:val="center"/>
          </w:tcPr>
          <w:p>
            <w:pPr>
              <w:spacing w:after="0" w:line="240" w:lineRule="auto"/>
              <w:jc w:val="left"/>
            </w:pPr>
            <w:r>
              <w:rPr>
                <w:rFonts w:ascii="Cambria" w:hAnsi="Cambria" w:eastAsia="Cambria"/>
                <w:b/>
                <w:i w:val="0"/>
                <w:color w:val="222222"/>
                <w:sz w:val="16"/>
              </w:rPr>
              <w:t>NOT CLAIMED</w:t>
            </w:r>
            <w:r>
              <w:rPr>
                <w:rFonts w:ascii="Cambria" w:hAnsi="Cambria" w:eastAsia="Cambria"/>
                <w:b w:val="0"/>
                <w:i w:val="0"/>
                <w:color w:val="222222"/>
                <w:sz w:val="16"/>
              </w:rPr>
              <w:t>; simulated and disabled</w:t>
            </w:r>
          </w:p>
        </w:tc>
      </w:tr>
      <w:tr>
        <w:trPr>
          <w:cantSplit/>
        </w:trPr>
        <w:tc>
          <w:tcPr>
            <w:tcW w:type="dxa" w:w="4939"/>
            <w:vAlign w:val="center"/>
            <w:shd w:val="clear" w:color="auto" w:fill="F2F5F9"/>
          </w:tcPr>
          <w:p>
            <w:pPr>
              <w:spacing w:after="0" w:line="240" w:lineRule="auto"/>
              <w:jc w:val="left"/>
            </w:pPr>
            <w:r>
              <w:rPr>
                <w:rFonts w:ascii="Cambria" w:hAnsi="Cambria" w:eastAsia="Cambria"/>
                <w:b w:val="0"/>
                <w:i w:val="0"/>
                <w:color w:val="222222"/>
                <w:sz w:val="16"/>
              </w:rPr>
              <w:t>Data status</w:t>
            </w:r>
          </w:p>
        </w:tc>
        <w:tc>
          <w:tcPr>
            <w:tcW w:type="dxa" w:w="4939"/>
            <w:vAlign w:val="center"/>
            <w:shd w:val="clear" w:color="auto" w:fill="F2F5F9"/>
          </w:tcPr>
          <w:p>
            <w:pPr>
              <w:spacing w:after="0" w:line="240" w:lineRule="auto"/>
              <w:jc w:val="left"/>
            </w:pPr>
            <w:r>
              <w:rPr>
                <w:rFonts w:ascii="Cambria" w:hAnsi="Cambria" w:eastAsia="Cambria"/>
                <w:b/>
                <w:i w:val="0"/>
                <w:color w:val="222222"/>
                <w:sz w:val="16"/>
              </w:rPr>
              <w:t>SYNTHETIC DEMO DATA</w:t>
            </w:r>
          </w:p>
        </w:tc>
      </w:tr>
    </w:tbl>
    <w:p>
      <w:pPr>
        <w:spacing w:after="20"/>
      </w:pPr>
    </w:p>
    <w:p>
      <w:pPr>
        <w:pStyle w:val="Heading1"/>
        <w:pBdr>
          <w:bottom w:val="single" w:sz="8" w:space="2" w:color="D9E2F3"/>
        </w:pBdr>
      </w:pPr>
      <w:r>
        <w:rPr>
          <w:rFonts w:ascii="Cambria" w:hAnsi="Cambria" w:eastAsia="Cambria"/>
          <w:b/>
          <w:i w:val="0"/>
          <w:color w:val="1F3864"/>
          <w:sz w:val="26"/>
        </w:rPr>
        <w:t>Appendix C. Reproducibility Checklist</w:t>
      </w:r>
    </w:p>
    <w:p>
      <w:pPr>
        <w:spacing w:after="60" w:line="259" w:lineRule="auto"/>
        <w:ind w:left="461" w:hanging="317"/>
      </w:pPr>
      <w:r>
        <w:rPr>
          <w:b w:val="0"/>
          <w:i w:val="0"/>
          <w:color w:val="2E5C8A"/>
          <w:sz w:val="20"/>
        </w:rPr>
        <w:t xml:space="preserve">1.  </w:t>
      </w:r>
      <w:r>
        <w:rPr>
          <w:rFonts w:ascii="Cambria" w:hAnsi="Cambria" w:eastAsia="Cambria"/>
          <w:b/>
          <w:i w:val="0"/>
          <w:color w:val="222222"/>
          <w:sz w:val="20"/>
        </w:rPr>
        <w:t>Configuration.</w:t>
      </w:r>
      <w:r>
        <w:rPr>
          <w:rFonts w:ascii="Cambria" w:hAnsi="Cambria" w:eastAsia="Cambria"/>
          <w:b w:val="0"/>
          <w:i w:val="0"/>
          <w:color w:val="222222"/>
          <w:sz w:val="20"/>
        </w:rPr>
        <w:t xml:space="preserve"> The quick-mode preset sets 240 consumers, 180 days, 5 clients, 8 rounds, and seed 42. The full-mode preset (600 consumers, 10 clients, 25 rounds, seeds 42/123/2026, 20-client scalability) is not executed.</w:t>
      </w:r>
    </w:p>
    <w:p>
      <w:pPr>
        <w:spacing w:after="60" w:line="259" w:lineRule="auto"/>
        <w:ind w:left="461" w:hanging="317"/>
      </w:pPr>
      <w:r>
        <w:rPr>
          <w:b w:val="0"/>
          <w:i w:val="0"/>
          <w:color w:val="2E5C8A"/>
          <w:sz w:val="20"/>
        </w:rPr>
        <w:t xml:space="preserve">2.  </w:t>
      </w:r>
      <w:r>
        <w:rPr>
          <w:rFonts w:ascii="Cambria" w:hAnsi="Cambria" w:eastAsia="Cambria"/>
          <w:b/>
          <w:i w:val="0"/>
          <w:color w:val="222222"/>
          <w:sz w:val="20"/>
        </w:rPr>
        <w:t>Data.</w:t>
      </w:r>
      <w:r>
        <w:rPr>
          <w:rFonts w:ascii="Cambria" w:hAnsi="Cambria" w:eastAsia="Cambria"/>
          <w:b w:val="0"/>
          <w:i w:val="0"/>
          <w:color w:val="222222"/>
          <w:sz w:val="20"/>
        </w:rPr>
        <w:t xml:space="preserve"> The synthetic generator is seeded and deterministic given the configuration. The final artifacts are labelled </w:t>
      </w:r>
      <w:r>
        <w:rPr>
          <w:rFonts w:ascii="Consolas" w:hAnsi="Consolas" w:eastAsia="Consolas"/>
          <w:b w:val="0"/>
          <w:i w:val="0"/>
          <w:color w:val="222222"/>
          <w:sz w:val="19"/>
        </w:rPr>
        <w:t>SYNTHETIC DEMO DATA</w:t>
      </w:r>
      <w:r>
        <w:rPr>
          <w:rFonts w:ascii="Cambria" w:hAnsi="Cambria" w:eastAsia="Cambria"/>
          <w:b w:val="0"/>
          <w:i w:val="0"/>
          <w:color w:val="222222"/>
          <w:sz w:val="20"/>
        </w:rPr>
        <w:t>.</w:t>
      </w:r>
    </w:p>
    <w:p>
      <w:pPr>
        <w:spacing w:after="60" w:line="259" w:lineRule="auto"/>
        <w:ind w:left="461" w:hanging="317"/>
      </w:pPr>
      <w:r>
        <w:rPr>
          <w:b w:val="0"/>
          <w:i w:val="0"/>
          <w:color w:val="2E5C8A"/>
          <w:sz w:val="20"/>
        </w:rPr>
        <w:t xml:space="preserve">3.  </w:t>
      </w:r>
      <w:r>
        <w:rPr>
          <w:rFonts w:ascii="Cambria" w:hAnsi="Cambria" w:eastAsia="Cambria"/>
          <w:b/>
          <w:i w:val="0"/>
          <w:color w:val="222222"/>
          <w:sz w:val="20"/>
        </w:rPr>
        <w:t>Splits.</w:t>
      </w:r>
      <w:r>
        <w:rPr>
          <w:rFonts w:ascii="Cambria" w:hAnsi="Cambria" w:eastAsia="Cambria"/>
          <w:b w:val="0"/>
          <w:i w:val="0"/>
          <w:color w:val="222222"/>
          <w:sz w:val="20"/>
        </w:rPr>
        <w:t xml:space="preserve"> Consumers are split before window construction. Scalers and outlier bounds are fit on training consumers only.</w:t>
      </w:r>
    </w:p>
    <w:p>
      <w:pPr>
        <w:spacing w:after="60" w:line="259" w:lineRule="auto"/>
        <w:ind w:left="461" w:hanging="317"/>
      </w:pPr>
      <w:r>
        <w:rPr>
          <w:b w:val="0"/>
          <w:i w:val="0"/>
          <w:color w:val="2E5C8A"/>
          <w:sz w:val="20"/>
        </w:rPr>
        <w:t xml:space="preserve">4.  </w:t>
      </w:r>
      <w:r>
        <w:rPr>
          <w:rFonts w:ascii="Cambria" w:hAnsi="Cambria" w:eastAsia="Cambria"/>
          <w:b/>
          <w:i w:val="0"/>
          <w:color w:val="222222"/>
          <w:sz w:val="20"/>
        </w:rPr>
        <w:t>Privacy.</w:t>
      </w:r>
      <w:r>
        <w:rPr>
          <w:rFonts w:ascii="Cambria" w:hAnsi="Cambria" w:eastAsia="Cambria"/>
          <w:b w:val="0"/>
          <w:i w:val="0"/>
          <w:color w:val="222222"/>
          <w:sz w:val="20"/>
        </w:rPr>
        <w:t xml:space="preserve"> The server receives only </w:t>
      </w:r>
      <w:r>
        <w:rPr>
          <w:rFonts w:ascii="Consolas" w:hAnsi="Consolas" w:eastAsia="Consolas"/>
          <w:b w:val="0"/>
          <w:i w:val="0"/>
          <w:color w:val="222222"/>
          <w:sz w:val="19"/>
        </w:rPr>
        <w:t>ClientUpdate</w:t>
      </w:r>
      <w:r>
        <w:rPr>
          <w:rFonts w:ascii="Cambria" w:hAnsi="Cambria" w:eastAsia="Cambria"/>
          <w:b w:val="0"/>
          <w:i w:val="0"/>
          <w:color w:val="222222"/>
          <w:sz w:val="20"/>
        </w:rPr>
        <w:t xml:space="preserve"> objects. Tests assert that raw windows, timestamps, and customer identifiers are not part of the update contract.</w:t>
      </w:r>
    </w:p>
    <w:p>
      <w:pPr>
        <w:spacing w:after="60" w:line="259" w:lineRule="auto"/>
        <w:ind w:left="461" w:hanging="317"/>
      </w:pPr>
      <w:r>
        <w:rPr>
          <w:b w:val="0"/>
          <w:i w:val="0"/>
          <w:color w:val="2E5C8A"/>
          <w:sz w:val="20"/>
        </w:rPr>
        <w:t xml:space="preserve">5.  </w:t>
      </w:r>
      <w:r>
        <w:rPr>
          <w:rFonts w:ascii="Cambria" w:hAnsi="Cambria" w:eastAsia="Cambria"/>
          <w:b/>
          <w:i w:val="0"/>
          <w:color w:val="222222"/>
          <w:sz w:val="20"/>
        </w:rPr>
        <w:t>Communication.</w:t>
      </w:r>
      <w:r>
        <w:rPr>
          <w:rFonts w:ascii="Cambria" w:hAnsi="Cambria" w:eastAsia="Cambria"/>
          <w:b w:val="0"/>
          <w:i w:val="0"/>
          <w:color w:val="222222"/>
          <w:sz w:val="20"/>
        </w:rPr>
        <w:t xml:space="preserve"> Byte counts are measured from serialized payloads, including headers and top-k indices.</w:t>
      </w:r>
    </w:p>
    <w:p>
      <w:pPr>
        <w:spacing w:after="60" w:line="259" w:lineRule="auto"/>
        <w:ind w:left="461" w:hanging="317"/>
      </w:pPr>
      <w:r>
        <w:rPr>
          <w:b w:val="0"/>
          <w:i w:val="0"/>
          <w:color w:val="2E5C8A"/>
          <w:sz w:val="20"/>
        </w:rPr>
        <w:t xml:space="preserve">6.  </w:t>
      </w:r>
      <w:r>
        <w:rPr>
          <w:rFonts w:ascii="Cambria" w:hAnsi="Cambria" w:eastAsia="Cambria"/>
          <w:b/>
          <w:i w:val="0"/>
          <w:color w:val="222222"/>
          <w:sz w:val="20"/>
        </w:rPr>
        <w:t>Evaluation.</w:t>
      </w:r>
      <w:r>
        <w:rPr>
          <w:rFonts w:ascii="Cambria" w:hAnsi="Cambria" w:eastAsia="Cambria"/>
          <w:b w:val="0"/>
          <w:i w:val="0"/>
          <w:color w:val="222222"/>
          <w:sz w:val="20"/>
        </w:rPr>
        <w:t xml:space="preserve"> Window thresholds are tuned on the server validation split and frozen before test evaluation. Consumer-level metrics use the mean window probability and a fixed 0.5 threshold.</w:t>
      </w:r>
    </w:p>
    <w:p>
      <w:pPr>
        <w:spacing w:after="60" w:line="259" w:lineRule="auto"/>
        <w:ind w:left="461" w:hanging="317"/>
      </w:pPr>
      <w:r>
        <w:rPr>
          <w:b w:val="0"/>
          <w:i w:val="0"/>
          <w:color w:val="2E5C8A"/>
          <w:sz w:val="20"/>
        </w:rPr>
        <w:t xml:space="preserve">7.  </w:t>
      </w:r>
      <w:r>
        <w:rPr>
          <w:rFonts w:ascii="Cambria" w:hAnsi="Cambria" w:eastAsia="Cambria"/>
          <w:b/>
          <w:i w:val="0"/>
          <w:color w:val="222222"/>
          <w:sz w:val="20"/>
        </w:rPr>
        <w:t>Statistics.</w:t>
      </w:r>
      <w:r>
        <w:rPr>
          <w:rFonts w:ascii="Cambria" w:hAnsi="Cambria" w:eastAsia="Cambria"/>
          <w:b w:val="0"/>
          <w:i w:val="0"/>
          <w:color w:val="222222"/>
          <w:sz w:val="20"/>
        </w:rPr>
        <w:t xml:space="preserve"> One seed; no significance test. The reported differences are descriptive.</w:t>
      </w:r>
    </w:p>
    <w:p>
      <w:pPr>
        <w:spacing w:after="60" w:line="259" w:lineRule="auto"/>
        <w:ind w:left="461" w:hanging="317"/>
      </w:pPr>
      <w:r>
        <w:rPr>
          <w:b w:val="0"/>
          <w:i w:val="0"/>
          <w:color w:val="2E5C8A"/>
          <w:sz w:val="20"/>
        </w:rPr>
        <w:t xml:space="preserve">8.  </w:t>
      </w:r>
      <w:r>
        <w:rPr>
          <w:rFonts w:ascii="Cambria" w:hAnsi="Cambria" w:eastAsia="Cambria"/>
          <w:b/>
          <w:i w:val="0"/>
          <w:color w:val="222222"/>
          <w:sz w:val="20"/>
        </w:rPr>
        <w:t>Artifacts.</w:t>
      </w:r>
      <w:r>
        <w:rPr>
          <w:rFonts w:ascii="Cambria" w:hAnsi="Cambria" w:eastAsia="Cambria"/>
          <w:b w:val="0"/>
          <w:i w:val="0"/>
          <w:color w:val="222222"/>
          <w:sz w:val="20"/>
        </w:rPr>
        <w:t xml:space="preserve"> The authoritative summary is </w:t>
      </w:r>
      <w:r>
        <w:rPr>
          <w:rFonts w:ascii="Consolas" w:hAnsi="Consolas" w:eastAsia="Consolas"/>
          <w:b w:val="0"/>
          <w:i w:val="0"/>
          <w:color w:val="222222"/>
          <w:sz w:val="19"/>
        </w:rPr>
        <w:t>results/metrics/summary.json</w:t>
      </w:r>
      <w:r>
        <w:rPr>
          <w:rFonts w:ascii="Cambria" w:hAnsi="Cambria" w:eastAsia="Cambria"/>
          <w:b w:val="0"/>
          <w:i w:val="0"/>
          <w:color w:val="222222"/>
          <w:sz w:val="20"/>
        </w:rPr>
        <w:t xml:space="preserve">; the human-readable report is </w:t>
      </w:r>
      <w:r>
        <w:rPr>
          <w:rFonts w:ascii="Consolas" w:hAnsi="Consolas" w:eastAsia="Consolas"/>
          <w:b w:val="0"/>
          <w:i w:val="0"/>
          <w:color w:val="222222"/>
          <w:sz w:val="19"/>
        </w:rPr>
        <w:t>results/reports/final_experiment_report.md</w:t>
      </w:r>
      <w:r>
        <w:rPr>
          <w:rFonts w:ascii="Cambria" w:hAnsi="Cambria" w:eastAsia="Cambria"/>
          <w:b w:val="0"/>
          <w:i w:val="0"/>
          <w:color w:val="222222"/>
          <w:sz w:val="20"/>
        </w:rPr>
        <w:t xml:space="preserve">; the run directories are under </w:t>
      </w:r>
      <w:r>
        <w:rPr>
          <w:rFonts w:ascii="Consolas" w:hAnsi="Consolas" w:eastAsia="Consolas"/>
          <w:b w:val="0"/>
          <w:i w:val="0"/>
          <w:color w:val="222222"/>
          <w:sz w:val="19"/>
        </w:rPr>
        <w:t>results/raw/</w:t>
      </w:r>
      <w:r>
        <w:rPr>
          <w:rFonts w:ascii="Cambria" w:hAnsi="Cambria" w:eastAsia="Cambria"/>
          <w:b w:val="0"/>
          <w:i w:val="0"/>
          <w:color w:val="222222"/>
          <w:sz w:val="20"/>
        </w:rPr>
        <w:t>.</w:t>
      </w:r>
    </w:p>
    <w:p>
      <w:pPr>
        <w:spacing w:after="60" w:line="259" w:lineRule="auto"/>
        <w:ind w:left="461" w:hanging="317"/>
      </w:pPr>
      <w:r>
        <w:rPr>
          <w:b w:val="0"/>
          <w:i w:val="0"/>
          <w:color w:val="2E5C8A"/>
          <w:sz w:val="20"/>
        </w:rPr>
        <w:t xml:space="preserve">9.  </w:t>
      </w:r>
      <w:r>
        <w:rPr>
          <w:rFonts w:ascii="Cambria" w:hAnsi="Cambria" w:eastAsia="Cambria"/>
          <w:b/>
          <w:i w:val="0"/>
          <w:color w:val="222222"/>
          <w:sz w:val="20"/>
        </w:rPr>
        <w:t>Code checks.</w:t>
      </w:r>
      <w:r>
        <w:rPr>
          <w:rFonts w:ascii="Cambria" w:hAnsi="Cambria" w:eastAsia="Cambria"/>
          <w:b w:val="0"/>
          <w:i w:val="0"/>
          <w:color w:val="222222"/>
          <w:sz w:val="20"/>
        </w:rPr>
        <w:t xml:space="preserve"> </w:t>
      </w:r>
      <w:r>
        <w:rPr>
          <w:rFonts w:ascii="Consolas" w:hAnsi="Consolas" w:eastAsia="Consolas"/>
          <w:b w:val="0"/>
          <w:i w:val="0"/>
          <w:color w:val="222222"/>
          <w:sz w:val="19"/>
        </w:rPr>
        <w:t>python -m pytest tests -q</w:t>
      </w:r>
      <w:r>
        <w:rPr>
          <w:rFonts w:ascii="Cambria" w:hAnsi="Cambria" w:eastAsia="Cambria"/>
          <w:b w:val="0"/>
          <w:i w:val="0"/>
          <w:color w:val="222222"/>
          <w:sz w:val="20"/>
        </w:rPr>
        <w:t xml:space="preserve"> passes 33 tests; </w:t>
      </w:r>
      <w:r>
        <w:rPr>
          <w:rFonts w:ascii="Consolas" w:hAnsi="Consolas" w:eastAsia="Consolas"/>
          <w:b w:val="0"/>
          <w:i w:val="0"/>
          <w:color w:val="222222"/>
          <w:sz w:val="19"/>
        </w:rPr>
        <w:t>python scripts/run_all_checks.py</w:t>
      </w:r>
      <w:r>
        <w:rPr>
          <w:rFonts w:ascii="Cambria" w:hAnsi="Cambria" w:eastAsia="Cambria"/>
          <w:b w:val="0"/>
          <w:i w:val="0"/>
          <w:color w:val="222222"/>
          <w:sz w:val="20"/>
        </w:rPr>
        <w:t xml:space="preserve"> reports 12 PASS, 1 WARNING, and 0 FAIL.</w:t>
      </w:r>
    </w:p>
    <w:p>
      <w:pPr>
        <w:spacing w:after="60" w:line="259" w:lineRule="auto"/>
        <w:ind w:left="461" w:hanging="317"/>
      </w:pPr>
      <w:r>
        <w:rPr>
          <w:b w:val="0"/>
          <w:i w:val="0"/>
          <w:color w:val="2E5C8A"/>
          <w:sz w:val="20"/>
        </w:rPr>
        <w:t xml:space="preserve">10.  </w:t>
      </w:r>
      <w:r>
        <w:rPr>
          <w:rFonts w:ascii="Cambria" w:hAnsi="Cambria" w:eastAsia="Cambria"/>
          <w:b/>
          <w:i w:val="0"/>
          <w:color w:val="222222"/>
          <w:sz w:val="20"/>
        </w:rPr>
        <w:t>Scope.</w:t>
      </w:r>
      <w:r>
        <w:rPr>
          <w:rFonts w:ascii="Cambria" w:hAnsi="Cambria" w:eastAsia="Cambria"/>
          <w:b w:val="0"/>
          <w:i w:val="0"/>
          <w:color w:val="222222"/>
          <w:sz w:val="20"/>
        </w:rPr>
        <w:t xml:space="preserve"> Full mode and real-data execution are not part of this manuscript. The paper’s claims are limited to the synthetic quick-mode results reported above.</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b w:val="0"/>
        <w:i w:val="0"/>
        <w:color w:val="595959"/>
        <w:sz w:val="15"/>
      </w:rPr>
      <w:t xml:space="preserve">Page </w:t>
    </w:r>
    <w:fldSimple w:instr="PAGE">
      <w:r>
        <w:t>1</w:t>
      </w:r>
    </w:fldSimple>
    <w:r>
      <w:rPr>
        <w:rFonts w:ascii="Cambria" w:hAnsi="Cambria" w:eastAsia="Cambria"/>
        <w:b w:val="0"/>
        <w:i w:val="0"/>
        <w:color w:val="595959"/>
        <w:sz w:val="15"/>
      </w:rP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78" w:val="right"/>
      </w:tabs>
      <w:pBdr>
        <w:bottom w:val="single" w:sz="6" w:space="2" w:color="D9E2F3"/>
      </w:pBdr>
    </w:pPr>
    <w:r>
      <w:rPr>
        <w:rFonts w:ascii="Cambria" w:hAnsi="Cambria" w:eastAsia="Cambria"/>
        <w:b/>
        <w:i w:val="0"/>
        <w:color w:val="B03A2E"/>
        <w:sz w:val="14"/>
      </w:rPr>
      <w:t>SYNTHETIC DEMO DATA</w:t>
    </w:r>
    <w:r>
      <w:rPr>
        <w:rFonts w:ascii="Cambria" w:hAnsi="Cambria" w:eastAsia="Cambria"/>
        <w:b w:val="0"/>
        <w:i w:val="0"/>
        <w:color w:val="7F7F7F"/>
        <w:sz w:val="14"/>
      </w:rPr>
      <w:tab/>
      <w:t>PowerShield-FL — Conference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mbria" w:hAnsi="Cambria" w:eastAsia="Cambria"/>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mbria" w:hAnsi="Cambria" w:eastAsia="Cambria"/>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mbria" w:hAnsi="Cambria" w:eastAsia="Cambria"/>
      <w:b/>
      <w:bCs/>
      <w:color w:val="2E5C8A"/>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mbria" w:hAnsi="Cambria" w:eastAsia="Cambria"/>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PowerShield-FL: A Lightweight, Privacy-Aware, and Communication-Efficient Federated Learning Framework for Electricity-Theft Detection</dc:title>
  <dc:subject>Conference paper draft on synthetic electricity-theft detection</dc:subject>
  <dc:creator>Author Name (placeholder)</dc:creator>
  <cp:keywords>federated learning; electricity theft; privacy; communication efficiency; non-IID</cp:keywords>
  <dc:description>All experimental values are SYNTHETIC DEMO DATA. Full mode NOT RUN; real data DATASET NOT CONFIGURED.</dc:description>
  <cp:lastModifiedBy/>
  <cp:revision>1</cp:revision>
  <dcterms:created xsi:type="dcterms:W3CDTF">2013-12-23T23:15:00Z</dcterms:created>
  <dcterms:modified xsi:type="dcterms:W3CDTF">2013-12-23T23:15:00Z</dcterms:modified>
  <cp:category/>
</cp:coreProperties>
</file>