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5000" w:type="pct"/>
        <w:tblInd w:w="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80" w:type="dxa"/>
          <w:top w:w="60" w:type="dxa"/>
          <w:right w:w="80" w:type="dxa"/>
          <w:bottom w:w="60" w:type="dxa"/>
        </w:tblCellMar>
      </w:tblPr>
      <w:tblGrid>
        <w:gridCol w:w="10796"/>
      </w:tblGrid>
      <w:tr>
        <w:trPr>
          <w:trHeight w:val="3031" w:hRule="exact"/>
        </w:trPr>
        <w:tc>
          <w:tcPr>
            <w:tcW w:w="10796" w:type="dxa"/>
            <w:tcBorders>
              <w:top w:val="none" w:color="000000"/>
              <w:left w:val="none" w:color="000000"/>
              <w:bottom w:val="none" w:color="000000"/>
              <w:right w:val="none" w:color="000000"/>
            </w:tcBorders>
            <w:noWrap w:val="false"/>
            <w:textDirection w:val="lrTb"/>
            <w:vAlign w:val="top"/>
          </w:tcPr>
          <w:p>
            <w:pPr>
              <w:pStyle w:val="Style_185"/>
              <w:spacing w:before="0" w:after="0" w:line="240" w:lineRule="auto"/>
              <w:ind w:left="0" w:firstLine="0"/>
              <w:jc w:val="left"/>
              <w:rPr>
                <w:rFonts w:ascii="Calibri" w:hAnsi="Calibri" w:eastAsia="Calibri" w:cs="Calibri"/>
                <w:sz w:val="20"/>
              </w:rPr>
            </w:pPr>
          </w:p>
        </w:tc>
      </w:tr>
      <w:tr>
        <w:trPr>
          <w:trHeight w:val="8335" w:hRule="exact"/>
        </w:trPr>
        <w:tc>
          <w:tcPr>
            <w:tcW w:w="10796" w:type="dxa"/>
            <w:tcBorders>
              <w:top w:val="none" w:color="000000"/>
              <w:left w:val="none" w:color="000000"/>
              <w:bottom w:val="none" w:color="000000"/>
              <w:right w:val="none" w:color="000000"/>
            </w:tcBorders>
            <w:noWrap w:val="false"/>
            <w:textDirection w:val="lrTb"/>
            <w:vAlign w:val="center"/>
          </w:tcPr>
          <w:p>
            <w:pPr>
              <w:pStyle w:val="Style_185"/>
              <w:spacing w:before="0" w:after="0" w:line="240" w:lineRule="auto"/>
              <w:ind w:left="0" w:firstLine="0"/>
              <w:jc w:val="center"/>
              <w:rPr>
                <w:rFonts w:ascii="Tahoma" w:hAnsi="Tahoma" w:eastAsia="Tahoma" w:cs="Tahoma"/>
                <w:sz w:val="48"/>
              </w:rPr>
            </w:pPr>
            <w:r>
              <w:rPr>
                <w:rFonts w:ascii="Tahoma" w:hAnsi="Tahoma" w:eastAsia="Tahoma" w:cs="Tahoma"/>
                <w:sz w:val="48"/>
              </w:rPr>
              <w:t xml:space="preserve">Приказ Ростехнадзора от 15.12.2020 N 536</w:t>
            </w:r>
            <w:r>
              <w:rPr>
                <w:rFonts w:ascii="Tahoma" w:hAnsi="Tahoma" w:eastAsia="Tahoma" w:cs="Tahoma"/>
                <w:sz w:val="48"/>
              </w:rPr>
              <w:br/>
            </w:r>
            <w:r>
              <w:rPr>
                <w:rFonts w:ascii="Tahoma" w:hAnsi="Tahoma" w:eastAsia="Tahoma" w:cs="Tahoma"/>
                <w:sz w:val="48"/>
              </w:rPr>
              <w:t xml:space="preserve">"Об утверждении федеральных норм и правил в области промышленной безопасности "Правила промышленной безопасности при использовании оборудования, работающего под избыточным давлением"</w:t>
            </w:r>
            <w:r>
              <w:rPr>
                <w:rFonts w:ascii="Tahoma" w:hAnsi="Tahoma" w:eastAsia="Tahoma" w:cs="Tahoma"/>
                <w:sz w:val="48"/>
              </w:rPr>
              <w:br/>
            </w:r>
            <w:r>
              <w:rPr>
                <w:rFonts w:ascii="Tahoma" w:hAnsi="Tahoma" w:eastAsia="Tahoma" w:cs="Tahoma"/>
                <w:sz w:val="48"/>
              </w:rPr>
              <w:t xml:space="preserve">(Зарегистрировано в Минюсте России 31.12.2020 N 61998)</w:t>
            </w:r>
          </w:p>
        </w:tc>
      </w:tr>
    </w:tbl>
    <w:p>
      <w:pPr>
        <w:pStyle w:val="Style_180"/>
        <w:spacing w:before="0" w:after="0" w:line="240" w:lineRule="auto"/>
        <w:ind w:left="0" w:firstLine="0"/>
        <w:jc w:val="both"/>
        <w:outlineLvl w:val="0"/>
        <w:rPr>
          <w:rFonts w:ascii="TimesNewRoman" w:hAnsi="TimesNewRoman" w:eastAsia="TimesNewRoman" w:cs="TimesNewRoman"/>
          <w:sz w:val="24"/>
        </w:rPr>
      </w:pPr>
    </w:p>
    <w:p>
      <w:pPr>
        <w:sectPr>
          <w:footnotePr>
            <w:pos w:val="pageBottom"/>
          </w:footnotePr>
          <w:type w:val="nextPage"/>
          <w:pgSz w:w="11906" w:h="16838"/>
          <w:pgMar w:top="841" w:right="595" w:bottom="841" w:left="595" w:header="0" w:footer="0" w:gutter="0"/>
          <w:cols w:num="1" w:space="720"/>
          <w:docGrid w:linePitch="360"/>
        </w:sectPr>
      </w:pPr>
    </w:p>
    <w:p>
      <w:pPr>
        <w:pStyle w:val="Style_177"/>
        <w:spacing w:before="0" w:after="160" w:line="259" w:lineRule="auto"/>
        <w:ind w:left="0"/>
        <w:jc w:val="left"/>
        <w:rPr>
          <w:sz w:val="24"/>
        </w:rPr>
      </w:pPr>
    </w:p>
    <w:p>
      <w:pPr>
        <w:pStyle w:val="Style_180"/>
        <w:spacing w:before="0" w:after="0" w:line="240" w:lineRule="auto"/>
        <w:ind w:left="0" w:firstLine="0"/>
        <w:jc w:val="both"/>
        <w:outlineLvl w:val="0"/>
        <w:rPr>
          <w:rFonts w:ascii="TimesNewRoman" w:hAnsi="TimesNewRoman" w:eastAsia="TimesNewRoman" w:cs="TimesNewRoman"/>
          <w:sz w:val="24"/>
        </w:rPr>
      </w:pPr>
    </w:p>
    <w:p>
      <w:pPr>
        <w:pStyle w:val="Style_180"/>
        <w:spacing w:before="0" w:after="0" w:line="240" w:lineRule="auto"/>
        <w:ind w:left="0" w:firstLine="0"/>
        <w:jc w:val="left"/>
        <w:outlineLvl w:val="0"/>
        <w:rPr>
          <w:rFonts w:ascii="TimesNewRoman" w:hAnsi="TimesNewRoman" w:eastAsia="TimesNewRoman" w:cs="TimesNewRoman"/>
          <w:sz w:val="24"/>
        </w:rPr>
      </w:pPr>
      <w:r>
        <w:rPr>
          <w:rFonts w:ascii="TimesNewRoman" w:hAnsi="TimesNewRoman" w:eastAsia="TimesNewRoman" w:cs="TimesNewRoman"/>
          <w:sz w:val="24"/>
        </w:rPr>
        <w:t xml:space="preserve">Зарегистрировано в Минюсте России 31 декабря 2020 г. N 61998</w:t>
      </w:r>
    </w:p>
    <w:p>
      <w:pPr>
        <w:pStyle w:val="Style_180"/>
        <w:pBdr>
          <w:top w:val="single" w:color="000000" w:sz="6"/>
        </w:pBdr>
        <w:spacing w:before="100" w:after="100" w:line="240" w:lineRule="auto"/>
        <w:ind w:left="0" w:firstLine="0"/>
        <w:jc w:val="both"/>
        <w:rPr>
          <w:rFonts w:ascii="TimesNewRoman" w:hAnsi="TimesNewRoman" w:eastAsia="TimesNewRoman" w:cs="TimesNewRoman"/>
          <w:sz w:val="2"/>
        </w:rPr>
      </w:pPr>
    </w:p>
    <w:p>
      <w:pPr>
        <w:pStyle w:val="Style_180"/>
        <w:spacing w:before="0" w:after="0" w:line="240" w:lineRule="auto"/>
        <w:ind w:left="0" w:firstLine="0"/>
        <w:jc w:val="left"/>
        <w:rPr>
          <w:rFonts w:ascii="TimesNewRoman" w:hAnsi="TimesNewRoman" w:eastAsia="TimesNewRoman" w:cs="TimesNewRoman"/>
          <w:sz w:val="24"/>
        </w:rPr>
      </w:pP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ФЕДЕРАЛЬНАЯ СЛУЖБА ПО ЭКОЛОГИЧЕСКОМУ, ТЕХНОЛОГИЧЕСКОМУ</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И АТОМНОМУ НАДЗОРУ</w:t>
      </w:r>
    </w:p>
    <w:p>
      <w:pPr>
        <w:pStyle w:val="Style_182"/>
        <w:spacing w:before="0" w:after="0" w:line="240" w:lineRule="auto"/>
        <w:ind w:left="0" w:firstLine="0"/>
        <w:jc w:val="center"/>
        <w:rPr>
          <w:rFonts w:ascii="Arial" w:hAnsi="Arial" w:eastAsia="Arial" w:cs="Arial"/>
          <w:b/>
          <w:sz w:val="24"/>
        </w:rPr>
      </w:pP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ПРИКАЗ</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от 15 декабря 2020 г. N 536</w:t>
      </w:r>
    </w:p>
    <w:p>
      <w:pPr>
        <w:pStyle w:val="Style_182"/>
        <w:spacing w:before="0" w:after="0" w:line="240" w:lineRule="auto"/>
        <w:ind w:left="0" w:firstLine="0"/>
        <w:jc w:val="center"/>
        <w:rPr>
          <w:rFonts w:ascii="Arial" w:hAnsi="Arial" w:eastAsia="Arial" w:cs="Arial"/>
          <w:b/>
          <w:sz w:val="24"/>
        </w:rPr>
      </w:pP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ОБ УТВЕРЖДЕНИИ ФЕДЕРАЛЬНЫХ НОРМ И ПРАВИЛ</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В ОБЛАСТИ ПРОМЫШЛЕННОЙ БЕЗОПАСНОСТИ "ПРАВИЛА ПРОМЫШЛЕННОЙ</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БЕЗОПАСНОСТИ ПРИ ИСПОЛЬЗОВАНИИ ОБОРУДОВАНИЯ, РАБОТАЮЩЕГО</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ПОД ИЗБЫТОЧНЫМ ДАВЛЕНИЕМ"</w:t>
      </w:r>
    </w:p>
    <w:p>
      <w:pPr>
        <w:pStyle w:val="Style_180"/>
        <w:spacing w:before="0" w:after="0" w:line="240" w:lineRule="auto"/>
        <w:ind w:left="0" w:firstLine="0"/>
        <w:jc w:val="center"/>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соответствии с подпунктом 5.2.2.16(1) пункта 5 Положения о Федеральной службе по экологическому, технологическому и атомному надзору, утвержденного постановлением Правительства Российской Федерации от 30 июля 2004 г. N 401 (Собрание законодательства Российской Федерации, 2004, N 32, ст. 3348; 2020, N 27, ст. 4248), приказываю:</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 Утвердить прилагаемые федеральные  в области промышленной безопасности "Правила промышленной безопасности при использовании оборудования, работающего под избыточным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 Настоящий приказ вступает в силу с 1 января 2021 г. и действует до 1 января 2027 г.</w:t>
      </w:r>
    </w:p>
    <w:p>
      <w:pPr>
        <w:pStyle w:val="Style_180"/>
        <w:spacing w:before="0" w:after="0" w:line="240" w:lineRule="auto"/>
        <w:ind w:left="0" w:firstLine="540"/>
        <w:jc w:val="both"/>
        <w:rPr>
          <w:rFonts w:ascii="TimesNewRoman" w:hAnsi="TimesNewRoman" w:eastAsia="TimesNewRoman" w:cs="TimesNewRoman"/>
          <w:sz w:val="24"/>
        </w:rPr>
      </w:pP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Руководитель</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А.В.АЛЕШИН</w:t>
      </w:r>
    </w:p>
    <w:p>
      <w:pPr>
        <w:pStyle w:val="Style_180"/>
        <w:spacing w:before="0" w:after="0" w:line="240" w:lineRule="auto"/>
        <w:ind w:left="0" w:firstLine="540"/>
        <w:jc w:val="both"/>
        <w:rPr>
          <w:rFonts w:ascii="TimesNewRoman" w:hAnsi="TimesNewRoman" w:eastAsia="TimesNewRoman" w:cs="TimesNewRoman"/>
          <w:sz w:val="24"/>
        </w:rPr>
      </w:pP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right"/>
        <w:outlineLvl w:val="0"/>
        <w:rPr>
          <w:rFonts w:ascii="TimesNewRoman" w:hAnsi="TimesNewRoman" w:eastAsia="TimesNewRoman" w:cs="TimesNewRoman"/>
          <w:sz w:val="24"/>
        </w:rPr>
      </w:pPr>
      <w:r>
        <w:rPr>
          <w:rFonts w:ascii="TimesNewRoman" w:hAnsi="TimesNewRoman" w:eastAsia="TimesNewRoman" w:cs="TimesNewRoman"/>
          <w:sz w:val="24"/>
        </w:rPr>
        <w:t xml:space="preserve">Утверждены</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приказом Федеральной службы</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по экологическому, технологическому</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и атомному надзору</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от 15.12.2020 N 536</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rPr>
          <w:rFonts w:ascii="Arial" w:hAnsi="Arial" w:eastAsia="Arial" w:cs="Arial"/>
          <w:b/>
          <w:sz w:val="24"/>
        </w:rPr>
      </w:pPr>
      <w:bookmarkStart w:id="1" w:name="Par32"/>
      <w:bookmarkEnd w:id="1"/>
      <w:r>
        <w:rPr>
          <w:rFonts w:ascii="Arial" w:hAnsi="Arial" w:eastAsia="Arial" w:cs="Arial"/>
          <w:b/>
          <w:sz w:val="24"/>
        </w:rPr>
        <w:t xml:space="preserve">ФЕДЕРАЛЬНЫЕ НОРМЫ И ПРАВИЛА</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В ОБЛАСТИ ПРОМЫШЛЕННОЙ БЕЗОПАСНОСТИ "ПРАВИЛА ПРОМЫШЛЕННОЙ</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БЕЗОПАСНОСТИ ПРИ ИСПОЛЬЗОВАНИИ ОБОРУДОВАНИЯ, РАБОТАЮЩЕГО</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ПОД ИЗБЫТОЧНЫМ ДАВЛЕНИЕМ"</w:t>
      </w:r>
    </w:p>
    <w:p>
      <w:pPr>
        <w:pStyle w:val="Style_180"/>
        <w:spacing w:before="0" w:after="0" w:line="240" w:lineRule="auto"/>
        <w:ind w:left="0" w:firstLine="0"/>
        <w:jc w:val="both"/>
        <w:rPr>
          <w:rFonts w:ascii="Arial" w:hAnsi="Arial" w:eastAsia="Arial" w:cs="Arial"/>
          <w:sz w:val="24"/>
        </w:rPr>
      </w:pPr>
    </w:p>
    <w:p>
      <w:pPr>
        <w:pStyle w:val="Style_182"/>
        <w:spacing w:before="0" w:after="0" w:line="240" w:lineRule="auto"/>
        <w:ind w:left="0" w:firstLine="0"/>
        <w:jc w:val="center"/>
        <w:outlineLvl w:val="1"/>
        <w:rPr>
          <w:rFonts w:ascii="Arial" w:hAnsi="Arial" w:eastAsia="Arial" w:cs="Arial"/>
          <w:b/>
          <w:sz w:val="24"/>
        </w:rPr>
      </w:pPr>
      <w:r>
        <w:rPr>
          <w:rFonts w:ascii="Arial" w:hAnsi="Arial" w:eastAsia="Arial" w:cs="Arial"/>
          <w:b/>
          <w:sz w:val="24"/>
        </w:rPr>
        <w:t xml:space="preserve">I. ОБЩИЕ ПОЛОЖЕНИЯ</w:t>
      </w:r>
    </w:p>
    <w:p>
      <w:pPr>
        <w:pStyle w:val="Style_180"/>
        <w:spacing w:before="0" w:after="0" w:line="240" w:lineRule="auto"/>
        <w:ind w:left="0" w:firstLine="0"/>
        <w:jc w:val="both"/>
        <w:rPr>
          <w:rFonts w:ascii="Arial" w:hAnsi="Arial" w:eastAsia="Arial" w:cs="Arial"/>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Область применения и назначение</w:t>
      </w:r>
    </w:p>
    <w:p>
      <w:pPr>
        <w:pStyle w:val="Style_180"/>
        <w:spacing w:before="0" w:after="0" w:line="240" w:lineRule="auto"/>
        <w:ind w:left="0" w:firstLine="0"/>
        <w:jc w:val="both"/>
        <w:rPr>
          <w:rFonts w:ascii="Arial" w:hAnsi="Arial" w:eastAsia="Arial" w:cs="Arial"/>
          <w:sz w:val="24"/>
        </w:rPr>
      </w:pP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 ФНП направлены на обеспечение промышленной безопасности, предупреждение аварий, инцидентов, травматизма на опасных производственных объектах (далее - ОПО) при использовании перечисленного в  ФНП оборудования, работающего под избыточным давлением более 0,07 мегапаскаля (МПа) (0,7 килограмм-силы на сантиметр квадратный (кгс/см</w:t>
      </w:r>
      <w:r>
        <w:rPr>
          <w:rFonts w:ascii="TimesNewRoman" w:hAnsi="TimesNewRoman" w:eastAsia="TimesNewRoman" w:cs="TimesNewRoman"/>
          <w:sz w:val="24"/>
          <w:vertAlign w:val="superscript"/>
        </w:rPr>
        <w:t xml:space="preserve">2</w:t>
      </w:r>
      <w:r>
        <w:rPr>
          <w:rFonts w:ascii="TimesNewRoman" w:hAnsi="TimesNewRoman" w:eastAsia="TimesNewRoman" w:cs="TimesNewRoman"/>
          <w:sz w:val="24"/>
        </w:rPr>
        <w:t xml:space="preserve">)):</w:t>
      </w:r>
    </w:p>
    <w:p>
      <w:pPr>
        <w:pStyle w:val="Style_180"/>
        <w:spacing w:before="240" w:after="0" w:line="240" w:lineRule="auto"/>
        <w:ind w:left="0" w:firstLine="540"/>
        <w:jc w:val="both"/>
        <w:rPr>
          <w:rFonts w:ascii="TimesNewRoman" w:hAnsi="TimesNewRoman" w:eastAsia="TimesNewRoman" w:cs="TimesNewRoman"/>
          <w:sz w:val="24"/>
        </w:rPr>
      </w:pPr>
      <w:bookmarkStart w:id="2" w:name="Par43"/>
      <w:bookmarkEnd w:id="2"/>
      <w:r>
        <w:rPr>
          <w:rFonts w:ascii="TimesNewRoman" w:hAnsi="TimesNewRoman" w:eastAsia="TimesNewRoman" w:cs="TimesNewRoman"/>
          <w:sz w:val="24"/>
        </w:rPr>
        <w:t xml:space="preserve">а) пара, газа в газообразном, сжиженном состоянии (сжатых, сжиженных и растворенных под давлением газов);</w:t>
      </w:r>
    </w:p>
    <w:p>
      <w:pPr>
        <w:pStyle w:val="Style_180"/>
        <w:spacing w:before="240" w:after="0" w:line="240" w:lineRule="auto"/>
        <w:ind w:left="0" w:firstLine="540"/>
        <w:jc w:val="both"/>
        <w:rPr>
          <w:rFonts w:ascii="TimesNewRoman" w:hAnsi="TimesNewRoman" w:eastAsia="TimesNewRoman" w:cs="TimesNewRoman"/>
          <w:sz w:val="24"/>
        </w:rPr>
      </w:pPr>
      <w:bookmarkStart w:id="3" w:name="Par44"/>
      <w:bookmarkEnd w:id="3"/>
      <w:r>
        <w:rPr>
          <w:rFonts w:ascii="TimesNewRoman" w:hAnsi="TimesNewRoman" w:eastAsia="TimesNewRoman" w:cs="TimesNewRoman"/>
          <w:sz w:val="24"/>
        </w:rPr>
        <w:t xml:space="preserve">б) воды при температуре более 115 градусов Цельсия (°C);</w:t>
      </w:r>
    </w:p>
    <w:p>
      <w:pPr>
        <w:pStyle w:val="Style_180"/>
        <w:spacing w:before="240" w:after="0" w:line="240" w:lineRule="auto"/>
        <w:ind w:left="0" w:firstLine="540"/>
        <w:jc w:val="both"/>
        <w:rPr>
          <w:rFonts w:ascii="TimesNewRoman" w:hAnsi="TimesNewRoman" w:eastAsia="TimesNewRoman" w:cs="TimesNewRoman"/>
          <w:sz w:val="24"/>
        </w:rPr>
      </w:pPr>
      <w:bookmarkStart w:id="4" w:name="Par45"/>
      <w:bookmarkEnd w:id="4"/>
      <w:r>
        <w:rPr>
          <w:rFonts w:ascii="TimesNewRoman" w:hAnsi="TimesNewRoman" w:eastAsia="TimesNewRoman" w:cs="TimesNewRoman"/>
          <w:sz w:val="24"/>
        </w:rPr>
        <w:t xml:space="preserve">в) иных жидкостей при температуре, превышающей температуру их кипения при избыточном давлении 0,07 МПа (0,7 кгс/см</w:t>
      </w:r>
      <w:r>
        <w:rPr>
          <w:rFonts w:ascii="TimesNewRoman" w:hAnsi="TimesNewRoman" w:eastAsia="TimesNewRoman" w:cs="TimesNewRoman"/>
          <w:sz w:val="24"/>
          <w:vertAlign w:val="superscript"/>
        </w:rPr>
        <w:t xml:space="preserve">2</w:t>
      </w:r>
      <w:r>
        <w:rPr>
          <w:rFonts w:ascii="TimesNewRoman" w:hAnsi="TimesNewRoman" w:eastAsia="TimesNewRoman" w:cs="TimesNewRoman"/>
          <w:sz w:val="24"/>
        </w:rPr>
        <w:t xml:space="preserve">), а также при эксплуатации зданий и сооружений, предназначенных для осуществления технологических процессов, в составе которых используется перечисленное в  ФНП оборудование.</w:t>
      </w:r>
    </w:p>
    <w:p>
      <w:pPr>
        <w:pStyle w:val="Style_180"/>
        <w:spacing w:before="240" w:after="0" w:line="240" w:lineRule="auto"/>
        <w:ind w:left="0" w:firstLine="540"/>
        <w:jc w:val="both"/>
        <w:rPr>
          <w:rFonts w:ascii="TimesNewRoman" w:hAnsi="TimesNewRoman" w:eastAsia="TimesNewRoman" w:cs="TimesNewRoman"/>
          <w:sz w:val="24"/>
        </w:rPr>
      </w:pPr>
      <w:bookmarkStart w:id="5" w:name="Par46"/>
      <w:bookmarkEnd w:id="5"/>
      <w:r>
        <w:rPr>
          <w:rFonts w:ascii="TimesNewRoman" w:hAnsi="TimesNewRoman" w:eastAsia="TimesNewRoman" w:cs="TimesNewRoman"/>
          <w:sz w:val="24"/>
        </w:rPr>
        <w:t xml:space="preserve">3. ФНП устанавливают требования промышленной безопасности, обязательные при разработке и осуществлении технологических процессов, при проектировании, строительстве, эксплуатации, реконструкции, капитальном ремонте, техническом перевооружении, консервации и ликвидации ОПО, на которых используется нижеперечисленное оборудование, работающее под избыточным давлением (далее - оборудование под давлением), отвечающее одному или нескольким признакам, указанным в ,  и  настоящих ФНП, при проведении экспертизы промышленной безопасности оборудования, зданий и сооружений на ОПО, а также при размещении, монтаже и эксплуатации (в том числе наладке, обслуживании, ремонте, реконструкции (модернизации), техническом освидетельствовании, техническом диагностировании) оборудования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Настоящие ФНП распространяются на следующие виды (типы) оборудования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 сосуды, работающие под избыточным давлением пара, газов, жидкостей;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 баллоны, предназначенные для сжатых, сжиженных и растворенных под давлением газов;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 Для отнесения оборудования к области действия ФНП за основу принимаются максимальные рабочие значения давления и температуры рабочей среды, установленные в технической документации оборудования и проектной документации ОПО с учетом нормативных показателей физико-химических свойств рабочей среды (характеристик рабочей среды, установленных в технических регламентах и стандартах или при отсутствии таковых, определенных экспериментально-расчетными методами) и всех факторов опасности (рисков), влияющих на безопасность оборудования при его применении в соответствии с требованиями законодательства Российской Федерации о техническом регулировании, в области промышленной безопасности, а также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Перечень параметров (максимальные значения давления и температуры рабочей среды), принимаемых для обеспечения указанных целей в отношении конкретных видов, типов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 ФНП не применяются при использовании видов (типов) оборудования, не перечисленных в  настоящих ФНП, а также на следующее оборудование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 сосуды вместимостью не более 0,025 м</w:t>
      </w:r>
      <w:r>
        <w:rPr>
          <w:rFonts w:ascii="TimesNewRoman" w:hAnsi="TimesNewRoman" w:eastAsia="TimesNewRoman" w:cs="TimesNewRoman"/>
          <w:sz w:val="24"/>
          <w:vertAlign w:val="superscript"/>
        </w:rPr>
        <w:t xml:space="preserve">3</w:t>
      </w:r>
      <w:r>
        <w:rPr>
          <w:rFonts w:ascii="TimesNewRoman" w:hAnsi="TimesNewRoman" w:eastAsia="TimesNewRoman" w:cs="TimesNewRoman"/>
          <w:sz w:val="24"/>
        </w:rPr>
        <w:t xml:space="preserve"> независимо от давления, используемые для научно-экспериментальных целей.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целях настоящих ФНП при определении вместимости сосуда из общего объема сосуда исключают объем, занимаемый футеровкой, трубами и другими внутренними устройствами, при этом группа сосудов, а также сосуды, состоящие из отдельных корпусов и соединенные между собой трубами внутренним диаметром более 100 мм, рассматриваются как один сосуд. К группе относят сосуды, объединенные в соответствии с проектом в группу в количестве двух и более штук общим трубопроводом входа/выхода рабочей среды с установленными на нем запорной арматурой и предохранительным(ми) устройством(ми), и предназначенные для одновременной совместной работы, для хранения (накопления) находящегося в них под давлением газа в количестве, определяемом суммарной вместимостью группы сосудов и подачей его потребителям; необходимость оснащения каждого сосуда из группы, помимо общего отключающего устройства (запорной арматуры), индивидуально иными устройствами (арматурой) для дренирования, для сброса давления газа определяется проектом;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ж) сосуды вместимостью не более 0,025 м</w:t>
      </w:r>
      <w:r>
        <w:rPr>
          <w:rFonts w:ascii="TimesNewRoman" w:hAnsi="TimesNewRoman" w:eastAsia="TimesNewRoman" w:cs="TimesNewRoman"/>
          <w:sz w:val="24"/>
          <w:vertAlign w:val="superscript"/>
        </w:rPr>
        <w:t xml:space="preserve">3</w:t>
      </w:r>
      <w:r>
        <w:rPr>
          <w:rFonts w:ascii="TimesNewRoman" w:hAnsi="TimesNewRoman" w:eastAsia="TimesNewRoman" w:cs="TimesNewRoman"/>
          <w:sz w:val="24"/>
        </w:rPr>
        <w:t xml:space="preserve">, у которых произведение значений рабочего давления (МПа) и вместимости (м</w:t>
      </w:r>
      <w:r>
        <w:rPr>
          <w:rFonts w:ascii="TimesNewRoman" w:hAnsi="TimesNewRoman" w:eastAsia="TimesNewRoman" w:cs="TimesNewRoman"/>
          <w:sz w:val="24"/>
          <w:vertAlign w:val="superscript"/>
        </w:rPr>
        <w:t xml:space="preserve">3</w:t>
      </w:r>
      <w:r>
        <w:rPr>
          <w:rFonts w:ascii="TimesNewRoman" w:hAnsi="TimesNewRoman" w:eastAsia="TimesNewRoman" w:cs="TimesNewRoman"/>
          <w:sz w:val="24"/>
        </w:rPr>
        <w:t xml:space="preserve">) не превышает 0,02;</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з) сосуды, работающие под давлением, создающимся при взрыве внутри них в соответствии с технологическим процессом или горении в режиме самораспространяющегося высокотемпературного синтеза;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 сосуды и трубопроводы, работающие под вакуумом;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 сосуды, состоящие из труб внутренним диаметром не более 150 мм без коллекторов, а также с коллекторами, выполненными из труб внутренним диаметром не более 150 мм;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 части машин, не представляющие собой самостоятельных сосудов (корпусы насосов или турбин, цилиндры двигателей паровых, гидравлических, воздушных машин и компрессоров);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ф) сливные, сосудов, редукционно-охладительных и других устройств, соединенные с атмосферой;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х) оборудование, изготовленное (произведенное) из неметаллической гибкой (эластичной) оболочки;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6. Требования ФНП обязательны для исполнения всеми организациями и индивидуальными предпринимателями (далее - организации) и их работниками, осуществляющими на территории Российской Федерации и на иных территориях, над которыми Российская Федерация осуществляет юрисдикцию в соответствии с законодательством Российской Федерации и нормами международного права, деятельность, указанную в  настоящих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7. Обеспечение промышленной безопасности, предупреждение аварий, инцидентов, производственного травматизма на опасных производственных объектах, на которых используется оборудование под давлением, должны осуществляться путем соблюдения организациями и их работниками требований промышленной безопасности, установленных законодательством Российской Федерации, федеральными нормами и правилами в области промышленной безопасности, а также принимаемыми в соответствии с ними распорядительными документами организаций.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8. К эксплуатирующим организациям в целях настоящих ФНП следует относить организации, осуществляющие эксплуатацию ОПО, на котором используется (эксплуатируется) оборудование, работающее под избыточным давлением (источник повышенной опасности), на основании имеющегося у него права собственности или иного законного основания использования земельных участков, зданий, строений и сооружений, а также технических устройств такого ОПО, в том числе на основании договора аренды, прав хозяйственного ведения, оперативного управления.</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1"/>
        <w:rPr>
          <w:rFonts w:ascii="Arial" w:hAnsi="Arial" w:eastAsia="Arial" w:cs="Arial"/>
          <w:b/>
          <w:sz w:val="24"/>
        </w:rPr>
      </w:pPr>
      <w:r>
        <w:rPr>
          <w:rFonts w:ascii="Arial" w:hAnsi="Arial" w:eastAsia="Arial" w:cs="Arial"/>
          <w:b/>
          <w:sz w:val="24"/>
        </w:rPr>
        <w:t xml:space="preserve">II. ПРОЕКТИРОВАНИЕ, СТРОИТЕЛЬСТВО, РЕКОНСТРУКЦИЯ,</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ТЕХНИЧЕСКОЕ ПЕРЕВООРУЖЕНИЕ ОПО, НА КОТОРЫХ ИСПОЛЬЗУЕТСЯ</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ОБОРУДОВАНИЕ ПОД ДАВЛЕНИЕМ</w:t>
      </w:r>
    </w:p>
    <w:p>
      <w:pPr>
        <w:pStyle w:val="Style_180"/>
        <w:spacing w:before="0" w:after="0" w:line="240" w:lineRule="auto"/>
        <w:ind w:left="0" w:firstLine="0"/>
        <w:jc w:val="both"/>
        <w:rPr>
          <w:rFonts w:ascii="Arial" w:hAnsi="Arial" w:eastAsia="Arial" w:cs="Arial"/>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Общие требования</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9. При проектировании, строительстве, реконструкции, капитальном ремонте и эксплуатации ОПО, на которых используется (применяется) оборудование под давлением, в том числе входящих в их состав зданий и сооружений, а также при разработке проектной документации, определяющей решения по установке (размещению) и обвязке оборудования под давлением, должно обеспечиваться соблюдение обязательных требований законодательства Российской Федерации в области промышленной безопасности, о градостроительной деятельности, о техническом регулировании, и настоящих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Выбор и состав оборудования под давлением при разработке соответствующих разделов проектной документации ОПО должен производиться исходя из назначения и влияющих на его безопасность условий эксплуатации, в том числе максимальных значений характеристик источника давления (давления, температуры, группы и физико-химических свойств рабочей среды) с применением в необходимых случаях автоматических регулирующих и предохранительных устройств, а также характеристик окружающей среды в зависимости от места установки оборудования (на открытой площадке, в неотапливаемом или отапливаемом помещении).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Не допускается установка и применение оборудования, если его технические характеристики и материалы, указанные в технической документации, не соответствуют физико-химическим свойствам рабочей среды и другим условиям эксплуатации, влияющим на его безопасность.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строительстве, реконструкции, капитальном ремонте и эксплуатации ОПО отклонения от проектной документации, а также документации на техническое перевооружение не допускаются. Внесение изменений в проектную документацию на строительство, реконструкцию ОПО, а также документацию на техническое перевооружение в зависимости от вида выполняемых работ должно осуществляться в соответствии с требованиями законодательства Российской Федерации о градостроительной деятельности и в области промышленной безопасности.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10. Определяемые проектной документацией решения по установке, размещению, обвязке сосудов должны обеспечивать безопасность их обслуживания, осмотра, ремонта, промывки и очистки.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Арматура должна быть установлена в местах, доступных для управления, обслуживания и ремонта.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11. Для обслуживания, осмотра, ремонта оборудования под давлением проектом должно быть обеспечено наличие стационарных металлических площадок и лестниц, а также переносных, передвижных площадок и лестниц, при этом: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конструкция площадок и лестниц должна соответствовать требованиям  -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площадки и лестницы обслуживания оборудования, не соответствующие требованиям  и  настоящих ФНП смонтированные до вступления в силу приказа об утверждении ФНП, должны быть приведены в соответствие ФНП при капитальном ремонте оборудования, реконструкции (модернизации) или техническом перевооружении ОПО при условии принятия и реализации эксплуатирующей организацией мероприятий для обеспечения их безопасного использования в период до устранения несоответствий;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требования к площадкам и лестницам для обслуживания оборудования, установленные в настоящих ФНП, не распространяются на лестницы, площадки и проходы, входящие в состав строительных конструкций зданий, устройство которых должно соответствовать требованиям законодательства о градостроительной деятельности, технических регламентов.</w:t>
      </w:r>
    </w:p>
    <w:p>
      <w:pPr>
        <w:pStyle w:val="Style_180"/>
        <w:spacing w:before="240" w:after="0" w:line="240" w:lineRule="auto"/>
        <w:ind w:left="0" w:firstLine="540"/>
        <w:jc w:val="both"/>
        <w:rPr>
          <w:rFonts w:ascii="TimesNewRoman" w:hAnsi="TimesNewRoman" w:eastAsia="TimesNewRoman" w:cs="TimesNewRoman"/>
          <w:sz w:val="24"/>
        </w:rPr>
      </w:pPr>
      <w:bookmarkStart w:id="6" w:name="Par109"/>
      <w:bookmarkEnd w:id="6"/>
      <w:r>
        <w:rPr>
          <w:rFonts w:ascii="TimesNewRoman" w:hAnsi="TimesNewRoman" w:eastAsia="TimesNewRoman" w:cs="TimesNewRoman"/>
          <w:sz w:val="24"/>
        </w:rPr>
        <w:t xml:space="preserve">12. Наличие стационарных площадок и лестниц должно быть предусмотрено для обеспечения доступа в зоны обслуживания (установки контрольно-измерительных приборов, запорной и регулирующей арматуры и иных устройств для управления работой оборудования), в которых согласно указаниям проектной документации, руководств (инструкций) по эксплуатации оборудования и производственных инструкций необходимо постоянное либо неоднократное (один и более раз в течение смены) присутствие персонала для осмотра оборудования, контроля параметров и управления его работой (пуск, останов, изменение режимов работы оборудования при нормальном протекании технологического процесса и аварийное отключение (остановка) в аварийных ситуациях.</w:t>
      </w:r>
    </w:p>
    <w:p>
      <w:pPr>
        <w:pStyle w:val="Style_180"/>
        <w:spacing w:before="240" w:after="0" w:line="240" w:lineRule="auto"/>
        <w:ind w:left="0" w:firstLine="540"/>
        <w:jc w:val="both"/>
        <w:rPr>
          <w:rFonts w:ascii="TimesNewRoman" w:hAnsi="TimesNewRoman" w:eastAsia="TimesNewRoman" w:cs="TimesNewRoman"/>
          <w:sz w:val="24"/>
        </w:rPr>
      </w:pPr>
      <w:bookmarkStart w:id="7" w:name="Par110"/>
      <w:bookmarkEnd w:id="7"/>
      <w:r>
        <w:rPr>
          <w:rFonts w:ascii="TimesNewRoman" w:hAnsi="TimesNewRoman" w:eastAsia="TimesNewRoman" w:cs="TimesNewRoman"/>
          <w:sz w:val="24"/>
        </w:rPr>
        <w:t xml:space="preserve">13. Конструкция (устройство) площадок и лестниц обслуживания, места их размещения и способы крепления к опорным и несущим элементам каркаса оборудования и строительных конструкций здания (сооружения) устанавливается чертежами, входящими (в зависимости от места размещения и способа крепления) в комплект конструкторской документации оборудования или проектной (рабочей) документации здания (сооружения) и не должны создавать нагрузок, не предусмотренных проектной (конструкторской) документацией.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14. Конструкцией площадок и лестниц для обслуживания, осмотра, ремонта оборудования под давлением должно быть обеспечено выполнение следующих условий: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 Наличие ограждения перилами высотой не менее 900 мм со сплошной обшивкой по низу на высоту не менее 100 мм.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 В местах прохода персонала, обслуживающего оборудование под давлением, установленное на открытых площадках, а также в зданиях (помещениях), сооружениях:</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свободная высота от уровня земли, пола здания (помещения), площадок (мостиков) и ступеней лестниц обслуживания должна быть не менее 2 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ширина свободного прохода должна быть не менее 600 мм, а в местах установки арматуры, контрольно-измерительных приборов, других устройств и оборудования - не менее 800 мм.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 В местах установки арматуры, других устройств и оборудования, ремонт которых проводится с разборкой и демонтажем, конкретная ширина свободного прохода устанавливается исходя из необходимости обеспечения безопасного пространства для персонала не менее вышеуказанного значения с учетом габаритов демонтируемого при замене или ремонте оборудования и иных устройств или отдельных его частей (элементов) разработчиком раздела проектной документации, определяющего решения по размещению оборудования, а также разработчиком конструкторский документации на площадки и лестницы.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 В местах прохода людей над трубопроводами, расположенными на поверхности земли, пола или площадки, при высоте такого препятствия от поверхности более 300 мм должны быть устроены переходные мостики. При этом в случае их устройства на площадке обслуживания установленные настоящим пунктом высота перил площадки и высота свободного прохода должны приниматься от уровня пола переходного мостика в зоне его расположения.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 Переходные площадки и лестницы должны иметь перила с обеих сторон. </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6) Применение гладких площадок и ступеней лестниц, а также выполнение их из прутковой (круглой) стали запрещается.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7) Лестницы высотой более 1,5 метра должны иметь угол наклона к горизонтали не более 50° (далее - наклонные лестницы), за исключением случаев, предусмотренных в  настоящих ФНП. Наклонные лестницы должны иметь ширину не менее 600 мм, высоту между ступенями не более 200 мм, ширину ступеней не менее 80 мм. Лестницы большой высоты должны иметь промежуточные площадки, при этом высота подъема между площадками должна быть не более 4 метров.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8) Если конструктивные особенности оборудования, строительных конструкций здания, введенных в эксплуатацию до вступления в силу настоящих ФНП, препятствуют соблюдению установленных настоящим пунктом требований к ширине и высоте свободного прохода в отдельных зонах (далее - зоны (места) повышенной опасности) передвижения персонала, а их устранение приводит к снижению уровня безопасности при эксплуатации оборудования или строительных конструкций здания, то в указанном случае эксплуатирующей организацией должно быть обеспечены: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определение в производственной инструкции или в отдельном документе маршрута (схемы) безопасного передвижения персонала с указанием мест повышенной опасности, проход в которых запрещен или требует дополнительной осторожности (дополнительного внимания);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перекрытие мест повышенной опасности для прохода персонала при наличии альтернативного безопасного маршрута;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оснащение мест прохода персонала в зонах повышенной опасности при отсутствии безопасного маршрута информационными табличками и знаками опасности;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обязательное использование персоналом при проходе в местах повышенной опасности средств индивидуальной защиты (касок).</w:t>
      </w:r>
    </w:p>
    <w:p>
      <w:pPr>
        <w:pStyle w:val="Style_180"/>
        <w:spacing w:before="240" w:after="0" w:line="240" w:lineRule="auto"/>
        <w:ind w:left="0" w:firstLine="540"/>
        <w:jc w:val="both"/>
        <w:rPr>
          <w:rFonts w:ascii="TimesNewRoman" w:hAnsi="TimesNewRoman" w:eastAsia="TimesNewRoman" w:cs="TimesNewRoman"/>
          <w:sz w:val="24"/>
        </w:rPr>
      </w:pPr>
      <w:bookmarkStart w:id="8" w:name="Par126"/>
      <w:bookmarkEnd w:id="8"/>
      <w:r>
        <w:rPr>
          <w:rFonts w:ascii="TimesNewRoman" w:hAnsi="TimesNewRoman" w:eastAsia="TimesNewRoman" w:cs="TimesNewRoman"/>
          <w:sz w:val="24"/>
        </w:rPr>
        <w:t xml:space="preserve">15. Для обеспечения доступа к площадкам обслуживания оборудования под давлением, предназначенным для периодического проведения работ (плановое техническое обслуживание, ремонт) в местах расположения люков, арматуры и иных устройств, оборудованных автоматическим дистанционным приводом, первичных датчиков, передающих данные на вторичные устройства (приборы) систем автоматизации и (или) контрольно-измерительных приборов (установленных дистанционно), не требующих постоянного (неоднократного) присутствия персонала (за исключением случаев, установленных  настоящих ФНП), проектом установки оборудования под давлением может быть предусмотрено применение переносных, передвижных площадок и лестниц, а также стационарных лестниц с углом наклона к горизонтали более 50° при условии обеспечения возможности осмотра оборудования в таких местах с поверхности пола (земли) или других площадок.</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Предусматриваемые проектом в этих случаях вертикальные лестницы должны быть металлическими шириной не менее 600 мм с расстоянием между ступенями лестниц не более 350 мм и, начиная с высоты 2 метра, должны оснащаться предохранительными дугами радиусом 350 - 400 мм, располагаемыми на расстоянии не более 800 мм одна от другой и скрепленными между собой полосами, с расстоянием от самой удаленной точки дуги до ступеней в пределах 700 - 800 мм.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16. В случаях, предусмотренных проектной документацией, руководствами (инструкциями) по эксплуатации и производственными инструкциями, для ремонта и технического обслуживания оборудования в местах, не требующих постоянного обслуживания и не оборудованных стационарными площадками, лестницами, допускается применение передвижных, приставных площадок и лестниц, строительных лесов, места установки и конструкция которых должны определяться проектом производства работ, разрабатываемым для конкретного случая их проведения.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Не допускается установка приставных лестниц и стремянок около и над работающими машинами и механизмами (имеющими вращающиеся и поступательно движущиеся части), а также производство с их ступеней работ, предусматривающих использование ручных машин, проведение сварочных работ, перемещение или удержание грузов (деталей и материалов) при монтаже, демонтаже и ремонте оборудования. Для выполнения таких работ следует применять леса, подмостки и лестницы с площадками, огражденными перилами, а для перемещения и удержания грузов - грузоподъемные машины и механизмы соответствующей грузоподъемности.</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Установка, размещение и обвязка сосудов</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65. Сосуды должны быть установлены на открытых площадках в местах, исключающих скопление людей, или в отдельно стоящих зданиях совместно с технологически взаимосвязанными с ними машинами, оборудованием и трубопроводами.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Воздухосборники или газосборники должны быть установлены на фундамент вне здания питающего источника. Место их установки должно иметь ограждение.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Расстояние между воздухосборниками должно быть не менее 1,5 метра, а между воздухосборником и стеной здания - не менее 1 метра. Расстояние между газосборниками определяет проектная организация.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Ограждение воздухосборника должно находиться на расстоянии не менее 2 метров от воздухосборника в сторону проезда или прохода.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установке сосудов со взрывопожароопасными средами на производственных площадках организаций, а также на объектах, расположенных (в обоснованных проектом случаях) на территории населенных пунктов (автомобильные газозаправочные станции), должно быть обеспечено соблюдение безопасных расстояний размещения сосудов от зданий и сооружений, установленных проектом с учетом радиуса опасной зоны в случае аварийной разгерметизации сосуда.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66. Допускается установка сосудов: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в помещениях, примыкающих к производственным зданиям, при условии отделения их капитальной стеной, конструктивная прочность которой определена проектной документацией с учетом максимально возможной нагрузки, которая может возникнуть при разрушении (аварии) сосудов;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в производственных помещениях, включая помещения котельных, тепловых и гидравлических электростанций (ТЭС, ГЭС), в случаях, предусмотренных проектом с учетом норм проектирования данных объектов в отношении сосудов, для которых по условиям технологического процесса или по условиям эксплуатации невозможна их установка вне производственных помещений;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с заглублением в грунт при условии обеспечения доступа к арматуре и защиты стенок сосуда от коррозии.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67. Не разрешается установка в жилых, общественных и бытовых зданиях, а также в примыкающих к ним помещениях, сосудов, подлежащих учету в территориальных органах Ростехнадзора или в иных федеральных органах исполнительной власти в области промышленной безопасности.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68. Установка сосудов должна исключать возможность их опрокидывания. Конкретные решения по установке сосуда, способу крепления и устройству фундамента определяются проектной документацией с учетом указаний организации-изготовителя сосуда в руководстве (инструкции) по эксплуатации, инструкции по монтажу (при наличии), чертежах и иной технической документации организации-изготовителя.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69. Запорная и запорно-регулирующая арматура должна быть установлена на штуцерах, непосредственно присоединенных к сосуду, или на трубопроводах, подводящих к сосуду и отводящих из него рабочую среду.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последовательном соединении нескольких сосудов необходимость или отсутствие необходимости установки арматуры между ними определяется проектной документацией.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Количество, тип применяемой арматуры и места ее установки должны соответствовать проектной документации исходя из конкретных особенностей технологического процесса и условий эксплуатации сосуда.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На линии подвода к сосудам взрывоопасной, пожароопасной рабочей среды, отнесенной к группе 1 в соответствии с ТР ТС 032/2013, а также на линии подвода рабочей среды к испарителям с огневым или газовым обогревом, должен быть установлен обратный клапан, автоматически закрывающийся давлением из сосуда. Обратный клапан должен устанавливаться между насосом (компрессором) и запорной арматурой сосуда. Действие настоящего пункта не распространяется на сосуды со сжиженным природным газом.</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1"/>
        <w:rPr>
          <w:rFonts w:ascii="Arial" w:hAnsi="Arial" w:eastAsia="Arial" w:cs="Arial"/>
          <w:b/>
          <w:sz w:val="24"/>
        </w:rPr>
      </w:pPr>
      <w:bookmarkStart w:id="9" w:name="Par326"/>
      <w:bookmarkEnd w:id="9"/>
      <w:r>
        <w:rPr>
          <w:rFonts w:ascii="Arial" w:hAnsi="Arial" w:eastAsia="Arial" w:cs="Arial"/>
          <w:b/>
          <w:sz w:val="24"/>
        </w:rPr>
        <w:t xml:space="preserve">III. ТРЕБОВАНИЯ ПРОМЫШЛЕННОЙ БЕЗОПАСНОСТИ</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К МОНТАЖУ, РЕМОНТУ, РЕКОНСТРУКЦИИ (МОДЕРНИЗАЦИИ) И НАЛАДКЕ</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ОБОРУДОВАНИЯ ПОД ДАВЛЕНИЕМ</w:t>
      </w:r>
    </w:p>
    <w:p>
      <w:pPr>
        <w:pStyle w:val="Style_180"/>
        <w:spacing w:before="0" w:after="0" w:line="240" w:lineRule="auto"/>
        <w:ind w:left="0" w:firstLine="0"/>
        <w:jc w:val="both"/>
        <w:rPr>
          <w:rFonts w:ascii="Arial" w:hAnsi="Arial" w:eastAsia="Arial" w:cs="Arial"/>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Общие требования</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96. Монтаж (демонтаж), ремонт с применением сварки, реконструкцию (модернизацию), наладку оборудования под давлением при строительстве, эксплуатации, реконструкции, техническом перевооружении, консервации, ликвидации ОПО должны осуществлять специализированные организации, а также индивидуальные предприниматели, специализирующиеся на производстве перечисленных в настоящем пункте ФНП работ при осуществлении одного или нескольких видов деятельности в области промышленной безопасности (далее - специализированные организации), в том числе работ по: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установке (монтажу) в проектное положение оборудования, поступившего в собранном виде, а также сборке, изготовлению (доизготовлению) оборудования на объекте применения из готовых частей и элементов с применением неразъемных и (или) разъемных соединений с установкой в проектное положение;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окончательной сборке (изготовлению, доизготовлению) организацией-изготовителем оборудования под давлением по месту его установки с использованием неразъемных и (или) разъемных соединений;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изменению технических характеристик оборудования путем замены (изменения) его отдельных элементов, узлов, устройств управления и обеспечения режима работы (автоматизированных систем управления технологическим процессом, регулирующих устройств, горелочных устройств) и (или) изменения конструкции оборудования под давлением и его элементов путем применения неразъемных (сварных) соединений, создающее необходимость проведения прочностных расчетов и корректировки паспорта и руководства (инструкции) по эксплуатации, оформления нового паспорта и руководства по эксплуатации (далее - реконструкция (модернизация)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наладке оборудования, в случаях, предусмотренных руководством по эксплуатации организацией-изготовителем, или наладке системы (технологического комплекса), в состав которой входит оборудование, в случаях, предусмотренных проектной документацией ОПО, перед вводом в эксплуатацию после монтажа (пуско-наладка) и в процессе эксплуатации (режимная наладка);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ремонту, предусматривающему выполнение комплекса технологических операций и организационных действий по восстановлению работоспособности, исправности и ресурса оборудования и (или) его элементов (составных частей).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 числу ремонтов, выполнение которых необходимо для поддержания оборудования в работоспособном состоянии, относятся: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 плановый (планово-предупредительный, регламентный) ремонт, выполняется по утвержденному в организации графику с периодичностью и в объеме, установленными в НД и (или) технической документации. Вывод в плановый ремонт должен осуществляться независимо от технического состояния оборудования на начало ремонта в установленные планом-графиком сроки, в том числе в зависимости от объема и характера выполняемых работ: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текущий ремонт, выполняемый для обеспечения или восстановления работоспособности оборудования и состоящий в замене и (или) восстановлении его отдельных частей;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средний ремонт, выполняемый для восстановления исправности и частичного восстановления ресурса оборудования с заменой или восстановлением составных частей ограниченной номенклатуры и контролем технического состояния составных частей, выполняемом в объеме, установленном в НД и (или) технической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капитальный ремонт, выполняемый для восстановления исправности и полного или близкого к полному восстановлению ресурса оборудования с заменой или восстановлением любых его частей, включая базовые основные элементы, указанные в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этом уточнение (расширение) необходимого для поддержания оборудования в работоспособном состоянии объема работ и вида ремонта производится (при необходимости его проведения по техническому состоянию) по результатам осмотра, ревизии, дефектации оборудования при подготовке к ремонту, а также по результатам работ по техническому обслуживанию - комплексу операций или операции по поддержанию работоспособности или исправности оборудования под давлением при использовании его по назначению.</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 неплановый ремонт, осуществляется вне плана для ликвидации причин аварии или инцидента, а также по текущему состоянию оборудования, определяемому при выполнении работ по его обслуживанию.</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97. При монтаже, ремонте, наладке оборудования под давлением должны быть выполнены требования проектной документации ОПО и организации-изготовителя (разработчиком проекта) оборудования, указанные в его руководстве (инструкции) по эксплуатации и другой технической документации организации-изготовителя.</w:t>
      </w:r>
    </w:p>
    <w:p>
      <w:pPr>
        <w:pStyle w:val="Style_180"/>
        <w:spacing w:before="240" w:after="0" w:line="240" w:lineRule="auto"/>
        <w:ind w:left="0" w:firstLine="540"/>
        <w:jc w:val="both"/>
        <w:rPr>
          <w:rFonts w:ascii="TimesNewRoman" w:hAnsi="TimesNewRoman" w:eastAsia="TimesNewRoman" w:cs="TimesNewRoman"/>
          <w:sz w:val="24"/>
        </w:rPr>
      </w:pPr>
      <w:bookmarkStart w:id="10" w:name="Par346"/>
      <w:bookmarkEnd w:id="10"/>
      <w:r>
        <w:rPr>
          <w:rFonts w:ascii="TimesNewRoman" w:hAnsi="TimesNewRoman" w:eastAsia="TimesNewRoman" w:cs="TimesNewRoman"/>
          <w:sz w:val="24"/>
        </w:rPr>
        <w:t xml:space="preserve">98. При необходимости проведения работ по реконструкции, модернизации, дооборудованию оборудования, приводящих к изменению характеристик и конструкции оборудования (далее - изменение конструкции или реконструкция) в целях повышения его технико-экономических показателей, изменения технологического процесса, а также изменения назначения оборудования, должны быть обеспечены следующие требования:</w:t>
      </w:r>
    </w:p>
    <w:p>
      <w:pPr>
        <w:pStyle w:val="Style_180"/>
        <w:spacing w:before="240" w:after="0" w:line="240" w:lineRule="auto"/>
        <w:ind w:left="0" w:firstLine="540"/>
        <w:jc w:val="both"/>
        <w:rPr>
          <w:rFonts w:ascii="TimesNewRoman" w:hAnsi="TimesNewRoman" w:eastAsia="TimesNewRoman" w:cs="TimesNewRoman"/>
          <w:sz w:val="24"/>
        </w:rPr>
      </w:pPr>
      <w:bookmarkStart w:id="11" w:name="Par347"/>
      <w:bookmarkEnd w:id="11"/>
      <w:r>
        <w:rPr>
          <w:rFonts w:ascii="TimesNewRoman" w:hAnsi="TimesNewRoman" w:eastAsia="TimesNewRoman" w:cs="TimesNewRoman"/>
          <w:sz w:val="24"/>
        </w:rPr>
        <w:t xml:space="preserve">1) Изменение конструкции оборудования под давлением должно производиться по проекту (конструкторской документации), выполненному или согласованному организацией-изготовителем (разработчиком проекта) оборудования, а при ее отсутствии - организацией, специализирующейся на проектировании аналогичного оборудования и обладающей правами выполнения таких работ в соответствии с требованиями законодательства Российской Федерации.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случае если указанные работы проводятся в объеме реконструкции или технического перевооружения ОПО, то помимо разработки проектной (конструкторской) документации на оборудование, требования по выполнению всего комплекса работ должны быть определены проектной документацией, разработанной в соответствии с законодательством о градостроительной деятельности и (или) в области промышленной безопасности.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 Изменения проекта реконструкции оборудования, необходимость которых возникла при проведении работ по изменению конструкции оборудования, должны быть согласованы с разработчиком проекта выполнения таких работ и внесены в проектную (конструкторскую) документацию.</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 В случае если объем и характер работ предусматривает изменение конструкции основных элементов и технических характеристик оборудования, создающих необходимость оформления нового комплекта технической документации (в том числе паспорта, руководства (инструкции) по эксплуатации, комплекта чертежей), то после окончания таких работ должно быть обеспечено: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подтверждение соответствия оборудования под давлением требованиям ТР ТС 032/2013;</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проведение экспертизы промышленной безопасности, если форма оценки соответствия оборудования не установлена техническим регламентом;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ввод в эксплуатацию в соответствии с требованиями настоящих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этом случае ответственной за безопасность оборудования после изменения его конструкции является организация, разработавшая проектную (конструкторскую) документацию на изменение конструкции оборудования, а также организация, выполнившая предусмотренные этой документацией работы и оформившая соответствующий комплект технической документации, в связи с чем необходимость их согласования, указанного в  настоящих ФНП, с организацией-изготовителем (разработчиком проекта) оборудования, выпущенного до вступления в силу ТР ТС 032/2013, определяет разработчик проекта реконструкции (модернизации)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Оформление нового паспорта необходимо, в случае если объем предусмотренных проектной (конструкторской) документацией и фактически произведенных изменений конструкции и характеристик оборудования не обеспечивает возможность дальнейшей идентификации такого оборудования на основании сведений о его назначении, конструкции (устройстве) и технических характеристиках, указанных в ранее оформленном паспорте.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Оформление нового руководства (инструкции) по эксплуатации необходимо, в случае если выполнение работ привело к изменению параметров и режимов работы, технологического процесса и порядка подготовки оборудования к пуску, пуска и остановки, а также обслуживания оборудования, в части объема и последовательности выполняемых при этом действий (технологических операций).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 Необходимость подтверждения соответствия оборудования, выпущенного в период действия ТР ТС 032/2013 и проходившего подтверждение соответствия в форме сертификации, определяет согласно пункту 54 ТР ТС 032/2013 орган по сертификации, ранее выдавший сертификат соответствия такого оборудования по обращению организации-изготовителя или иной организации, ранее получившей сертификат.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После изменения конструкции и технических характеристик оборудования, выпущенного до вступления в силу ТР ТС 032/2013, необходимость проведения подтверждения соответствия требованиям ТР ТС 032/2013 или экспертизы промышленной безопасности до начала применения определяет разработчик проектной (конструкторской) документации на выполнение таких работ в зависимости от их объема и характера, в том числе, в случае если проектом предусмотрено: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выполнение работ на основании документации, не согласованной с первоначальным разработчиком проекта и организацией-изготовителем оборудования в связи с его отсутствием или по иным причинам;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изменение конструкции оборудования или его основных элементов, объем которых требует внесения изменений в раздел паспорта "технические характеристики", а также если объем внесенных изменений в конструкцию оборудования и замененных при этом элементов приводит к неактуальности сведений из старого паспорта, не обеспечивающих возможность однозначной идентификации оборудования с учетом произведенных изменений;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полная или частичная замена основных элементов с установлением в технической документации (паспорте, руководстве по эксплуатации) нового срока службы для оборудования в целом и ограниченного периода эксплуатации незамененных элементов (по истечении которого они должны быть заменены или подвергнуты техническому диагностированию для определения фактического технического состояния и возможности дальнейшего применения).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 В случае если проведение работ по реконструкции оборудования в объеме реконструкции или технического перевооружения ОПО предусматривает изменение технологического процесса (или) назначения оборудования с утратой ранее имевшихся из числа указанных в  настоящих ФНП признаков опасности переводом на режим работы под давлением не более 0,05 МПа или под налив или с температурой воды не более 110 °C, требования ТР ТС 032/2013 не применяются, а необходимость проведения экспертизы промышленной безопасности или выполнения требований других технических регламентов определяется разработчиком проектной (конструкторской) документации в зависимости от характеристик оборудования и наличия иных признаков опасности изменившегося объекта.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99. При эксплуатации оборудования, по характеристикам относящегося к области применения ТР ТС 032/2013, но выпущенного в обращение до его вступления в силу, конструкция и характеристики которого не изменялись (в отношении которого не проводились работы, указанные в  ФНП), должны быть обеспечены выполнение требований ФНП, соответствие конструкции (устройства) такого оборудования, а также укомплектованность его средствами измерения, арматурой, предохранительными и другими предусмотренными технической документацией устройствами, автоматизированными системами управления и безопасности, указаниям проекта и технической документации организации-изготовителя.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Элементы и комплектующие, применяемые при ремонте оборудования, должны соответствовать требованиям технических регламентов, действующих на момент их выпуска в обращение.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процессе эксплуатации оборудования под давлением его работоспособное состояние и соответствие установленным к нему требованиям должны обеспечиваться проведением технического обслуживания, планово-предупредительных и неплановых (при необходимости их проведения по техническому состоянию оборудования) ремонтов силами работников соответствующих подразделений эксплуатирующих организаций, а также специализированных организаций (при необходимости) в соответствии с указаниями руководства (инструкции) по эксплуатации, НД, применяемых эксплуатирующей организацией, и требованиями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100. Применяемые при монтаже, ремонте и реконструкции (модернизации) оборудования под давлением материалы и полуфабрикаты должны обеспечивать безопасные эксплуатационные параметры, определяемые их механическими свойствами, химическим составом, технологией изготовления, методами и объемами испытаний и контроля качества, гарантированным уровнем расчетных и технологических характеристик, и должны соответствовать требованиям технической документации организации-изготовителя и проектной документации. Использование при ремонте оборудования иных материалов допускается при условии согласования возможности их применения с разработчиком проекта и (или) организацией-изготовителем оборудования, а в случае их отсутствия на основании рекомендаций (заключений) проектных организаций и организаций, осуществляющих научно-исследовательскую или научно-техническую деятельность, и компетентных в области материаловедения и проектирования аналогичного оборудования.</w:t>
      </w:r>
    </w:p>
    <w:p>
      <w:pPr>
        <w:pStyle w:val="Style_180"/>
        <w:spacing w:before="240" w:after="0" w:line="240" w:lineRule="auto"/>
        <w:ind w:left="0" w:firstLine="540"/>
        <w:jc w:val="both"/>
        <w:rPr>
          <w:rFonts w:ascii="TimesNewRoman" w:hAnsi="TimesNewRoman" w:eastAsia="TimesNewRoman" w:cs="TimesNewRoman"/>
          <w:sz w:val="24"/>
        </w:rPr>
      </w:pPr>
      <w:bookmarkStart w:id="12" w:name="Par368"/>
      <w:bookmarkEnd w:id="12"/>
      <w:r>
        <w:rPr>
          <w:rFonts w:ascii="TimesNewRoman" w:hAnsi="TimesNewRoman" w:eastAsia="TimesNewRoman" w:cs="TimesNewRoman"/>
          <w:sz w:val="24"/>
        </w:rPr>
        <w:t xml:space="preserve">101. Работники специализированной организации, непосредственно осуществляющие работы по монтажу (демонтажу), ремонту, реконструкции (модернизации) и наладке оборудования под давлением в порядке, установленном в соответствии положениями законодательства Российской Федерации в области промышленной безопасности и ФНП распорядительными документами организации, должны пройти: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руководители и инженерно-технические работники - аттестацию в области промышленной безопасности в объеме требований промышленной безопасности, необходимых для исполнения трудовых обязанностей в соответствии с положениями статьи 14.1 Федерального закона N 116-ФЗ.</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рабочие - подготовку в объеме квалификационных требований (в рамках профессионального обучения), проверку знаний в объеме требований производственных инструкций и (или) инструкций для данной профессии, а также в объеме технологических процессов, инструкций и карт на производство отдельных видов работ.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Проверка знаний требований производственных инструкций и (или) инструкций для данной профессии у рабочих проводится один раз в 12 месяцев. Ознакомление и проверка знаний технологических процессов, инструкций и карт на производство конкретного вида работ проводится непосредственно перед началом ее выполнения.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102. Компетентность сварщиков, специалистов сварочного производства и специалистов неразрушающего контроля, участвующих в работах по ремонту, монтажу, реконструкции (модернизации) оборудования под давлением в целях установления возможности их допуска к выполнению работ должна быть подтверждена в соответствии с положениями законодательства Российской Федерации.</w:t>
      </w:r>
    </w:p>
    <w:p>
      <w:pPr>
        <w:pStyle w:val="Style_180"/>
        <w:spacing w:before="240" w:after="0" w:line="240" w:lineRule="auto"/>
        <w:ind w:left="0" w:firstLine="540"/>
        <w:jc w:val="both"/>
        <w:rPr>
          <w:rFonts w:ascii="TimesNewRoman" w:hAnsi="TimesNewRoman" w:eastAsia="TimesNewRoman" w:cs="TimesNewRoman"/>
          <w:sz w:val="24"/>
        </w:rPr>
      </w:pPr>
      <w:bookmarkStart w:id="13" w:name="Par373"/>
      <w:bookmarkEnd w:id="13"/>
      <w:r>
        <w:rPr>
          <w:rFonts w:ascii="TimesNewRoman" w:hAnsi="TimesNewRoman" w:eastAsia="TimesNewRoman" w:cs="TimesNewRoman"/>
          <w:sz w:val="24"/>
        </w:rPr>
        <w:t xml:space="preserve">103. Элементы, арматура, предохранительные устройства и иные комплектующие, выдерживающие воздействие избыточного давления, применяемые при монтаже и ремонте (для замены неработоспособных) оборудования под давлением, должны соответствовать требованиям настоящих ФНП, проектной и технической документации, а также требованиям технических регламентов, действующих в отношении перечисленных изделий в период выпуска их в обращение и поставки эксплуатирующей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этом к основным элементам оборудования относятся элементы, выдерживающие воздействие давления и температуры рабочей среды, а также иные элементы, обеспечивающие выполнение основных функций оборудования, в состав которого они включены согласно проекту, в том числе в целях обеспечения требований ФНП к конкретным видам (типам) оборудования рассматриваются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корпус сосуда и его составные части (цилиндрические и конические обечайки, приварные и съемные днища, корпусные фланцы, люки, быстросъемные крышки), внутренние элементы, конические переходы, бобышки, штуцера и патрубки (неразъемно присоединенные к корпусу), входящие в состав конструкции сосуда в пределах границ, определенных разработчиком проекта, сведения о которых внесены организацией-изготовителем в паспорт сосуда (далее - основные элементы (части) сосуда);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сборочные единицы, изготовленные в условиях организации-изготовителя, предназначенные для выполнения одной из основных функций трубопровода, включая прямолинейные и изогнутые участки, коллекторы, а также фасонные детали, обеспечивающие изменение направления, слияние или деление, расширение или сужение потока рабочей среды (далее - основные элементы (части) трубопровода).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Границы сосуда определяются входными и выходными штуцерами, а также присоединенными к ним патрубками (трубопроводами обвязки) с установленными на них арматурой, предохранительными и иными устройствами (при их наличии в случаях, установленных проектом), входящими в состав конструкции сосуда и указанными организацией-изготовителем в паспорте и чертежах общего вида сосуда.</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Требования к организациям, осуществляющим монтаж,</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ремонт, реконструкцию (модернизацию), наладку оборудования,</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и к работникам этих организаций</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104. Специализированная организация должна: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обеспечить наличие руководителей и специалистов, удовлетворяющих требованиям  настоящих ФНП, для обеспечения выполнения работ в рамках их должностных обязанностей и полномочий, в том числе выявления случаев отступления от требований к качеству работ, от процедур выполнения работ и принятия мер по предупреждению или сокращению таких отступлений;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располагать персоналом в количестве, установленном распорядительными документами специализированной организации и позволяющем обеспечивать выполнение технологических процессов при производстве соответствующих работ;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не допускать к производству работ по монтажу (демонтажу), наладке либо ремонту или реконструкции (модернизации) оборудования под давлением лиц, не имеющих квалификации, соответствующей характеру выполняемых работ, не достигших восемнадцатилетнего возраста, а также имеющих медицинские противопоказания к выполнению указанных работ;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определить процедуры контроля соблюдения технологических процессов;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устанавливать ответственность, полномочия и порядок взаимоотношений работников, занятых в управлении, выполнении или проверке выполнения работ.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105. Технологическая подготовка производства работ и осуществление производственно-технологического процесса в специализированной организации должны исключать использование материалов и изделий, на которые отсутствуют документы, подтверждающие их соответствие и качество (сертификаты, паспорта, формуляры).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монтаже, ремонте, реконструкции (модернизации) оборудования запрещается использование стальных труб и иных материалов, ранее бывших в употреблении, за исключением случаев применения таких труб в составе обводных (байпасных) и продувочных линий, временно обустраиваемых на ограниченный период времени, определенный проектом монтажа, ремонта, реконструкции (модернизации) системы трубопроводов.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106. Специализированная организация должна располагать необходимой документацией, обеспечивающей выполнение заявленных видов работ, к числу которой относятся: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нормативные документы, необходимость применения которых для обеспечения требований промышленной безопасности, установленных законодательством в области промышленной безопасности и ФНП при выполнении соответствующих работ установлена специализированной организацией в виде утвержденного перечня или иного распорядительного документа;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проектная (конструкторская) и техническая документация на оборудование под давлением, монтаж (демонтаж), наладка, ремонт, реконструкция (модернизация) которого осуществляется (включая комплект рабочих чертежей, комплект чертежей организации-изготовителя на заменяемые при ремонте оборудования элементы, актуализированных организацией-изготовителем или (при его отсутствии) организацией исполнителем работ по ремонту в соответствии с действующими требованиям на момент их производства);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технологическая документация на производство заявленных видов работ (технологические инструкции, процессы, карты, проекты производства монтажно-демонтажных работ), разработанная до начала этих работ;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типовые программы (методики) пуско-наладки, испытаний и комплексного опробования монтируемого (ремонтируемого, реконструируемого) оборудования под давлением, проводимых по окончании монтажа, ремонта, реконструкции.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107. Для обеспечения технологических процессов при выполнении работ по монтажу (демонтажу), наладке либо ремонту или реконструкции (модернизации) специализированная организация, в зависимости от осуществляемых видов деятельности, должна иметь: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комплекты оборудования, приборов и устройств, необходимых для контроля технического состояния оборудования под давлением до начала выполнения работ, в процессе их выполнения и после завершения, в том числе контроля качества выполненных работ;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сборочно-сварочное, термическое оборудование, необходимое для выполнения работ по резке, правке, сварке и термической обработке металла, а также необходимые сварочные материалы;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контрольное оборудование, приборы и инструменты, необходимые для выявления недопустимых дефектов сварных соединений и специалистов с квалификацией соответствующей, применяемым методам контроля;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средства измерения и контроля, прошедшие поверку и позволяющие выполнять наладочные работы, оценивать работоспособность, выполнять ремонт, реконструкцию (модернизацию);</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технологическую оснастку и оборудование, в т.ч. такелажные и монтажные приспособления, грузоподъемные механизмы, домкраты, стропы, необходимые для проведения работ по монтажу (демонтажу), ремонту, реконструкции (модернизации), а также вспомогательные приспособления (подмости, ограждения, леса), которые могут быть использованы при проведении работ.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108. Работники специализированных организаций, непосредственно выполняющие работы по монтажу (демонтажу), наладке либо ремонту или реконструкции (модернизации) оборудования под давлением, должны отвечать следующим требованиям: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иметь документы, подтверждающие прохождение профессионального обучения по соответствующим видам рабочих специальностей, а также документ о допуске к самостоятельной работе (для рабочих), оформленный в порядке, установленном распорядительными документами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иметь документы о прохождении аттестации (для руководителей и инженерно-технических работников);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знать и соблюдать требования технологических документов и инструкций по проведению заявленных работ;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знать основные источники опасностей при проведении выполняемых работ, знать и применять на практике способы защиты от них, а также безопасные методы выполнения работ;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знать и уметь применять способы выявления и технологию устранения дефектов в процессе монтажа, ремонта, реконструкции (модернизации);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 знать и уметь применять для выполнения монтажа (демонтажа), ремонта и реконструкции (модернизации) оборудования такелажные и монтажные приспособления, грузоподъемные механизмы, стропы, соответствующие по грузоподъемности массам монтируемых (демонтируемых), ремонтируемых и реконструируемых (модернизируемых) элементов;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ж) знать и уметь применять установленный в утвержденных распорядительными документами организации инструкциях порядок обмена условными сигналами между работником, руководящим работами по монтажу (демонтажу) оборудования, и остальными работниками, задействованными при монтаже (демонтаже)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з) знать и выполнять правила строповки, основные схемы строповки грузов (при выполнении обязанностей стропальщика), а также требования промышленной безопасности при подъеме и перемещении грузов;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 знать порядок и методы выполнения работ по наладке и регулированию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 уметь применять контрольные средства, приборы, устройства при проверке, наладке и испытаниях.</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Требования к монтажу, ремонту и реконструкции</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(модернизации) оборудования</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109. Монтаж, ремонт и реконструкция (модернизация) оборудования под давлением с применением сварки и термической обработки должны быть проведены по технологии, разработанной до начала производства работ специализированной организацией, выполняющей соответствующие работы, на основании рабочих чертежей и иной конструкторской документацией разработчика проекта и документации организации-изготовителя оборудования для вновь монтируемого или реконструируемого оборудования, а также чертежей изготовителя на заменяемые при ремонте оборудования элементы, актуализированных организацией-изготовителем или (при его отсутствии) организацией исполнителем работ по ремонту в соответствии с действующими требованиям на момент их производства).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Все положения принятой технологии должны быть отражены в технологической документации (технологических инструкциях, процессах, картах, проекте производства работ при монтаже (демонтаже), ремонте, реконструкции), регламентирующей содержание и порядок выполнения всех технологических и контрольных операций.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110. При монтаже, ремонте и реконструкции (модернизации) с применением сварки и термической обработки должна быть применена установленная распорядительными документами специализированной организации система контроля качества (входной, операционный, приемочный), обеспечивающая выполнение работ в соответствии с настоящими ФНП и технологической документацией.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Входной контроль дополнительно применяемых материалов и полуфабрикатов, не входящих в комплект поставки (не указанных в паспортах) организации-изготовителя оборудования или его элементов, помимо проведения проверки соответствия нанесенной на них маркировки сведениям, указанным в сопроводительной документации, должен предусматривать выборочную проверку соответствия фактических характеристик приобретенного материала до начала его применения с применением методов неразрушающего контроля или разрушающего (при необходимости) контроля.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111. Текущий профилактический ремонт и техническое обслуживание оборудования, не требующие применения сварки и термической обработки, выполняют работники (ремонтный персонал) соответствующих подразделений эксплуатирующей или специализированной организации. Порядок выполнения, объем и периодичность выполнения работ определяют утвержденные в эксплуатирующей организации производственные и технологические инструкции, разработанные с учетом требований руководств (инструкций) по эксплуатации и фактического состояния оборудования.</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Резка и деформирование полуфабрикатов</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112. Резка листов, труб и других полуфабрикатов, а также вырезка отверстий могут быть произведены любым способом (механическим, газопламенным, электродуговым, плазменным). Конкретный способ и технологию резки устанавливает технологическая документация в зависимости от классов сталей (характеристик материала).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113. Применяемая технология термической резки материалов, чувствительных к местному нагреву и охлаждению, должна исключать образование трещин на кромках и ухудшение свойств металла в зоне термического влияния. В случаях, предусмотренных технологической документацией, следует предусматривать предварительный подогрев и последующую механическую обработку кромок для удаления слоя металла с ухудшенными в процессе резки свойствами.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114. Гибку труб допускается производить любым освоенным специализированной организацией способом, обеспечивающим получение качества гиба, соответствующего требованиям технологической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115. Для обеспечения сопряжения поперечных стыков труб допускается расточка, раздача или обжатие концов труб. Значения расточки, деформация раздачи или обжатия принимаются в пределах, установленных технологической документацией.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116 Холодный натяг трубопроводов, если он предусмотрен проектом, может быть произведен лишь после выполнения всех сварных соединений, за исключением замыкающего, окончательного закрепления неподвижных опор на концах участка, подлежащего холодному натягу, а также после термической обработки (при необходимости ее проведения) и контроля качества сварных соединений, расположенных по всей длине участка, на котором необходимо произвести холодный натяг.</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Сварка</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117. При выполнении сварочных работ следует руководствоваться требованиями федеральных норм и правил, устанавливающими общие требования к производству сварочных работ на опасных производственных объектах, и положениями настоящих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118. Перед началом сварки должно быть проверено качество сборки соединяемых элементов, а также состояние стыкуемых кромок и прилегающих к ним поверхностей. При сборке не допускается подгонка кромок ударным способом или местным нагревом.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119. Подготовка кромок и поверхностей под сварку должна быть выполнена механической обработкой либо путем термической резки или строжки (кислородной, воздушно-дуговой, плазменно-дуговой) с последующей механической обработкой (резцом, фрезой, абразивным инструментом). Глубина механической обработки после термической резки (строжки) должна быть указана в технологической документации в зависимости от восприимчивости конкретной марки стали к термическому циклу резки (строжки).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120. При сборке стыковых соединений труб с односторонней разделкой кромок и свариваемых без подкладных колец и подварки корня шва смещение (несовпадение) внутренних кромок не должно превышать значений, установленных в технологической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121. Кромки деталей, подлежащих сварке, и прилегающие к ним участки должны быть очищены от окалины, краски, масла и других загрязнений в соответствии с требованиями технологической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122. Приварка и удаление вспомогательных элементов (сборочных устройств, временных креплений) должны быть произведены в соответствии с указаниями чертежей и технологической документации по технологии, исключающей образование трещин и закалочных зон в металле оборудования под давлением. Приварку этих элементов должен выполнять сварщик, допущенный к проведению сварочных работ на данном оборудовании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123. Последовательность проведения сварки должна обеспечивать наименьшую деформацию изделий и материалов.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124. Прихватка собранных под сварку элементов должна быть выполнена с использованием тех же сварочных материалов, которые будут применены (или допускаются к применению) для сварки данного соединения.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Прихватки при дальнейшем проведении сварочных работ удаляются или переплавляются основным швом.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125. Сварочные материалы должны быть проконтролированы: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на наличие соответствующей сопроводительной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каждая партия электродов - на сварочно-технологические свойства, а также на соответствие содержания легирующих элементов нормированному составу путем стилоскопирования (или другим спектральным методом, обеспечивающим подтверждение наличия в металле легирующих элементов) наплавленного металла, выполненного легированными электродами;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каждая партия порошковой проволоки - на сварочно-технологические свойства;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каждая бухта (моток, катушка) легированной сварочной проволоки - на наличие основных легирующих элементов путем стилоскопирования или другим спектральным методом, обеспечивающим подтверждение наличия в металле легирующих элементов;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каждая партия проволоки с каждой партией флюса, которые будут использованы совместно для автоматической сварки под флюсом - на механические свойства металла шва.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126. Технология сварки при монтаже, ремонте, реконструкции (модернизации) оборудования под давлением допускается к применению при условии подтверждения ее технологичности на реальных изделиях, проверки всего комплекса требуемых свойств (характеристик) сварных соединений и освоения эффективных методов контроля их качества, и должна быть аттестована.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127. Аттестацию технологии сварки подразделяют на исследовательскую и производственную.</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Исследовательскую аттестацию необходимо проводить при подготовке к внедрению новой технологии сварки.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Производственную аттестацию технологии сварки осуществляют до начала ее применения в рамках проверки готовности организаций к выполнению сварочных работ в условиях конкретного производства.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128. Исследовательскую аттестацию технологии сварки проводят в целях определения характеристик сварных соединений, необходимых для расчетов при проектировании и выдаче технологических рекомендаций (область применения технологии, сварочные материалы, режимы подогрева, сварки и термической обработки, гарантируемые показатели приемо-сдаточных характеристик сварного соединения, методы контроля).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Характеристики сварных соединений, определяемые при исследовательской аттестации, выбирают в зависимости от вида и назначения основного металла и следующих условий эксплуатации сварных соединений: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механические свойства при нормальной (20 +/- 10 °C) и рабочей температуре, в том числе временное сопротивление разрыву, предел текучести, относительное удлинение и относительное сужение металла шва, ударная вязкость металла шва и зоны термического влияния сварки, временное сопротивление разрыву и угол изгиба сварного соединения;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длительная прочность, пластичность и ползучесть;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циклическая прочность;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критическая температура хрупкости металла шва и зоны термического влияния сварки;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стабильность свойств сварных соединений после термического старения при рабочей температуре;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 интенсивность окисления в рабочей среде;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ж) отсутствие недопустимых дефектов;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з) стойкость против межкристаллитной коррозии (для сварных соединений элементов из сталей аустенитного класса);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 характеристики, специфические для выполняемых сварных соединений, устанавливаемые организацией, проводящей их исследовательскую аттестацию.</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129. Производственная аттестация технологии сварки должна осуществляться с целью подтверждения того, что организация, занимающаяся монтажом, ремонтом, реконструкцией (модернизацией) оборудования под давлением, обладает техническими, организационными возможностями и квалифицированными кадрами для производства сварки по аттестуемым технологиям, а также проверки того, что сварные соединения (наплавки), выполненные в условиях конкретного производства по аттестуемой технологии, обеспечивают соответствие требованиям ФНП, НД и технологической документации по сварке.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случае положительных результатов проверки наличия технических, кадровых и организационных возможностей организации необходимо выполнить сварку контрольных сварных соединений с применением конкретной технологии в условиях площадки производства сварочных работ на объекте в процессе строительства, монтажа, ремонта, изготовления, либо на специально организованном (на время строительства, монтажа, ремонта или на постоянной основе) участке (базе) для выполнения работ, включающих сборку и сварку производственных сварных соединений.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130. Производственную аттестацию проводят в соответствии с разработанной до начала ее проведения программой, которая должна предусматривать проведение неразрушающего и разрушающего контроля сварных соединений, оценку качества сварки по результатам контроля и оформление итогового документа по результатам производственной аттестации.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Порядок проведения производственной аттестации определяется в технологической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Если при производственной аттестации технологии сварки получены неудовлетворительные результаты по какому-либо виду испытаний, аттестационная комиссия должна принять меры по выяснению причин несоответствия полученных результатов установленным требованиям и принять решение о проведении повторные испытания или невозможности использования данной технологии для сварки производственных соединений и необходимости ее доработки.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131. В случае ухудшения свойств или качества сварных соединений по отношению к уровню, установленному производственной аттестацией, организация должна приостановить применение технологии сварки, установить и устранить причины, вызвавшие их ухудшение, и провести повторную производственную аттестацию, а при необходимости - и исследовательскую аттестацию.</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132. При монтаже, ремонте, реконструкции (модернизации) оборудования под давлением применяются аттестованные технологии сварки, предусмотренные проектно-конструкторской, технической и технологической документацией и обеспечивающие качество выполнения работ с учетом примененных в конструкции оборудования материалов.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Не допускается применение газовой сварки для деталей из аустенитных сталей и высокохромистых сталей мартенситного и мартенситно-ферритного класса.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133. Сварка элементов, работающих под избыточным давлением, должна проводиться при положительной температуре окружающего воздуха. Допускается выполнять сварку в условиях отрицательной температуры при соблюдении требований технологической документации и создании необходимых условий для защиты места сварки и сварщика от воздействий ветра и атмосферных осадков. При отрицательной температуре окружающего воздуха металл в районе сварного соединения перед сваркой должен быть просушен и прогрет с доведением температуры до положительного значения.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134. Необходимость и режим предварительного и сопутствующих подогревов свариваемых деталей определяются технологией сварки и должны быть указаны в технологической документации. При отрицательной температуре окружающего воздуха подогрев свариваемых деталей производят в тех же случаях, что и при положительной, при этом температура подогрева должна быть выше на 50 °C.</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135. После сварки шов и прилегающие участки должны быть очищены от шлака, брызг металла и других загрязнений.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Внутренний грат в стыках труб, выполненных контактной сваркой, должен быть удален для обеспечения заданного проходного сечения.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136. Термическая обработка элементов оборудования при монтаже, ремонте, реконструкции (модернизации) проводится в случаях, установленных технологической документацией с учетом рекомендаций организации-изготовителя, указанных в руководстве (инструкции) по эксплуатации, при этом:</w:t>
      </w:r>
    </w:p>
    <w:p>
      <w:pPr>
        <w:pStyle w:val="Style_180"/>
        <w:spacing w:before="240" w:after="0" w:line="240" w:lineRule="auto"/>
        <w:ind w:left="0" w:firstLine="540"/>
        <w:jc w:val="both"/>
        <w:rPr>
          <w:rFonts w:ascii="TimesNewRoman" w:hAnsi="TimesNewRoman" w:eastAsia="TimesNewRoman" w:cs="TimesNewRoman"/>
          <w:sz w:val="24"/>
        </w:rPr>
      </w:pPr>
      <w:bookmarkStart w:id="14" w:name="Par478"/>
      <w:bookmarkEnd w:id="14"/>
      <w:r>
        <w:rPr>
          <w:rFonts w:ascii="TimesNewRoman" w:hAnsi="TimesNewRoman" w:eastAsia="TimesNewRoman" w:cs="TimesNewRoman"/>
          <w:sz w:val="24"/>
        </w:rPr>
        <w:t xml:space="preserve">1) Стыки труб из сталей 12Х1МФ и 15Х1М1Ф (соответственно и из литых деталей) при толщине стенки более 45 мм независимо от диаметра труб и при толщине стенки более 25 мм при диаметре труб 600 мм и более необходимо подвергать термообработке сразу после окончания сварки, не допуская охлаждения стыка ниже 300 °C.</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невозможности по техническим причинам (в том числе прекращение электропитания, повреждение оборудования, необходимость перестановки индуктора) провести термообработку таких сварных соединений непосредственно после сварки, необходимо медленно охладить стык под слоем тепловой изоляции толщиной 8 - 15 мм, а после устранения причин прекращения термообработки сразу возобновить процесс термообработки.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Если твердость металла шва после термообработки превышает допустимую, необходимо произвести повторный отпуск, но не более трех раз с учетом первоначального.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Термообработку необходимо завершить не позднее чем через 3 дня после окончания сварки.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 До проведения термообработки запрещается подвергать сварные соединения воздействию нагрузок, снимать блоки с опор, кантовать, транспортировать.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 Перед термообработкой на участках трубопроводов, расположенных горизонтально, необходимо установить временные опоры на расстоянии не более 1 метра по обе стороны от сварного соединения, а для участков трубопроводов, расположенных вертикально, следует разгрузить сварное соединение от веса трубопровода путем его закрепления. Временные опоры можно убирать только после полного остывания стыка.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 Термообработку стыков труб следует выполнять до холодного натяга трубопровода, то есть до сборки и сварки замыкающего стыка.</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Контроль качества сварных соединений и металла оборудования</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137. При сборке (изготовлении) на месте эксплуатации, монтаже, ремонте, реконструкции (модернизации) оборудования под давлением должна быть применена система контроля качества (входной, операционный, приемочный) сварных соединений и материалов, гарантирующая выявление недопустимых дефектов, высокое качество и надежность эксплуатации этого оборудования и его элементов.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138. Входной контроль применяемых материалов, полуфабрикатов, деталей, элементов и иных комплектующих изделий (далее - материалы и изделия или продукция) должен обеспечивать их идентификацию (верификацию) до начала применения при производстве работ, в том числе выполнением проверки (контроля):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документов (сертификатов, деклараций), подтверждающих соответствие продукции требованиям технических регламентов (если такие требования к ним установлены), на предмет наличия, проверки достоверности, а также сравнительной оценки соответствия указанных в них сведений фактическому наименованию, характеристикам, виду (типу, модели) поставленной продукции и иной имеющейся информации, обеспечивающей ее идентификацию;</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сопроводительной документации на продукцию, удостоверяющей качество и комплектность продукции, на предмет ее наличия и проверки фактического соответствия комплектности поставленной продукции и нанесенной на нее маркировки сведениям, указанным в сопроводительной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соответствия комплектности, качества и характеристик поставленной продукции требованиям проектной (конструкторской) и нормативно-технической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Контроль должен предусматривать выборочную проверку соответствия фактических характеристик материалов и изделий с применением методов неразрушающего контроля или разрушающего (при необходимости) контроля.</w:t>
      </w:r>
    </w:p>
    <w:p>
      <w:pPr>
        <w:pStyle w:val="Style_180"/>
        <w:spacing w:before="240" w:after="0" w:line="240" w:lineRule="auto"/>
        <w:ind w:left="0" w:firstLine="540"/>
        <w:jc w:val="both"/>
        <w:rPr>
          <w:rFonts w:ascii="TimesNewRoman" w:hAnsi="TimesNewRoman" w:eastAsia="TimesNewRoman" w:cs="TimesNewRoman"/>
          <w:sz w:val="24"/>
        </w:rPr>
      </w:pPr>
      <w:bookmarkStart w:id="15" w:name="Par494"/>
      <w:bookmarkEnd w:id="15"/>
      <w:r>
        <w:rPr>
          <w:rFonts w:ascii="TimesNewRoman" w:hAnsi="TimesNewRoman" w:eastAsia="TimesNewRoman" w:cs="TimesNewRoman"/>
          <w:sz w:val="24"/>
        </w:rPr>
        <w:t xml:space="preserve">139. При входном контроле сварочных материалов должны контролироваться: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наличие соответствующей сопроводительной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сварочно-технологические свойства каждой партии электродов, в том числе соответствие содержания легирующих элементов нормированному составу путем стилоскопирования (или другим спектральным методом, обеспечивающим подтверждение наличия в металле легирующих элементов) наплавленного металла, выполненного легированными электродами;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сварочно-технологические свойства каждой партии порошковой проволоки;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наличие основных легирующих элементов каждой бухты (мотка, катушки) легированной сварочной проволоки путем стилоскопирования или другим спектральным методом, обеспечивающим подтверждение наличия в металле легирующих элементов;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механические свойства металла шва каждой партии проволоки с каждой партией флюса, которые будут использованы совместно для автоматической сварки под флюсом.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140. Каждая часть сварочной проволоки, отделенная от бухты (мотка), должна быть снабжена биркой, на которой указываются марка, номер плавки и диаметр проволоки.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141. Материалы и изделия, не прошедшие идентификацию, входной контроль, не имеющие сопроводительную документацию и маркировку, не могут быть допущены для дальнейшего производства монтажа, ремонта, реконструкции (модернизации).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142. Операционный контроль должен обеспечивать поэтапное проведение контроля геометрических параметров деталей и заготовок, в том числе после их механической обработки, сборки конструкции или деталей и элементов оборудования под сварку, а также контроль качества сварных соединений в процессе производства работ.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143. Приемочный контроль качества сварных соединений должен быть проведен после выполнения всех этапов операционного контроля и технологических операций.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144. Методы и объем контроля должны быть предусмотрены в соответствии с требованиями настоящих ФНП и указаны в технологической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145. Контроль качества сварных соединений и материалов соединяемых при этом частей, деталей и элементов оборудования (далее - материалов) должен быть проведен в порядке, предусмотренном проектной (конструкторской) и технологической документацией.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146. Контроль качества сварных соединений и материалов при монтаже, ремонте, модернизации (реконструкции), в процессе эксплуатационного контроля, технического диагностирования, а также при проведении экспертизы промышленной безопасности, аттестации технологии сварки, аттестации сварщиков и контроле выполненных ими перед допуском к производству работ контрольных сварных соединений осуществляется лабораториями, подтвердившие свою компетентность в порядке, предусмотренном законодательством Российской Федерации.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Визуальный и измерительный контроль, а также проверку характеристик материалов (марка металла, наличие легирующих элементов) автоматическим прибором (анализатором металла), выполняемые в объеме входного контроля и операционного контроля, допускается проводить работникам соответствующей указанным видам контроля квалификации подразделений организации, обязанностями которых предусмотрено выполнение указанных операций.</w:t>
      </w:r>
    </w:p>
    <w:p>
      <w:pPr>
        <w:pStyle w:val="Style_180"/>
        <w:spacing w:before="240" w:after="0" w:line="240" w:lineRule="auto"/>
        <w:ind w:left="0" w:firstLine="540"/>
        <w:jc w:val="both"/>
        <w:rPr>
          <w:rFonts w:ascii="TimesNewRoman" w:hAnsi="TimesNewRoman" w:eastAsia="TimesNewRoman" w:cs="TimesNewRoman"/>
          <w:sz w:val="24"/>
        </w:rPr>
      </w:pPr>
      <w:bookmarkStart w:id="16" w:name="Par508"/>
      <w:bookmarkEnd w:id="16"/>
      <w:r>
        <w:rPr>
          <w:rFonts w:ascii="TimesNewRoman" w:hAnsi="TimesNewRoman" w:eastAsia="TimesNewRoman" w:cs="TimesNewRoman"/>
          <w:sz w:val="24"/>
        </w:rPr>
        <w:t xml:space="preserve">147. Контроль качества сварных соединений и материалов следует осуществлять с применением следующих методов: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визуальный и измерительный контроль;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ультразвуковой контроль;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радиографический контроль;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капиллярный и магнитопорошковый контроль;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стилоскопирование или другой спектральный метод, обеспечивающий подтверждение фактической марки металла или наличие в нем легирующих элементов;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 измерение твердости;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ж) контроль механических свойств, испытание на стойкость против межкристаллитной коррозии, металлографические исследования (разрушающий контроль);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з) гидравлические испытания;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 акустическая эмиссия;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 радиоскопия;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л) вихретоковый контроль;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м) определение содержания в металле шва ферритной фазы;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 пневматические испытания, если гидравлические испытания не проводят по указанию организации-изготовителя;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148. В зависимости от конструкции и материалов сварного соединения указанные в  настоящих ФНП методы контроля могут быть применены при аттестации технологии сварки, аттестации сварщиков и контроле выполненных ими перед допуском к производству работ контрольных сварных соединений в случаях, предусмотренных проектно-конструкторской и технологической документацией, а также при проведении экспертизы промышленной безопасности и эксплуатационного контроля (технического диагностирования) оборудования или отдельных элементов, в случаях, установленных в  настоящих ФНП, технической документации организации-изготовителя, нормативных документах конкретного типа, модели оборудования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применении методов неразрушающего контроля следует руководствоваться  к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149. Визуальный и измерительный контроль, а также предусмотренное технологической документацией стилоскопирование (или другой спектральный метод, обеспечивающий подтверждение фактической марки металла или наличие в нем легирующих элементов) должны предшествовать контролю другими методами.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150. Результаты по каждому виду проводимого контроля и места контроля должны фиксироваться в отчетной документации (журналы, формуляры, протоколы, маршрутные паспорта).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151. Средства контроля должны проходить метрологическую поверку и испытания в соответствии с законодательством Российской Федерации о стандартизации и единстве средств измерений.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152. Каждая партия материалов для дефектоскопии (пенетранты, порошок, суспензии, радиографическая пленка, химические реактивы) до начала их использования должна быть подвергнута входному контролю.</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153. Методы и объемы контроля сварных соединений приварных деталей, не работающих под внутренним давлением, должны быть установлены технологической документацией.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154. Результаты контроля качества сварных соединений признаются положительными, если при любом предусмотренном виде контроля не будут обнаружены внутренние и поверхностные дефекты, выходящие за пределы допустимых норм, установленных проектной (конструкторской) и технологической документацией, и настоящими ФНП.</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Визуальный и измерительный контроль</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155. Визуальному и измерительному контролю необходимо подвергать все сварные соединения в целях выявления следующих дефектов: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трещины всех видов и направлений;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свищи и пористости наружной поверхности шва;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подрезы;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наплывы, прожоги, незаплавленные кратеры;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отклонения по геометрическим размерам и взаимному расположению свариваемых элементов;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 смещения и совместный увод кромок свариваемых элементов свыше предусмотренных норм;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ж) несоответствие формы и размеров шва требованиям технологической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з) дефекты на поверхности основного металла и сварных соединений (вмятины, расслоения, раковины, непровары, поры, включения).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156. Перед визуальным контролем поверхности сварного шва и прилегающих к нему участков основного металла шириной не менее 20 мм в обе стороны от шва должны быть зачищены от шлака и других загрязнений.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Визуальный и измерительный контроль сварных соединений должен быть проведен с наружной и внутренней сторон (при наличии конструктивной возможности) по всей длине швов. В случае невозможности визуального и измерительного контроля сварного соединения с двух сторон его контроль должен быть проведен в порядке, предусмотренном разработчиком проекта оборудования под давлением, указанном в конструкторской и технической документации организации-изготовителя.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Оценку результатов визуального и измерительного контроля следует проводить в соответствии с проектной (конструкторской) и технологической документацией и  к настоящим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157. Поверхностные дефекты, выявленные при визуальном и измерительном контроле, должны быть исправлены до проведения контроля другими неразрушающими методами.</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Ультразвуковой и радиографический контроль</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158. Ультразвуковой и радиографический контроль проводят в целях выявления в сварных соединениях из металлов и сплавов несплошностей, в том числе: трещин, непроваров, пор, неметаллических и металлических включений, прожогов подкладного кольца с учетом следующего.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 Метод контроля (ультразвуковой, радиографический или оба метода в сочетании) необходимо выбирать исходя из возможности обеспечения наиболее полного и точного выявления дефектов конкретного вида сварных соединений с учетом особенностей физических свойств металла и данного метода контроля.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 Для конкретного вида (типа) конструкции оборудования под давлением и сварного соединения необходимость проведения и объем контроля, типы и размеры несплошностей (дефектов), подлежащих обнаружению, устанавливаются в стандартах и указывается в проектной (конструкторской) и технологической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 По результатам ультразвукового контроля сварных соединений и наплавок не допускаются групповые дефекты, протяженные и отдельные непротяженные дефекты, превышающие нормы, установленные НД, конструкторской и технологической документацией ( к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 По результатам радиографического контроля не допускаются трещины всех видов и направлений, свищи, прожоги и дефекты, превышающие допустимые по размерам и по количеству ( к настоящим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159. Стыковое сварное соединение, которое было подвергнуто ремонтной переварке (устранению дефекта сварного шва), должно быть проверено ультразвуковым или радиографическим контролем по всей длине сварного соединения.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Ремонтные заварки выборок металла должны быть проверены ультразвуковым или радиографическим контролем по всему участку заварки, включая зону термического влияния сварки в основном металле, дополнительно к этому поверхность участка должна быть проверена капиллярным или магнитопорошковым контролем. При заварке по всей толщине стенки контроль поверхности должен быть проведен с обеих сторон, за исключением случаев недоступности внутренней стороны для контроля.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160. Если при выборочном контроле сварных соединений, выполненных сварщиком, обнаружены недопустимые дефекты, то контролю должны быть подвергнуты все однотипные сварные соединения по всей длине, выполненные данным сварщиком.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161. Ультразвуковой и радиографический контроль стыковых сварных соединений по согласованию с разработчиком проектной документации может быть заменен другими методами неразрушающего контроля, позволяющими выявлять в сварных соединениях внутренние дефекты.</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Капиллярный и магнитопорошковый контроль</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162. Капиллярный и магнитопорошковый контроль следует проводить при необходимости выявления: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поверхностных дефектов: трещин, пор, шлаковых включений, раковин, межкристаллитной коррозии, коррозионного растрескивания и других несплошностей, а также мест их расположения, протяженности и характера распространения - капиллярный контроль;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поверхностных и подповерхностных дефектов в стальных ферромагнитных конструкциях и деталях - магнитопорошковый контроль.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163. Объем, класс и уровень чувствительности капиллярного и магнитопорошкового контроля должны быть установлены технологической документацией, разработанной на основании проектной (конструкторской) документации и НД с учетом  к ФНП и следующих условий.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 Приемочный капиллярный контроль должен проводиться после исправления дефектных участков поверхности и окончательной термообработки, если ее проведение предусмотрено технологическим процессом согласно технологической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 При применении нескольких видов контроля в отношении одного объекта капиллярный контроль должен выполняться до проведения ультразвукового и магнитопорошкового контроля. В случае проведения капиллярного контроля после магнитопорошкового объект контроля подлежит размагничиванию и очистке полостей несплошностей.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 По результатам капиллярного контроля на поверхности сварных соединений и наплавок не допускаются единичные и групповые индикаторные рисунки округлой или удлиненной форм.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 По результатам контроля магнитопорошковым методом на поверхности сварных соединений и наплавок не допускаются индикаторные рисунки осаждений магнитного порошка.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 При использовании капиллярного и (или) магнитопорошкового контроля в качестве дополнительного метода на поверхности поковок, штампованных заготовок, элементов оборудования, сортового проката, плакирующего слоя двухслойной стали, кромок под сварку не допускаются: трещины, заковы, закаты, плены, песочены, раковины, расслоения, рванины.</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Контроль стилоскопированием</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164. При контроле стилоскопированием или спектральным методом, обеспечивающим определение наличия в металле легирующих элементов или его фактической марки для подтверждения соответствия металла сварных швов и деталей, элементов оборудования под давлением из легированной стали требованиям проектной (конструкторской) и технологической документации должно обеспечиваться следующее.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 При монтаже, ремонте, реконструкции стилоскопированию подлежат: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все свариваемые части конструкций и деталей (трубы, арматура, переходы, отводы, тройники, штуцера, бобышки и другие детали и элементы) независимо от наличия сертификата, маркировки и предстоящего срока эксплуатации, которые по проекту должны быть выполнены из легированной стали (кроме низколегированных конструкционных материалов), при этом определяют наличие (содержание) в материале контролируемого изделия характерных легирующих элементов и устанавливают его соответствие марке стали, указанной в чертежах или технических условиях. Стилоскопирование свариваемых деталей производят перед сборкой или непосредственно в процессе сборки, а также после окончания монтажа (ремонта);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металл шва сварных соединений, выполненных легированным присадочным материалом, в объеме 100% стыков трубопроводов, 20% стыков труб поверхностей нагрева и 10% угловых сварных соединений (приварки к коллекторам и трубам штуцеров, бобышек, деталей креплений и прочих элементов).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 Стилоскопирование металла шва выполняется до термообработки сварных соединений (за исключением случаев, оговоренных в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Сварное соединение, выполненное одновременно двумя сварщиками, необходимо стилоскопировать на двух диаметрально противоположных участках шва, в случае выполнения работ одним сварщиком стилоскопирование можно осуществлять на одном участке.</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Измерение твердости</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165. В целях проверки качества выполнения термической обработки сварных соединений должно проводиться измерение твердости металла сварных соединений, выполненных из легированных теплоустойчивых сталей перлитного и мартенситно-ферритного классов, методами и в объеме, установленными технологической документацией.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Измерение твердости основного металла и сварных соединений при техническом освидетельствовании, техническом диагностировании и экспертизе промышленной безопасности должно проводиться в случаях:</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тяжелых условий эксплуатации или аварийной ситуации в результате которых могли произойти необратимые изменения показателя твердости, являющегося одной из определяющих характеристик свойств основного металла и сварных соединений по паспорту;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необратимых изменений механических свойств в результате эксплуатации оборудования в условиях аварийной ситуации для оценки механических свойств по показателю твердости;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необходимости идентификации основных и сварочных материалов при отсутствии сведений о них, а также необходимости идентификации импортных сталей - для оценки механических свойств.</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Механические испытания, металлографические исследования,</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испытания на стойкость против межкристаллитной коррозии</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166. Механическим испытаниям должны быть подвергнуты контрольные стыковые сварные соединения в целях проверки соответствия их механических свойств требованиям конструкторской и технологической документации. Обязательными видами механических испытаний являются испытания на статическое растяжение, статический изгиб или сплющивание. Для сосудов, работающих под давлением, обязательным видом испытаний также является испытание на ударный изгиб. Испытания на ударный изгиб проводятся для сосудов, изготовленных из сталей, склонных к подкалке при сварке, а также для других сосудов, предназначенных для работы при давлении более 5 МПа или температуре выше 450 °C, для работы при температуре ниже -20 °C.</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Механические испытания проводятся при: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аттестации технологии сварки;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аттестации сварщиков;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входном контроле сварочных материалов, используемых для сварки (наплавки) при монтаже, ремонте, реконструкции (модернизации) оборудования под давлением (в соответствии с требованиями  настоящих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получении неудовлетворительных результатов по какому-либо виду механических испытаний допускается повторное испытание на удвоенном количестве образцов, вырезанных из тех же контрольных сварных соединений, по тому виду испытаний, по которому получены неудовлетворительные результаты. Если при повторном испытании хотя бы на одном из образцов будут получены показатели свойств, не удовлетворяющие нормам, установленным в НД, конструкторской, технической и технологической документации, общая оценка данного вида испытаний считается неудовлетворительной.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167. Необходимость, объем и порядок механических испытаний сварных соединений литых и кованых элементов, труб с литыми деталями, элементов из сталей различных классов, а также других единичных сварных соединений устанавливаются проектной и технологической документацией.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168. В целях выявления возможных внутренних дефектов (трещин, непроваров, пор, шлаковых и неметаллических включений), а также участков со структурой металла, отрицательно влияющей на свойства сварных соединений должны проводиться металлографические исследования.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169. Металлографические исследования следует проводить при: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аттестации технологии сварки, аттестации сварщиков и контроле выполненных ими перед допуском к производству работ контрольных сварных соединений в случаях, предусмотренных проектно-конструкторской и технологической документацией;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проведении экспертизы промышленной безопасности и эксплуатационного контроля (технического диагностирования) оборудования или отдельных элементов, в случаях, нижеуказанных в настоящем пункте и установленных в технической документации организации-изготовителя, нормативных документах конкретного типа, модели оборудования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контроле сварных стыковых соединений, выполненных газовой и контактной сваркой, а также деталей из сталей разных структурных классов (независимо от способа сварки);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контроле сварных угловых и тавровых соединений, в том числе соединений труб (штуцеров) с обечайками, барабанами, коллекторами, трубопроводами, а также тройниковых соединений;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контроле степени графитизации сварных соединений элементов оборудования, изготовленных из углеродистых сталей и работающих под давлением с температурой рабочей среды более 350 °C.</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170. Металлографические исследования должны включать: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исследование макроструктуры и формы шва;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исследование микроструктуры различных зон сварного соединения.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171. Металлографические исследования допускается не проводить: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для сварных соединений сосудов и их элементов, изготовленных из сталей аустенитного класса, толщиной не более 20 мм;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172. Испытание сварных соединений на стойкость против межкристаллитной коррозии должно быть произведено для сосудов и их элементов, изготовленных из сталей аустенитного, ферритного, аустенитно-ферритного классов и двухслойных сталей с коррозионностойким слоем из аустенитных и ферритных сталей. Форма, размеры, количество образцов, методы испытаний и критерии оценки склонности образцов к межкристаллитной коррозии должны соответствовать требованиям проектной и технологической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173. Механические испытания, металлографические исследования, испытания на стойкость против межкристаллитной коррозии должны быть выполнены на образцах, изготовленных из контрольных сварных соединений. Контрольные сварные соединения должны быть идентичны контролируемым производственным (по маркам стали, толщине листа или размерам труб, форме разделке кромок, методу сварки, сварочным материалам, положению шва в пространстве, режимам и температуре подогрева, термообработке) и выполнены тем же сварщиком и на том же сварочном оборудовании одновременно с контролируемым производственным соединением.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Контрольное сварное соединение подвергают 100% контролю теми же неразрушающими методами контроля, которые предусмотрены для производственных сварных соединений. При неудовлетворительных результатах контроля контрольные соединения должны быть изготовлены вновь в удвоенном количестве. Если при повторном неразрушающем контроле будут получены неудовлетворительные результаты, то и общий результат считается неудовлетворительным. В этом случае должны быть подвергнуты дополнительной проверке качество материалов, оборудование и квалификация сварщика.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Размеры контрольных соединений должны быть достаточными для вырезки из них необходимого числа образцов для всех предусмотренных видов испытаний и исследований, а также для повторных испытаний и исследований.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Из каждого контрольного стыкового сварного соединения должны быть вырезаны: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два образца для испытания на статическое растяжение;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два образца для испытаний на статический изгиб или сплющивание;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три образца для испытания на ударный изгиб;</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один образец (шлиф) для металлографических исследований при контроле сварных соединений из углеродистой и низколегированной стали и не менее двух - при контроле сварных соединений из высоколегированной стали, если это предусмотрено технологической документацией;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два образца для испытаний на стойкость против межкристаллитной коррозии.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174. Испытания на статический изгиб контрольных стыков трубчатых элементов с внутренним диаметром труб менее 100 мм и толщиной стенки менее 12 мм могут быть заменены испытаниями на сплющивание.</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bookmarkStart w:id="17" w:name="Par626"/>
      <w:bookmarkEnd w:id="17"/>
      <w:r>
        <w:rPr>
          <w:rFonts w:ascii="Arial" w:hAnsi="Arial" w:eastAsia="Arial" w:cs="Arial"/>
          <w:b/>
          <w:sz w:val="24"/>
        </w:rPr>
        <w:t xml:space="preserve">Гидравлическое (пневматическое) испытание</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175. Гидравлическое испытание пробным давлением в целях проверки плотности и прочности оборудования под давлением, а также всех сварных и других соединений проводят: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после окончательной сборки (изготовления, доизготовления) при монтаже оборудования, транспортируемого на место его установки отдельными деталями, элементами или блоками;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после реконструкции (модернизации), ремонта оборудования с применением сварки элементов, работающих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при проведении технических освидетельствований и технического диагностирования оборудования в случаях, установленных настоящими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Гидравлическое испытание отдельных деталей, элементов или блоков оборудования перед их применением (установкой) в составе оборудования при монтаже или ремонте не является обязательным, если они прошли гидравлическое испытание на местах их изготовления или подвергались 100% контролю ультразвуком или иным равноценным неразрушающим методом дефектоскопии.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Допускается проведение гидравлического испытания отдельных и сборных элементов вместе с оборудованием, если в условиях монтажа или ремонта проведение их испытания отдельно от оборудования невозможно.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Гидравлическое испытание оборудования и его элементов проводят после всех видов контроля, а также после устранения обнаруженных дефектов.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176. Сосуды, имеющие защитное покрытие или изоляцию, подвергают гидравлическому испытанию до наложения покрытия или изоляции.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Сосуды, имеющие наружный кожух, подвергают гидравлическому испытанию до установки кожуха.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Допускается эмалированные сосуды подвергать гидравлическому испытанию рабочим давлением после эмалирования.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178. Значение пробного давления при гидравлическом испытании металлических сосудов (за исключением литых) определяют по формуле:</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center"/>
        <w:rPr>
          <w:rFonts w:ascii="TimesNewRoman" w:hAnsi="TimesNewRoman" w:eastAsia="TimesNewRoman" w:cs="TimesNewRoman"/>
          <w:sz w:val="24"/>
        </w:rPr>
      </w:pPr>
      <w:bookmarkStart w:id="18" w:name="Par646"/>
      <w:bookmarkEnd w:id="18"/>
      <w:r>
        <w:rPr>
          <w:rFonts w:ascii="TimesNewRoman" w:hAnsi="TimesNewRoman" w:eastAsia="TimesNewRoman" w:cs="TimesNewRoman"/>
          <w:sz w:val="24"/>
        </w:rPr>
        <mc:AlternateContent>
          <mc:Choice Requires="wpg">
            <w:drawing>
              <wp:inline xmlns:wp="http://schemas.openxmlformats.org/drawingml/2006/wordprocessingDrawing" distT="0" distB="0" distL="0" distR="0">
                <wp:extent cx="0" cy="0"/>
                <wp:effectExtent l="0" t="0" r="0" b="0"/>
                <wp:docPr id="1" name="_x0000_s1"/>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0">
                          <a:extLst>
                            <a:ext uri="{96DAC541-7B7A-43D3-8B79-37D633B846F1}">
                              <asvg:svgBlip xmlns:asvg="http://schemas.microsoft.com/office/drawing/2016/SVG/main" r:embed="rId11"/>
                            </a:ext>
                          </a:extLst>
                        </a:blip>
                        <a:stretch/>
                      </pic:blipFill>
                      <pic:spPr>
                        <a:xfrm>
                          <a:off x="0" y="0"/>
                          <a:ext cx="0" cy="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0.00pt;height:0.00pt;mso-wrap-distance-left:0.00pt;mso-wrap-distance-top:0.00pt;mso-wrap-distance-right:0.00pt;mso-wrap-distance-bottom:0.00pt;" stroked="f">
                <v:path textboxrect="0,0,0,0"/>
                <v:imagedata r:id="rId10" o:title=""/>
              </v:shape>
            </w:pict>
          </mc:Fallback>
        </mc:AlternateContent>
      </w:r>
      <w:r>
        <w:rPr>
          <w:rFonts w:ascii="TimesNewRoman" w:hAnsi="TimesNewRoman" w:eastAsia="TimesNewRoman" w:cs="TimesNewRoman"/>
          <w:sz w:val="24"/>
        </w:rPr>
        <w:t xml:space="preserve">, (1)</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где: P - расчетное давление в случае сборки (доизготовления) сосуда на месте эксплуатации из отдельных элементов при проведении испытания после завершения таких работ, а в остальных случаях испытаний при эксплуатации оборудования - рабочее давление (МПа), указанное в паспорте сосуда организацией-изготовителем или по результатам первичного технического освидетельствования;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mc:AlternateContent>
          <mc:Choice Requires="wpg">
            <w:drawing>
              <wp:inline xmlns:wp="http://schemas.openxmlformats.org/drawingml/2006/wordprocessingDrawing" distT="0" distB="0" distL="0" distR="0">
                <wp:extent cx="0" cy="0"/>
                <wp:effectExtent l="0" t="0" r="0" b="0"/>
                <wp:docPr id="2" name="_x0000_s2"/>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2">
                          <a:extLst>
                            <a:ext uri="{96DAC541-7B7A-43D3-8B79-37D633B846F1}">
                              <asvg:svgBlip xmlns:asvg="http://schemas.microsoft.com/office/drawing/2016/SVG/main" r:embed="rId13"/>
                            </a:ext>
                          </a:extLst>
                        </a:blip>
                        <a:stretch/>
                      </pic:blipFill>
                      <pic:spPr>
                        <a:xfrm>
                          <a:off x="0" y="0"/>
                          <a:ext cx="0" cy="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0.00pt;height:0.00pt;mso-wrap-distance-left:0.00pt;mso-wrap-distance-top:0.00pt;mso-wrap-distance-right:0.00pt;mso-wrap-distance-bottom:0.00pt;" stroked="f">
                <v:path textboxrect="0,0,0,0"/>
                <v:imagedata r:id="rId12" o:title=""/>
              </v:shape>
            </w:pict>
          </mc:Fallback>
        </mc:AlternateContent>
      </w:r>
      <w:r>
        <w:rPr>
          <w:rFonts w:ascii="TimesNewRoman" w:hAnsi="TimesNewRoman" w:eastAsia="TimesNewRoman" w:cs="TimesNewRoman"/>
          <w:sz w:val="24"/>
        </w:rPr>
        <w:t xml:space="preserve">, </w:t>
      </w:r>
      <w:r>
        <w:rPr>
          <w:rFonts w:ascii="TimesNewRoman" w:hAnsi="TimesNewRoman" w:eastAsia="TimesNewRoman" w:cs="TimesNewRoman"/>
          <w:sz w:val="24"/>
        </w:rPr>
        <mc:AlternateContent>
          <mc:Choice Requires="wpg">
            <w:drawing>
              <wp:inline xmlns:wp="http://schemas.openxmlformats.org/drawingml/2006/wordprocessingDrawing" distT="0" distB="0" distL="0" distR="0">
                <wp:extent cx="0" cy="0"/>
                <wp:effectExtent l="0" t="0" r="0" b="0"/>
                <wp:docPr id="3" name="_x0000_s3"/>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4">
                          <a:extLst>
                            <a:ext uri="{96DAC541-7B7A-43D3-8B79-37D633B846F1}">
                              <asvg:svgBlip xmlns:asvg="http://schemas.microsoft.com/office/drawing/2016/SVG/main" r:embed="rId15"/>
                            </a:ext>
                          </a:extLst>
                        </a:blip>
                        <a:stretch/>
                      </pic:blipFill>
                      <pic:spPr>
                        <a:xfrm>
                          <a:off x="0" y="0"/>
                          <a:ext cx="0" cy="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0.00pt;height:0.00pt;mso-wrap-distance-left:0.00pt;mso-wrap-distance-top:0.00pt;mso-wrap-distance-right:0.00pt;mso-wrap-distance-bottom:0.00pt;" stroked="f">
                <v:path textboxrect="0,0,0,0"/>
                <v:imagedata r:id="rId14" o:title=""/>
              </v:shape>
            </w:pict>
          </mc:Fallback>
        </mc:AlternateContent>
      </w:r>
      <w:r>
        <w:rPr>
          <w:rFonts w:ascii="TimesNewRoman" w:hAnsi="TimesNewRoman" w:eastAsia="TimesNewRoman" w:cs="TimesNewRoman"/>
          <w:sz w:val="24"/>
        </w:rPr>
        <w:t xml:space="preserve"> - допускаемые напряжения для материала сосуда или его элементов соответственно при 20 °C и расчетной температуре, МПа.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Отношение </w:t>
      </w:r>
      <w:r>
        <w:rPr>
          <w:rFonts w:ascii="TimesNewRoman" w:hAnsi="TimesNewRoman" w:eastAsia="TimesNewRoman" w:cs="TimesNewRoman"/>
          <w:sz w:val="24"/>
        </w:rPr>
        <mc:AlternateContent>
          <mc:Choice Requires="wpg">
            <w:drawing>
              <wp:inline xmlns:wp="http://schemas.openxmlformats.org/drawingml/2006/wordprocessingDrawing" distT="0" distB="0" distL="0" distR="0">
                <wp:extent cx="0" cy="0"/>
                <wp:effectExtent l="0" t="0" r="0" b="0"/>
                <wp:docPr id="4" name="_x0000_s4"/>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6">
                          <a:extLst>
                            <a:ext uri="{96DAC541-7B7A-43D3-8B79-37D633B846F1}">
                              <asvg:svgBlip xmlns:asvg="http://schemas.microsoft.com/office/drawing/2016/SVG/main" r:embed="rId17"/>
                            </a:ext>
                          </a:extLst>
                        </a:blip>
                        <a:stretch/>
                      </pic:blipFill>
                      <pic:spPr>
                        <a:xfrm>
                          <a:off x="0" y="0"/>
                          <a:ext cx="0" cy="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0.00pt;height:0.00pt;mso-wrap-distance-left:0.00pt;mso-wrap-distance-top:0.00pt;mso-wrap-distance-right:0.00pt;mso-wrap-distance-bottom:0.00pt;" stroked="f">
                <v:path textboxrect="0,0,0,0"/>
                <v:imagedata r:id="rId16" o:title=""/>
              </v:shape>
            </w:pict>
          </mc:Fallback>
        </mc:AlternateContent>
      </w:r>
      <w:r>
        <w:rPr>
          <w:rFonts w:ascii="TimesNewRoman" w:hAnsi="TimesNewRoman" w:eastAsia="TimesNewRoman" w:cs="TimesNewRoman"/>
          <w:sz w:val="24"/>
        </w:rPr>
        <w:t xml:space="preserve"> материалов сборочных единиц (элементов) сосуда, работающих под давлением, принимают по тому из использованных материалов элементов (обечаек, днищ, фланцев, патрубков и др.) сосуда, для которого оно является наименьшим, за исключением болтов (шпилек), а также теплообменных труб кожухотрубчатых теплообменных аппаратов.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Пробное давление при испытании сосуда, рассчитанного по зонам, следует определять с учетом той зоны, расчетное давление или расчетная температура которой имеет меньшее значение.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Пробное давление для испытания сосуда, предназначенного для работы в условиях нескольких режимов с различными расчетными параметрами (давлениями и температурами), следует принимать равным максимальному из определенных значений пробных давлений для каждого режима.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случае если для обеспечения условий прочности и герметичности при испытаниях возникает необходимость увеличения диаметра, количества или замены материала болтов (шпилек) фланцевых соединений, разрешается уменьшить пробное давление до максимальной величины, при которой при проведении испытаний обеспечиваются условия прочности болтов (шпилек) без увеличения их диаметра, количества или замены материала.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случае если сосуд в целом или отдельные части сосуда работают в диапазоне температур ползучести и допускаемое напряжение для материалов этих частей при расчетной температуре </w:t>
      </w:r>
      <w:r>
        <w:rPr>
          <w:rFonts w:ascii="TimesNewRoman" w:hAnsi="TimesNewRoman" w:eastAsia="TimesNewRoman" w:cs="TimesNewRoman"/>
          <w:sz w:val="24"/>
        </w:rPr>
        <mc:AlternateContent>
          <mc:Choice Requires="wpg">
            <w:drawing>
              <wp:inline xmlns:wp="http://schemas.openxmlformats.org/drawingml/2006/wordprocessingDrawing" distT="0" distB="0" distL="0" distR="0">
                <wp:extent cx="0" cy="0"/>
                <wp:effectExtent l="0" t="0" r="0" b="0"/>
                <wp:docPr id="5" name="_x0000_s5"/>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8">
                          <a:extLst>
                            <a:ext uri="{96DAC541-7B7A-43D3-8B79-37D633B846F1}">
                              <asvg:svgBlip xmlns:asvg="http://schemas.microsoft.com/office/drawing/2016/SVG/main" r:embed="rId19"/>
                            </a:ext>
                          </a:extLst>
                        </a:blip>
                        <a:stretch/>
                      </pic:blipFill>
                      <pic:spPr>
                        <a:xfrm>
                          <a:off x="0" y="0"/>
                          <a:ext cx="0" cy="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0.00pt;height:0.00pt;mso-wrap-distance-left:0.00pt;mso-wrap-distance-top:0.00pt;mso-wrap-distance-right:0.00pt;mso-wrap-distance-bottom:0.00pt;" stroked="f">
                <v:path textboxrect="0,0,0,0"/>
                <v:imagedata r:id="rId18" o:title=""/>
              </v:shape>
            </w:pict>
          </mc:Fallback>
        </mc:AlternateContent>
      </w:r>
      <w:r>
        <w:rPr>
          <w:rFonts w:ascii="TimesNewRoman" w:hAnsi="TimesNewRoman" w:eastAsia="TimesNewRoman" w:cs="TimesNewRoman"/>
          <w:sz w:val="24"/>
        </w:rPr>
        <w:t xml:space="preserve"> определяется на базе предела длительной прочности или предела ползучести, разрешается в ,  вместо </w:t>
      </w:r>
      <w:r>
        <w:rPr>
          <w:rFonts w:ascii="TimesNewRoman" w:hAnsi="TimesNewRoman" w:eastAsia="TimesNewRoman" w:cs="TimesNewRoman"/>
          <w:sz w:val="24"/>
        </w:rPr>
        <mc:AlternateContent>
          <mc:Choice Requires="wpg">
            <w:drawing>
              <wp:inline xmlns:wp="http://schemas.openxmlformats.org/drawingml/2006/wordprocessingDrawing" distT="0" distB="0" distL="0" distR="0">
                <wp:extent cx="0" cy="0"/>
                <wp:effectExtent l="0" t="0" r="0" b="0"/>
                <wp:docPr id="6" name="_x0000_s6"/>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20">
                          <a:extLst>
                            <a:ext uri="{96DAC541-7B7A-43D3-8B79-37D633B846F1}">
                              <asvg:svgBlip xmlns:asvg="http://schemas.microsoft.com/office/drawing/2016/SVG/main" r:embed="rId21"/>
                            </a:ext>
                          </a:extLst>
                        </a:blip>
                        <a:stretch/>
                      </pic:blipFill>
                      <pic:spPr>
                        <a:xfrm>
                          <a:off x="0" y="0"/>
                          <a:ext cx="0" cy="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0.00pt;height:0.00pt;mso-wrap-distance-left:0.00pt;mso-wrap-distance-top:0.00pt;mso-wrap-distance-right:0.00pt;mso-wrap-distance-bottom:0.00pt;" stroked="f">
                <v:path textboxrect="0,0,0,0"/>
                <v:imagedata r:id="rId20" o:title=""/>
              </v:shape>
            </w:pict>
          </mc:Fallback>
        </mc:AlternateContent>
      </w:r>
      <w:r>
        <w:rPr>
          <w:rFonts w:ascii="TimesNewRoman" w:hAnsi="TimesNewRoman" w:eastAsia="TimesNewRoman" w:cs="TimesNewRoman"/>
          <w:sz w:val="24"/>
        </w:rPr>
        <w:t xml:space="preserve"> использовать величину допускаемого напряжения при расчетной температуре </w:t>
      </w:r>
      <w:r>
        <w:rPr>
          <w:rFonts w:ascii="TimesNewRoman" w:hAnsi="TimesNewRoman" w:eastAsia="TimesNewRoman" w:cs="TimesNewRoman"/>
          <w:sz w:val="24"/>
        </w:rPr>
        <mc:AlternateContent>
          <mc:Choice Requires="wpg">
            <w:drawing>
              <wp:inline xmlns:wp="http://schemas.openxmlformats.org/drawingml/2006/wordprocessingDrawing" distT="0" distB="0" distL="0" distR="0">
                <wp:extent cx="0" cy="0"/>
                <wp:effectExtent l="0" t="0" r="0" b="0"/>
                <wp:docPr id="7" name="_x0000_s7"/>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22">
                          <a:extLst>
                            <a:ext uri="{96DAC541-7B7A-43D3-8B79-37D633B846F1}">
                              <asvg:svgBlip xmlns:asvg="http://schemas.microsoft.com/office/drawing/2016/SVG/main" r:embed="rId23"/>
                            </a:ext>
                          </a:extLst>
                        </a:blip>
                        <a:stretch/>
                      </pic:blipFill>
                      <pic:spPr>
                        <a:xfrm>
                          <a:off x="0" y="0"/>
                          <a:ext cx="0" cy="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0.00pt;height:0.00pt;mso-wrap-distance-left:0.00pt;mso-wrap-distance-top:0.00pt;mso-wrap-distance-right:0.00pt;mso-wrap-distance-bottom:0.00pt;" stroked="f">
                <v:path textboxrect="0,0,0,0"/>
                <v:imagedata r:id="rId22" o:title=""/>
              </v:shape>
            </w:pict>
          </mc:Fallback>
        </mc:AlternateContent>
      </w:r>
      <w:r>
        <w:rPr>
          <w:rFonts w:ascii="TimesNewRoman" w:hAnsi="TimesNewRoman" w:eastAsia="TimesNewRoman" w:cs="TimesNewRoman"/>
          <w:sz w:val="24"/>
        </w:rPr>
        <w:t xml:space="preserve">, полученную только на базе не зависящих от времени характеристик: предела текучести и временного сопротивления без учета ползучести и длительной прочности.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179. Значение пробного давления P</w:t>
      </w:r>
      <w:r>
        <w:rPr>
          <w:rFonts w:ascii="TimesNewRoman" w:hAnsi="TimesNewRoman" w:eastAsia="TimesNewRoman" w:cs="TimesNewRoman"/>
          <w:sz w:val="24"/>
          <w:vertAlign w:val="subscript"/>
        </w:rPr>
        <w:t xml:space="preserve">пр</w:t>
      </w:r>
      <w:r>
        <w:rPr>
          <w:rFonts w:ascii="TimesNewRoman" w:hAnsi="TimesNewRoman" w:eastAsia="TimesNewRoman" w:cs="TimesNewRoman"/>
          <w:sz w:val="24"/>
        </w:rPr>
        <w:t xml:space="preserve"> при гидравлическом испытании литых и кованых сосудов определяется по формуле:</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mc:AlternateContent>
          <mc:Choice Requires="wpg">
            <w:drawing>
              <wp:inline xmlns:wp="http://schemas.openxmlformats.org/drawingml/2006/wordprocessingDrawing" distT="0" distB="0" distL="0" distR="0">
                <wp:extent cx="0" cy="0"/>
                <wp:effectExtent l="0" t="0" r="0" b="0"/>
                <wp:docPr id="8" name="_x0000_s8"/>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24">
                          <a:extLst>
                            <a:ext uri="{96DAC541-7B7A-43D3-8B79-37D633B846F1}">
                              <asvg:svgBlip xmlns:asvg="http://schemas.microsoft.com/office/drawing/2016/SVG/main" r:embed="rId25"/>
                            </a:ext>
                          </a:extLst>
                        </a:blip>
                        <a:stretch/>
                      </pic:blipFill>
                      <pic:spPr>
                        <a:xfrm>
                          <a:off x="0" y="0"/>
                          <a:ext cx="0" cy="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0.00pt;height:0.00pt;mso-wrap-distance-left:0.00pt;mso-wrap-distance-top:0.00pt;mso-wrap-distance-right:0.00pt;mso-wrap-distance-bottom:0.00pt;" stroked="f">
                <v:path textboxrect="0,0,0,0"/>
                <v:imagedata r:id="rId24" o:title=""/>
              </v:shape>
            </w:pict>
          </mc:Fallback>
        </mc:AlternateContent>
      </w:r>
      <w:r>
        <w:rPr>
          <w:rFonts w:ascii="TimesNewRoman" w:hAnsi="TimesNewRoman" w:eastAsia="TimesNewRoman" w:cs="TimesNewRoman"/>
          <w:sz w:val="24"/>
        </w:rPr>
        <w:t xml:space="preserve">. (2)</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Испытание литых сосудов разрешается проводить при условии 100% контроля отливок неразрушающими методами.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180. Гидравлическое испытание сосудов и деталей, изготовленных из неметаллических материалов с ударной вязкостью более 20 Дж/см</w:t>
      </w:r>
      <w:r>
        <w:rPr>
          <w:rFonts w:ascii="TimesNewRoman" w:hAnsi="TimesNewRoman" w:eastAsia="TimesNewRoman" w:cs="TimesNewRoman"/>
          <w:sz w:val="24"/>
          <w:vertAlign w:val="superscript"/>
        </w:rPr>
        <w:t xml:space="preserve">2</w:t>
      </w:r>
      <w:r>
        <w:rPr>
          <w:rFonts w:ascii="TimesNewRoman" w:hAnsi="TimesNewRoman" w:eastAsia="TimesNewRoman" w:cs="TimesNewRoman"/>
          <w:sz w:val="24"/>
        </w:rPr>
        <w:t xml:space="preserve">, должно быть проведено пробным давлением, определяемым по формуле:</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mc:AlternateContent>
          <mc:Choice Requires="wpg">
            <w:drawing>
              <wp:inline xmlns:wp="http://schemas.openxmlformats.org/drawingml/2006/wordprocessingDrawing" distT="0" distB="0" distL="0" distR="0">
                <wp:extent cx="0" cy="0"/>
                <wp:effectExtent l="0" t="0" r="0" b="0"/>
                <wp:docPr id="9" name="_x0000_s9"/>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26">
                          <a:extLst>
                            <a:ext uri="{96DAC541-7B7A-43D3-8B79-37D633B846F1}">
                              <asvg:svgBlip xmlns:asvg="http://schemas.microsoft.com/office/drawing/2016/SVG/main" r:embed="rId27"/>
                            </a:ext>
                          </a:extLst>
                        </a:blip>
                        <a:stretch/>
                      </pic:blipFill>
                      <pic:spPr>
                        <a:xfrm>
                          <a:off x="0" y="0"/>
                          <a:ext cx="0" cy="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0.00pt;height:0.00pt;mso-wrap-distance-left:0.00pt;mso-wrap-distance-top:0.00pt;mso-wrap-distance-right:0.00pt;mso-wrap-distance-bottom:0.00pt;" stroked="f">
                <v:path textboxrect="0,0,0,0"/>
                <v:imagedata r:id="rId26" o:title=""/>
              </v:shape>
            </w:pict>
          </mc:Fallback>
        </mc:AlternateContent>
      </w:r>
      <w:r>
        <w:rPr>
          <w:rFonts w:ascii="TimesNewRoman" w:hAnsi="TimesNewRoman" w:eastAsia="TimesNewRoman" w:cs="TimesNewRoman"/>
          <w:sz w:val="24"/>
        </w:rPr>
        <w:t xml:space="preserve">. (3)</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Гидравлическое испытание сосудов и деталей, изготовленных из неметаллических материалов с ударной вязкостью 20 Дж/см</w:t>
      </w:r>
      <w:r>
        <w:rPr>
          <w:rFonts w:ascii="TimesNewRoman" w:hAnsi="TimesNewRoman" w:eastAsia="TimesNewRoman" w:cs="TimesNewRoman"/>
          <w:sz w:val="24"/>
          <w:vertAlign w:val="superscript"/>
        </w:rPr>
        <w:t xml:space="preserve">2</w:t>
      </w:r>
      <w:r>
        <w:rPr>
          <w:rFonts w:ascii="TimesNewRoman" w:hAnsi="TimesNewRoman" w:eastAsia="TimesNewRoman" w:cs="TimesNewRoman"/>
          <w:sz w:val="24"/>
        </w:rPr>
        <w:t xml:space="preserve"> и менее, должно быть проведено пробным давлением, определяемым по формуле:</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mc:AlternateContent>
          <mc:Choice Requires="wpg">
            <w:drawing>
              <wp:inline xmlns:wp="http://schemas.openxmlformats.org/drawingml/2006/wordprocessingDrawing" distT="0" distB="0" distL="0" distR="0">
                <wp:extent cx="0" cy="0"/>
                <wp:effectExtent l="0" t="0" r="0" b="0"/>
                <wp:docPr id="10" name="_x0000_s10"/>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28">
                          <a:extLst>
                            <a:ext uri="{96DAC541-7B7A-43D3-8B79-37D633B846F1}">
                              <asvg:svgBlip xmlns:asvg="http://schemas.microsoft.com/office/drawing/2016/SVG/main" r:embed="rId29"/>
                            </a:ext>
                          </a:extLst>
                        </a:blip>
                        <a:stretch/>
                      </pic:blipFill>
                      <pic:spPr>
                        <a:xfrm>
                          <a:off x="0" y="0"/>
                          <a:ext cx="0" cy="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width:0.00pt;height:0.00pt;mso-wrap-distance-left:0.00pt;mso-wrap-distance-top:0.00pt;mso-wrap-distance-right:0.00pt;mso-wrap-distance-bottom:0.00pt;" stroked="f">
                <v:path textboxrect="0,0,0,0"/>
                <v:imagedata r:id="rId28" o:title=""/>
              </v:shape>
            </w:pict>
          </mc:Fallback>
        </mc:AlternateContent>
      </w:r>
      <w:r>
        <w:rPr>
          <w:rFonts w:ascii="TimesNewRoman" w:hAnsi="TimesNewRoman" w:eastAsia="TimesNewRoman" w:cs="TimesNewRoman"/>
          <w:sz w:val="24"/>
        </w:rPr>
        <w:t xml:space="preserve">. (4)</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181. Значение пробного давления P</w:t>
      </w:r>
      <w:r>
        <w:rPr>
          <w:rFonts w:ascii="TimesNewRoman" w:hAnsi="TimesNewRoman" w:eastAsia="TimesNewRoman" w:cs="TimesNewRoman"/>
          <w:sz w:val="24"/>
          <w:vertAlign w:val="subscript"/>
        </w:rPr>
        <w:t xml:space="preserve">пр</w:t>
      </w:r>
      <w:r>
        <w:rPr>
          <w:rFonts w:ascii="TimesNewRoman" w:hAnsi="TimesNewRoman" w:eastAsia="TimesNewRoman" w:cs="TimesNewRoman"/>
          <w:sz w:val="24"/>
        </w:rPr>
        <w:t xml:space="preserve"> при гидравлическом испытании криогенных сосудов при наличии вакуума в изоляционном пространстве определяют по формуле:</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P</w:t>
      </w:r>
      <w:r>
        <w:rPr>
          <w:rFonts w:ascii="TimesNewRoman" w:hAnsi="TimesNewRoman" w:eastAsia="TimesNewRoman" w:cs="TimesNewRoman"/>
          <w:sz w:val="24"/>
          <w:vertAlign w:val="subscript"/>
        </w:rPr>
        <w:t xml:space="preserve">пр</w:t>
      </w:r>
      <w:r>
        <w:rPr>
          <w:rFonts w:ascii="TimesNewRoman" w:hAnsi="TimesNewRoman" w:eastAsia="TimesNewRoman" w:cs="TimesNewRoman"/>
          <w:sz w:val="24"/>
        </w:rPr>
        <w:t xml:space="preserve"> = 1,25P - 0,1. (5)</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182. Гидравлическое испытание металлопластиковых сосудов должно быть проведено пробным давлением, определяемым по формуле:</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mc:AlternateContent>
          <mc:Choice Requires="wpg">
            <w:drawing>
              <wp:inline xmlns:wp="http://schemas.openxmlformats.org/drawingml/2006/wordprocessingDrawing" distT="0" distB="0" distL="0" distR="0">
                <wp:extent cx="0" cy="0"/>
                <wp:effectExtent l="0" t="0" r="0" b="0"/>
                <wp:docPr id="11" name="_x0000_s11"/>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30">
                          <a:extLst>
                            <a:ext uri="{96DAC541-7B7A-43D3-8B79-37D633B846F1}">
                              <asvg:svgBlip xmlns:asvg="http://schemas.microsoft.com/office/drawing/2016/SVG/main" r:embed="rId31"/>
                            </a:ext>
                          </a:extLst>
                        </a:blip>
                        <a:stretch/>
                      </pic:blipFill>
                      <pic:spPr>
                        <a:xfrm>
                          <a:off x="0" y="0"/>
                          <a:ext cx="0" cy="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width:0.00pt;height:0.00pt;mso-wrap-distance-left:0.00pt;mso-wrap-distance-top:0.00pt;mso-wrap-distance-right:0.00pt;mso-wrap-distance-bottom:0.00pt;" stroked="f">
                <v:path textboxrect="0,0,0,0"/>
                <v:imagedata r:id="rId30" o:title=""/>
              </v:shape>
            </w:pict>
          </mc:Fallback>
        </mc:AlternateContent>
      </w:r>
      <w:r>
        <w:rPr>
          <w:rFonts w:ascii="TimesNewRoman" w:hAnsi="TimesNewRoman" w:eastAsia="TimesNewRoman" w:cs="TimesNewRoman"/>
          <w:sz w:val="24"/>
        </w:rPr>
        <w:t xml:space="preserve">, (6)</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где K</w:t>
      </w:r>
      <w:r>
        <w:rPr>
          <w:rFonts w:ascii="TimesNewRoman" w:hAnsi="TimesNewRoman" w:eastAsia="TimesNewRoman" w:cs="TimesNewRoman"/>
          <w:sz w:val="24"/>
          <w:vertAlign w:val="subscript"/>
        </w:rPr>
        <w:t xml:space="preserve">м</w:t>
      </w:r>
      <w:r>
        <w:rPr>
          <w:rFonts w:ascii="TimesNewRoman" w:hAnsi="TimesNewRoman" w:eastAsia="TimesNewRoman" w:cs="TimesNewRoman"/>
          <w:sz w:val="24"/>
        </w:rPr>
        <w:t xml:space="preserve"> - отношение массы металлоконструкции к общей массе сосуда;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mc:AlternateContent>
          <mc:Choice Requires="wpg">
            <w:drawing>
              <wp:inline xmlns:wp="http://schemas.openxmlformats.org/drawingml/2006/wordprocessingDrawing" distT="0" distB="0" distL="0" distR="0">
                <wp:extent cx="0" cy="0"/>
                <wp:effectExtent l="0" t="0" r="0" b="0"/>
                <wp:docPr id="12" name="_x0000_s12"/>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32">
                          <a:extLst>
                            <a:ext uri="{96DAC541-7B7A-43D3-8B79-37D633B846F1}">
                              <asvg:svgBlip xmlns:asvg="http://schemas.microsoft.com/office/drawing/2016/SVG/main" r:embed="rId33"/>
                            </a:ext>
                          </a:extLst>
                        </a:blip>
                        <a:stretch/>
                      </pic:blipFill>
                      <pic:spPr>
                        <a:xfrm>
                          <a:off x="0" y="0"/>
                          <a:ext cx="0" cy="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width:0.00pt;height:0.00pt;mso-wrap-distance-left:0.00pt;mso-wrap-distance-top:0.00pt;mso-wrap-distance-right:0.00pt;mso-wrap-distance-bottom:0.00pt;" stroked="f">
                <v:path textboxrect="0,0,0,0"/>
                <v:imagedata r:id="rId32" o:title=""/>
              </v:shape>
            </w:pict>
          </mc:Fallback>
        </mc:AlternateContent>
      </w:r>
      <w:r>
        <w:rPr>
          <w:rFonts w:ascii="TimesNewRoman" w:hAnsi="TimesNewRoman" w:eastAsia="TimesNewRoman" w:cs="TimesNewRoman"/>
          <w:sz w:val="24"/>
        </w:rPr>
        <w:t xml:space="preserve"> = 1,3 - для неметаллических материалов ударной вязкостью более 20 Дж/см</w:t>
      </w:r>
      <w:r>
        <w:rPr>
          <w:rFonts w:ascii="TimesNewRoman" w:hAnsi="TimesNewRoman" w:eastAsia="TimesNewRoman" w:cs="TimesNewRoman"/>
          <w:sz w:val="24"/>
          <w:vertAlign w:val="superscript"/>
        </w:rPr>
        <w:t xml:space="preserve">2</w:t>
      </w:r>
      <w:r>
        <w:rPr>
          <w:rFonts w:ascii="TimesNewRoman" w:hAnsi="TimesNewRoman" w:eastAsia="TimesNewRoman" w:cs="TimesNewRoman"/>
          <w:sz w:val="24"/>
        </w:rPr>
        <w:t xml:space="preserve">;</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mc:AlternateContent>
          <mc:Choice Requires="wpg">
            <w:drawing>
              <wp:inline xmlns:wp="http://schemas.openxmlformats.org/drawingml/2006/wordprocessingDrawing" distT="0" distB="0" distL="0" distR="0">
                <wp:extent cx="0" cy="0"/>
                <wp:effectExtent l="0" t="0" r="0" b="0"/>
                <wp:docPr id="13" name="_x0000_s13"/>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34">
                          <a:extLst>
                            <a:ext uri="{96DAC541-7B7A-43D3-8B79-37D633B846F1}">
                              <asvg:svgBlip xmlns:asvg="http://schemas.microsoft.com/office/drawing/2016/SVG/main" r:embed="rId35"/>
                            </a:ext>
                          </a:extLst>
                        </a:blip>
                        <a:stretch/>
                      </pic:blipFill>
                      <pic:spPr>
                        <a:xfrm>
                          <a:off x="0" y="0"/>
                          <a:ext cx="0" cy="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o:spid="_x0000_s12" type="#_x0000_t75" style="width:0.00pt;height:0.00pt;mso-wrap-distance-left:0.00pt;mso-wrap-distance-top:0.00pt;mso-wrap-distance-right:0.00pt;mso-wrap-distance-bottom:0.00pt;" stroked="f">
                <v:path textboxrect="0,0,0,0"/>
                <v:imagedata r:id="rId34" o:title=""/>
              </v:shape>
            </w:pict>
          </mc:Fallback>
        </mc:AlternateContent>
      </w:r>
      <w:r>
        <w:rPr>
          <w:rFonts w:ascii="TimesNewRoman" w:hAnsi="TimesNewRoman" w:eastAsia="TimesNewRoman" w:cs="TimesNewRoman"/>
          <w:sz w:val="24"/>
        </w:rPr>
        <w:t xml:space="preserve"> = 1,6 - для неметаллических материалов ударной вязкостью 20 Дж/см</w:t>
      </w:r>
      <w:r>
        <w:rPr>
          <w:rFonts w:ascii="TimesNewRoman" w:hAnsi="TimesNewRoman" w:eastAsia="TimesNewRoman" w:cs="TimesNewRoman"/>
          <w:sz w:val="24"/>
          <w:vertAlign w:val="superscript"/>
        </w:rPr>
        <w:t xml:space="preserve">2</w:t>
      </w:r>
      <w:r>
        <w:rPr>
          <w:rFonts w:ascii="TimesNewRoman" w:hAnsi="TimesNewRoman" w:eastAsia="TimesNewRoman" w:cs="TimesNewRoman"/>
          <w:sz w:val="24"/>
        </w:rPr>
        <w:t xml:space="preserve"> и менее.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183. Гидравлическое испытание сосудов, устанавливаемых вертикально, разрешается проводить в горизонтальном положении, при этом должен быть выполнен расчет на прочность корпуса сосуда с учетом принятого способа опирания для проведения гидравлического испытания.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комбинированных сосудах с двумя и более рабочими полостями, рассчитанными на разные давления, гидравлическому испытанию должна быть подвергнута каждая полость пробным давлением, определяемым в зависимости от расчетного давления полости.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Порядок проведения испытания таких сосудов должен быть установлен разработчиком проектной технической документации и указан в руководстве по эксплуатации сосуда.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185. Для гидравлического испытания оборудования под давлением следует использовать воду. Температура воды должна быть не ниже 5 °C и не выше 40 °C, если в технической документации организации - изготовителя оборудования не указано конкретное значение температуры, допустимой по условиям предотвращения хрупкого разрушения.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Используемая для гидравлического испытания вода не должна загрязнять оборудование или вызывать интенсивную коррозию.</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Разница температур металла и окружающего воздуха во время гидравлического испытания не должна приводить к конденсации влаги на поверхности стенок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технически обоснованных случаях, предусмотренных организацией-изготовителем, при проведении гидравлического испытания при эксплуатации сосудов допускается использовать другую жидкость. Проведение испытания токсичной, коррозионной жидкостью не допускается.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186. При заполнении оборудования водой воздух из него должен быть удален полностью.</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Давление в испытуемом оборудовании следует поднимать плавно и равномерно. Общее время подъема давления (до значения пробного) должно быть указано в технологической документации. Давление воды при гидравлическом испытании следует контролировать не менее чем двумя манометрами. Оба манометра выбирают одного типа, предела измерения, одинаковых классов точности (не ниже 1,5) и цены деления.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Использование сжатого воздуха или другого газа для подъема давления в оборудовании, заполненном водой, не допускается.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Время выдержки под пробным давлением сосудов, поставленных на место установки в сборе, устанавливает организация-изготовитель в руководстве по эксплуатации и должно быть не менее 10 мин.</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Время выдержки под пробным давлением сосудов поэлементной блочной поставки, доизготовленных при монтаже на месте эксплуатации, должно быть не менее: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30 мин при толщине стенки сосуда до 50 мм включительно;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60 мин при толщине стенки сосуда более 50 до 100 мм включительно;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120 мин при толщине стенки сосуда более 100 мм.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Для литых, неметаллических и многослойных сосудов независимо от толщины стенки время выдержки должно быть не менее 60 мин.</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187. После выдержки под пробным давлением давление снижается до обоснованного расчетом на прочность значения, но не менее рабочего давления, при котором проводят визуальный контроль наружной поверхности оборудования и всех его разъемных и неразъемных соединений.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188. Оборудование под давлением следует считать выдержавшим гидравлическое испытание, если не будет обнаружено: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видимых остаточных деформаций;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трещин или признаков разрыва;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течи, потения в сварных, развальцованных, заклепочных соединениях и в основном металле;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течи в разъемных соединениях;</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падения давления по манометру.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развальцованных и разъемных соединениях сосудов допускается появление отдельных капель, которые не увеличиваются в размерах при выдержке времени.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189. После проведения гидравлического испытания необходимо обеспечить удаление воды из испытуемого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Оборудование и его элементы, в которых при гидравлическом испытании выявлены дефекты, после их устранения подвергают повторным гидравлическим испытаниям пробным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190. Гидравлическое испытание сосудов разрешается заменять пневматическим испытанием (сжатым воздухом, инертным газом или смесью воздуха с инертным газом) при условии одновременного контроля методом акустической эмиссии.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Пробное давление при пневматическом испытании следует определять по формуле:</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center"/>
        <w:rPr>
          <w:rFonts w:ascii="TimesNewRoman" w:hAnsi="TimesNewRoman" w:eastAsia="TimesNewRoman" w:cs="TimesNewRoman"/>
          <w:sz w:val="24"/>
        </w:rPr>
      </w:pPr>
      <w:bookmarkStart w:id="19" w:name="Par713"/>
      <w:bookmarkEnd w:id="19"/>
      <w:r>
        <w:rPr>
          <w:rFonts w:ascii="TimesNewRoman" w:hAnsi="TimesNewRoman" w:eastAsia="TimesNewRoman" w:cs="TimesNewRoman"/>
          <w:sz w:val="24"/>
        </w:rPr>
        <mc:AlternateContent>
          <mc:Choice Requires="wpg">
            <w:drawing>
              <wp:inline xmlns:wp="http://schemas.openxmlformats.org/drawingml/2006/wordprocessingDrawing" distT="0" distB="0" distL="0" distR="0">
                <wp:extent cx="0" cy="0"/>
                <wp:effectExtent l="0" t="0" r="0" b="0"/>
                <wp:docPr id="14" name="_x0000_s14"/>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36">
                          <a:extLst>
                            <a:ext uri="{96DAC541-7B7A-43D3-8B79-37D633B846F1}">
                              <asvg:svgBlip xmlns:asvg="http://schemas.microsoft.com/office/drawing/2016/SVG/main" r:embed="rId37"/>
                            </a:ext>
                          </a:extLst>
                        </a:blip>
                        <a:stretch/>
                      </pic:blipFill>
                      <pic:spPr>
                        <a:xfrm>
                          <a:off x="0" y="0"/>
                          <a:ext cx="0" cy="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3" o:spid="_x0000_s13" type="#_x0000_t75" style="width:0.00pt;height:0.00pt;mso-wrap-distance-left:0.00pt;mso-wrap-distance-top:0.00pt;mso-wrap-distance-right:0.00pt;mso-wrap-distance-bottom:0.00pt;" stroked="f">
                <v:path textboxrect="0,0,0,0"/>
                <v:imagedata r:id="rId36" o:title=""/>
              </v:shape>
            </w:pict>
          </mc:Fallback>
        </mc:AlternateContent>
      </w:r>
      <w:r>
        <w:rPr>
          <w:rFonts w:ascii="TimesNewRoman" w:hAnsi="TimesNewRoman" w:eastAsia="TimesNewRoman" w:cs="TimesNewRoman"/>
          <w:sz w:val="24"/>
        </w:rPr>
        <w:t xml:space="preserve">. (7)</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случае если вероятность хрупкого разрушения при пневматическом испытании больше, чем в рабочих условиях, и его последствия представляют значительную опасность, пробное давление должно быть снижено до технически обоснованного уровня, но не менее рабочего давления. Температура испытания должна быть не менее, чем на 25 °C выше температуры хрупкого излома материалов испытуемого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технически обоснованных случаях, предусмотренных организацией-изготовителем, при проведении пневматических испытаний при эксплуатации оборудования допускается использовать в качестве нагружающей среды газообразную рабочую среду объекта испытаний, при этом пробное давление должно превышать рабочее не менее чем на 5%, но не превышать пробное давление, определяемое по .</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Время выдержки сосуда под пробным давлением при пневматическом испытании должно быть указано в технической документации и составлять не менее 15 мин.</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После выдержки под пробным давлением давление следует снизить до обоснованного расчетом на прочность значения, но не менее рабочего давления, при котором следует проводить визуальный контроль наружной поверхности и проверку герметичности сварных и разъемных соединений.</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Исправление дефектов в сварных соединениях</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191. Недопустимые дефекты, обнаруженные в процессе монтажа (доизготовления), ремонта, реконструкции (модернизации), испытаний, должны быть устранены (исправлены) с последующим контролем исправленных участков.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Технология устранения дефектов устанавливается технологической документацией. Отклонения от принятой технологии исправления дефектов должны быть согласованы с ее разработчиком.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Методы и качество устранения дефектов должны обеспечивать необходимую надежность и безопасность работы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192. Удаление дефектов следует проводить механическим способом с обеспечением плавных переходов в местах выборок. Максимальные размеры и форма подлежащих заварке выборок устанавливаются технологической документацией.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Разрешается применение способов термической резки (строжки) для удаления внутренних дефектов с последующей обработкой поверхности выборки механическим способом.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Полнота удаления дефектов должна быть проконтролирована визуально и методом неразрушающего контроля (капиллярной или магнитопорошковой дефектоскопией либо травлением).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193. Выборка обнаруженных мест дефектов без последующей заварки разрешается при условии сохранения минимально допустимой толщины стенки детали в месте максимальной глубины выборки и подтверждением расчетом на прочность.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194. Если при контроле исправленного участка будут обнаружены дефекты, то должно быть проведено повторное исправление в том же порядке, что и первое.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Исправление дефектов на одном и том же участке сварного соединения разрешается проводить не более трех раз.</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случае вырезки дефектного сварного соединения труб и последующей вварки вставки в виде отрезка трубы два вновь выполненных сварных соединения не считают исправлением дефектов.</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Контроль качества выполненных работ. Требования</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к итоговой документации</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195. По итогам завершения работ, выполненных в процессе монтажа, организация, его производившая, формирует и представляет эксплуатирующей организации-заказчику комплект исполнительной документации, включающий документы (акты, протоколы, заключения), поэтапно оформляемые по результатам проведения входного контроля и приемки (допуска) материалов, оборудования и его элементов под монтаж, проверки (приемки) скрытых работ и ответственных конструкций и пооперационного контроля качества выполняемых работ, а также исполнительные схемы (чертежи), подтверждающие соответствие выполненных работ проектной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196. Контроль качества монтажа должен быть подтвержден удостоверением (свидетельством) о качестве монтажа. Удостоверение (свидетельство) о качестве монтажа должно составляться на основании комплекта исполнительной документации организацией, производившей монтаж, подписываться руководителями (техническим руководителями) или уполномоченными должностными лицами монтажной и эксплуатирующей организации (или ее обособленного структурного подразделения), а также уполномоченным представителем организации разработчика проекта или организации-изготовителя, осуществлявшего авторский надзор (шефмонтаж) за выполнением работ в случаях, установленных законодательством Российской Федерации, скрепляется печатями (при наличии) и передается эксплуатирующей организации для приложения к паспорту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197. В удостоверении (свидетельстве) о качестве монтажа должны быть приведены следующие данные: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наименование монтажной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наименование эксплуатирующей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наименование организации - изготовителя оборудования и его заводской (серийный или идентификационный) номер, присваиваемый по системе нумерации, применяемой организацией-изготовителем;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сведения о материалах, примененных в соответствии с проектной документацией в составе трубопровода, а также о материалах, примененных монтажной организацией в составе других видов оборудования, не вошедших в объем поставки организации-изготовителя и дополнительно указанных в паспорте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сведения о сварке, включающие вид сварки, тип и марку электродов;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 сведения о сварщиках, включающие фамилии сварщиков и номера их удостоверений;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ж) сведения о термообработке сварных соединений (вид, режим);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з) методы, объемы и результаты контроля качества сварных соединений;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 сведения об основной арматуре, фланцах и крепежных деталях, фасонных частях;</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 общее заключение о соответствии проведенных работ требованиям настоящих ФНП, руководства (инструкции) по эксплуатации, проектной и технологической документации, а также о пригодности оборудования к эксплуатации при указанных в паспорте параметрах.</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Окончательная сборка оборудования под давлением с использованием неразъемных и (или) разъемных соединений, осуществляемая организацией-изготовителем по месту установки.</w:t>
      </w:r>
    </w:p>
    <w:p>
      <w:pPr>
        <w:pStyle w:val="Style_180"/>
        <w:spacing w:before="240" w:after="0" w:line="240" w:lineRule="auto"/>
        <w:ind w:left="0" w:firstLine="540"/>
        <w:jc w:val="both"/>
        <w:rPr>
          <w:rFonts w:ascii="TimesNewRoman" w:hAnsi="TimesNewRoman" w:eastAsia="TimesNewRoman" w:cs="TimesNewRoman"/>
          <w:sz w:val="24"/>
        </w:rPr>
      </w:pPr>
      <w:bookmarkStart w:id="20" w:name="Par750"/>
      <w:bookmarkEnd w:id="20"/>
      <w:r>
        <w:rPr>
          <w:rFonts w:ascii="TimesNewRoman" w:hAnsi="TimesNewRoman" w:eastAsia="TimesNewRoman" w:cs="TimesNewRoman"/>
          <w:sz w:val="24"/>
        </w:rPr>
        <w:t xml:space="preserve">198. К удостоверению (свидетельству) о качестве монтажа при передаче эксплуатирующей организации должен быть приложен комплект, сформированный в процессе выполнения работ, комплект исполнительной документации, конкретный перечень которой определяется в зависимости от конкретного вида (типа) оборудования и определенного проектной документацией объема, и характера выполненных при его монтаже работ. В том числе эксплуатирующей организации должны быть переданы: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паспорта (свидетельства об изготовлении) и иная техническая документация организаций-изготовителей на смонтированное оборудование и примененные при выполнении работ в соответствии с проектом элементы оборудования, арматуру и иные комплектующие, а также документы, подтверждающие их соответствие требованиям ТР ТС 032/2013 (в случае, если ТР ТС 032/2013 распространяется на это оборудование);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копии документов (сертификатов) на основные и сварочные материалы, примененные при монтаже;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акты (журналы) входного контроля;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акты передачи оборудования, изделий и материалов в монтаж;</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акт освидетельствования скрытых работ в случае их выполнения (устройство и гидроизоляция фундамента, монтаж оборудования в том числе трубопроводов и иные работы согласно проекту);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акты проверки установки оборудования на фундамент;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акты приемки оборудования после индивидуальных испытаний;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акты приемки оборудования после комплексного опробования;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сварочные формуляры (журналы), содержащие информацию о выполненных работах с применением сварки;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исполнительные чертежи (схемы), оформленные на основе комплекта рабочих чертежей, предъявляемого к приемке объекта, с информацией, (внесенной в них лицами, ответственными за производство строительно-монтажных работ и подтвержденной лицами, осуществлявшими авторский надзор) о соответствии выполненных в натуре работ этим чертежам или о внесенных в них изменениях, согласованных с разработчиком проекта;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документы по результатам контроля качества работ, выполненного согласно настоящим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199. Организация, производившая монтаж трубопровода, на основании комплекта исполнительной документации должна разработать исполнительную схему (чертеж) трубопровода, прикладываемую к удостоверению (свидетельству) о качестве монтажа, на которой должны быть указаны: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сведения о материалах (с указанием марки материала и наименования стандарта или технических условий в соответствии с которыми они были произведены), наружные диаметры, толщины труб и деталей из труб, длину трубопровода;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расположение опор, компенсаторов, подвесок, арматуры, приборов (располагаемых непосредственно на трубопроводе), фильтров, воздушников и дренажных устройств;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расположение сварных соединений (при их наличии) с раздельным обозначением сварных соединений, выполняемых при монтаже трубопровода и выполняемых в организации - изготовителе элементов трубопровода;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расположение указателей для контроля тепловых перемещений с указанием проектных величин перемещений, устройств для измерения ползучести (для трубопроводов, которые работают при температурах, вызывающих ползучесть металла);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границы (пределы) трубопровода и направление движения рабочей среды. При этом в качестве границ трубопровода проектной (рабочей) конструкторской документацией могут быть приняты запорная арматура, предохранительные и другие устройства, отделяющие (дистанцирующие) трубопровод на входе и выходе от подключенных к нему оборудования и (или) трубопроводов. В качестве границ (условных линий), условно разделяющих отдельные трубопроводы между собой и оборудованием, проектом могут быть определены неразъемные или разъемные соединения либо проекции фундамента или стены здания (сооружения) при отделении внутренних систем трубопроводов от наружных сетей.</w:t>
      </w:r>
    </w:p>
    <w:p>
      <w:pPr>
        <w:pStyle w:val="Style_180"/>
        <w:spacing w:before="240" w:after="0" w:line="240" w:lineRule="auto"/>
        <w:ind w:left="0" w:firstLine="540"/>
        <w:jc w:val="both"/>
        <w:rPr>
          <w:rFonts w:ascii="TimesNewRoman" w:hAnsi="TimesNewRoman" w:eastAsia="TimesNewRoman" w:cs="TimesNewRoman"/>
          <w:sz w:val="24"/>
        </w:rPr>
      </w:pPr>
      <w:bookmarkStart w:id="21" w:name="Par768"/>
      <w:bookmarkEnd w:id="21"/>
      <w:r>
        <w:rPr>
          <w:rFonts w:ascii="TimesNewRoman" w:hAnsi="TimesNewRoman" w:eastAsia="TimesNewRoman" w:cs="TimesNewRoman"/>
          <w:sz w:val="24"/>
        </w:rPr>
        <w:t xml:space="preserve">200. При монтаже трубопровода несколькими организациями каждая организация-исполнитель в соответствии с установленными настоящим пунктом требованиями должна оформить удостоверение (свидетельство) о качестве монтажа участка трубопровода, произведенного данной организацией, и передать его конечному изготовителю трубопровода в целом для оформления паспорта и комплекта технической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201. Контроль качества ремонта оборудования с применением сварки и термической обработки должен быть подтвержден итоговой документацией по результатам выполненных работ, включающей: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документы по результатам контроля качества работ, выполненного согласно настоящим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ремонтные рабочие чертежи и формуляры, при необходимости содержащие сведения о последовательности, датах выполнения работ и ответственных операций, о рабочих, их выполнявших.</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На ремонтных рабочих чертежах должны быть указаны: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поврежденные участки, подлежащие ремонту или замене;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материалы, применяемые при замене;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деформированные элементы и участки элементов, подлежащие исправлению правкой, с назначением способа правки;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типы сварных соединений и способы их выполнения;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виды обработки сварных швов после сварки;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 методы и нормы контроля сварных соединений (места, подлежащие контролю или проверке);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ж) допускаемые отклонения от номинальных размеров.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202. Контроль за соблюдением требований технологической документации на ремонт, ремонтных рабочих чертежей должно осуществлять подразделение технического контроля организации, выполняющей работы по ремонту, реконструкции (модернизации) оборудования, а также уполномоченный представитель эксплуатирующей организации в порядке, установленном распорядительными документами указанных организаций.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203. По завершении выполнения работ по ремонту, реконструкции (модернизации) оборудования под давлением организация, производившая эти работы, должна предоставить сведения о характере проведенной работы и сведения о примененных материалах с приложением комплекта ремонтной документации согласно  настоящих ФНП, на основании которых уполномоченное лицо эксплуатирующей организации делает запись о выполненных работах в паспорт и ремонтный журнал оборудования.</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Требования к наладке</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204. Пусконаладочные работы, в случаях, предусмотренных руководством (инструкцией) по эксплуатации, проводятся на оборудовании под давлением после окончания монтажных работ с оформлением удостоверения о качестве монтажа и проведения первичного технического освидетельствования.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205. Наладка оборудования под давлением должна быть выполнена по программе, разработанной организацией, выполняющей соответствующие работы, и согласованной с эксплуатирующей организацией до начала производства работ. В программе должны быть отражены содержание и порядок выполнения всех технологических и контрольных операций с обеспечением наладки на всех режимах работы, установленных проектом.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206. Организация, осуществляющая наладку, должна обеспечить контроль качества и выполнение необходимого объема работ в соответствии с программой их проведения и настоящими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207. Продолжительность проведения наладочных работ определяется программой в зависимости от сложности оборудования. Пуск оборудования для проведения пусконаладочных работ осуществляется в порядке, установленном программой, совместно работниками эксплуатирующей организации и организации, организацией производящей наладку, после проверки: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наличия и исправности контрольно-измерительных приборов, приборов безопасности и сигнализации, предусмотренных требованиями технических регламентов, проекта и настоящих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наличия обученного обслуживающего персонала, прошедшего проверку знаний, и аттестованных специалистов;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наличия на рабочих местах утвержденных производственных инструкций и необходимой эксплуатационной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ж) завершения всех монтажных работ, препятствующих проведению наладки.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208. В период проведения наладочных работ на оборудовании под давлением ответственность за безопасность его обслуживания должна быть определена программой наладочных работ.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209. Программа наладочных работ должна предусматривать необходимость и порядок проведения: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промывки и продувки оборудования и трубопроводов в случаях, установленных проектом и руководством по эксплуатации;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опробования оборудования, включая резервное, наладку циркуляции рабочих сред, проверку работы запорной арматуры и регулирующих устройств в ручном режиме;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проверку измерительных приборов, настройку и проверку работоспособности систем автоматизации управления, сигнализации, аварийных защит и блокировок, а также регулировку предохранительных клапанов;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отработки и стабилизации технологического режима, регистрацию и анализ количественных и качественных показателей технологического режима;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вывод технологического процесса на устойчивый режим работы с производительностью, соответствующей проектным требованиям.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210. При проведении наладки оборудования с применением опасных веществ или во взрывоопасных зонах в программе должны быть указаны меры безопасности, а также должно быть предусмотрено предварительное опробование стадий технологического процесса на инертных средах с последующей наладкой на рабочих средах.</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211. По окончании наладочных работ проводят комплексное опробование оборудования под давлением, а также вспомогательного оборудования при номинальной нагрузке по программе комплексного опробования, разработанной организацией, проводящей соответствующие работы, и согласованной с эксплуатирующей организацией. </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Окончание комплексного опробования оформляют актом, фиксирующим сдачу оборудования под давлением в эксплуатацию. С актом должны быть представлены технический отчет о наладочных работах с таблицами и инструкциями, режимными картами, графиками и другими материалами, отражающими установленные и фактически полученные данные по настройке и регулировке устройств, описания и чертежи всех изменений (схемных, конструктивных), которые были внесены на стадии наладки.</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1"/>
        <w:rPr>
          <w:rFonts w:ascii="Arial" w:hAnsi="Arial" w:eastAsia="Arial" w:cs="Arial"/>
          <w:b/>
          <w:sz w:val="24"/>
        </w:rPr>
      </w:pPr>
      <w:bookmarkStart w:id="22" w:name="Par808"/>
      <w:bookmarkEnd w:id="22"/>
      <w:r>
        <w:rPr>
          <w:rFonts w:ascii="Arial" w:hAnsi="Arial" w:eastAsia="Arial" w:cs="Arial"/>
          <w:b/>
          <w:sz w:val="24"/>
        </w:rPr>
        <w:t xml:space="preserve">IV. ПОРЯДОК ВВОДА В ЭКСПЛУАТАЦИЮ, ПУСКА (ВКЛЮЧЕНИЯ)</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В РАБОТУ И УЧЕТА ОБОРУДОВАНИЯ</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212. Решение о вводе в эксплуатацию оборудования под давлением, указанного в  настоящих ФНП, должно приниматься руководителем (или уполномоченным им должностным лицом) эксплуатирующей организации (обособленного структурного подразделения) и оформляться на основании результатов проверки готовности оборудования к пуску в работу и организации надзора за его эксплуатацией, проводимой: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работником, ответственным за осуществление производственного контроля за безопасной эксплуатацией оборудования, совместно с ответственным за исправное состояние и безопасную эксплуатацию в случаях, указанных в  настоящих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комиссией, назначаемой распорядительным документом эксплуатирующей организации в случаях, указанных в  и  настоящих ФНП.</w:t>
      </w:r>
    </w:p>
    <w:p>
      <w:pPr>
        <w:pStyle w:val="Style_180"/>
        <w:spacing w:before="240" w:after="0" w:line="240" w:lineRule="auto"/>
        <w:ind w:left="0" w:firstLine="540"/>
        <w:jc w:val="both"/>
        <w:rPr>
          <w:rFonts w:ascii="TimesNewRoman" w:hAnsi="TimesNewRoman" w:eastAsia="TimesNewRoman" w:cs="TimesNewRoman"/>
          <w:sz w:val="24"/>
        </w:rPr>
      </w:pPr>
      <w:bookmarkStart w:id="23" w:name="Par814"/>
      <w:bookmarkEnd w:id="23"/>
      <w:r>
        <w:rPr>
          <w:rFonts w:ascii="TimesNewRoman" w:hAnsi="TimesNewRoman" w:eastAsia="TimesNewRoman" w:cs="TimesNewRoman"/>
          <w:sz w:val="24"/>
        </w:rPr>
        <w:t xml:space="preserve">213. Проверки, осуществляемые ответственными лицами или комиссией с их участием, назначаемой при необходимости по решению руководителя (технического руководителя) организации или ее обособленного структурного подразделения), проводятся: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после монтажа без применения неразъемных соединений оборудования под давлением, поставленного на объект эксплуатации в собранном виде (за исключением оборудования под давлением, подтверждение соответствия которого не предусмотрено ТР ТС 032/2013);</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после монтажа без применения неразъемных соединений оборудования под давлением, демонтированного и установленного на новом месте;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до начала применения транспортабельного оборудования под давлением;</w:t>
      </w:r>
    </w:p>
    <w:p>
      <w:pPr>
        <w:pStyle w:val="Style_180"/>
        <w:spacing w:before="240" w:after="0" w:line="240" w:lineRule="auto"/>
        <w:ind w:left="0" w:firstLine="540"/>
        <w:jc w:val="both"/>
        <w:rPr>
          <w:rFonts w:ascii="TimesNewRoman" w:hAnsi="TimesNewRoman" w:eastAsia="TimesNewRoman" w:cs="TimesNewRoman"/>
          <w:sz w:val="24"/>
        </w:rPr>
      </w:pPr>
      <w:bookmarkStart w:id="24" w:name="Par818"/>
      <w:bookmarkEnd w:id="24"/>
      <w:r>
        <w:rPr>
          <w:rFonts w:ascii="TimesNewRoman" w:hAnsi="TimesNewRoman" w:eastAsia="TimesNewRoman" w:cs="TimesNewRoman"/>
          <w:sz w:val="24"/>
        </w:rPr>
        <w:t xml:space="preserve">г) после ремонта с заменой основных элементов оборудования с применением неразъемных соединений (сварки), в случаях если произведена замена: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замена патрубков, штуцеров сосуда, неразъемно присоединенных к его корпусу;</w:t>
      </w:r>
    </w:p>
    <w:p>
      <w:pPr>
        <w:pStyle w:val="Style_180"/>
        <w:spacing w:before="240" w:after="0" w:line="240" w:lineRule="auto"/>
        <w:ind w:left="0" w:firstLine="540"/>
        <w:jc w:val="both"/>
        <w:rPr>
          <w:rFonts w:ascii="TimesNewRoman" w:hAnsi="TimesNewRoman" w:eastAsia="TimesNewRoman" w:cs="TimesNewRoman"/>
          <w:sz w:val="24"/>
        </w:rPr>
      </w:pPr>
      <w:bookmarkStart w:id="25" w:name="Par822"/>
      <w:bookmarkEnd w:id="25"/>
      <w:r>
        <w:rPr>
          <w:rFonts w:ascii="TimesNewRoman" w:hAnsi="TimesNewRoman" w:eastAsia="TimesNewRoman" w:cs="TimesNewRoman"/>
          <w:sz w:val="24"/>
        </w:rPr>
        <w:t xml:space="preserve">214. Проверки, осуществляемые комиссией, проводятся:</w:t>
      </w:r>
    </w:p>
    <w:p>
      <w:pPr>
        <w:pStyle w:val="Style_180"/>
        <w:spacing w:before="240" w:after="0" w:line="240" w:lineRule="auto"/>
        <w:ind w:left="0" w:firstLine="540"/>
        <w:jc w:val="both"/>
        <w:rPr>
          <w:rFonts w:ascii="TimesNewRoman" w:hAnsi="TimesNewRoman" w:eastAsia="TimesNewRoman" w:cs="TimesNewRoman"/>
          <w:sz w:val="24"/>
        </w:rPr>
      </w:pPr>
      <w:bookmarkStart w:id="26" w:name="Par823"/>
      <w:bookmarkEnd w:id="26"/>
      <w:r>
        <w:rPr>
          <w:rFonts w:ascii="TimesNewRoman" w:hAnsi="TimesNewRoman" w:eastAsia="TimesNewRoman" w:cs="TimesNewRoman"/>
          <w:sz w:val="24"/>
        </w:rPr>
        <w:t xml:space="preserve">а) после монтажа оборудования, поставляемого отдельными деталями, элементами или блоками, окончательную сборку (доизготовление) которого с применением неразъемных соединений производят при монтаже на месте его установки (использования);</w:t>
      </w:r>
    </w:p>
    <w:p>
      <w:pPr>
        <w:pStyle w:val="Style_180"/>
        <w:spacing w:before="240" w:after="0" w:line="240" w:lineRule="auto"/>
        <w:ind w:left="0" w:firstLine="540"/>
        <w:jc w:val="both"/>
        <w:rPr>
          <w:rFonts w:ascii="TimesNewRoman" w:hAnsi="TimesNewRoman" w:eastAsia="TimesNewRoman" w:cs="TimesNewRoman"/>
          <w:sz w:val="24"/>
        </w:rPr>
      </w:pPr>
      <w:bookmarkStart w:id="27" w:name="Par824"/>
      <w:bookmarkEnd w:id="27"/>
      <w:r>
        <w:rPr>
          <w:rFonts w:ascii="TimesNewRoman" w:hAnsi="TimesNewRoman" w:eastAsia="TimesNewRoman" w:cs="TimesNewRoman"/>
          <w:sz w:val="24"/>
        </w:rPr>
        <w:t xml:space="preserve">б) после монтажа оборудования под давлением, подтверждение соответствия которого не предусмотрено ТР ТС 032/2013;</w:t>
      </w:r>
    </w:p>
    <w:p>
      <w:pPr>
        <w:pStyle w:val="Style_180"/>
        <w:spacing w:before="240" w:after="0" w:line="240" w:lineRule="auto"/>
        <w:ind w:left="0" w:firstLine="540"/>
        <w:jc w:val="both"/>
        <w:rPr>
          <w:rFonts w:ascii="TimesNewRoman" w:hAnsi="TimesNewRoman" w:eastAsia="TimesNewRoman" w:cs="TimesNewRoman"/>
          <w:sz w:val="24"/>
        </w:rPr>
      </w:pPr>
      <w:bookmarkStart w:id="28" w:name="Par825"/>
      <w:bookmarkEnd w:id="28"/>
      <w:r>
        <w:rPr>
          <w:rFonts w:ascii="TimesNewRoman" w:hAnsi="TimesNewRoman" w:eastAsia="TimesNewRoman" w:cs="TimesNewRoman"/>
          <w:sz w:val="24"/>
        </w:rPr>
        <w:t xml:space="preserve">в) после реконструкции (модернизации) или ремонта с заменых основных элементов оборудования (за исключением случаев, указанных в  настоящих ФНП);</w:t>
      </w:r>
    </w:p>
    <w:p>
      <w:pPr>
        <w:pStyle w:val="Style_180"/>
        <w:spacing w:before="240" w:after="0" w:line="240" w:lineRule="auto"/>
        <w:ind w:left="0" w:firstLine="540"/>
        <w:jc w:val="both"/>
        <w:rPr>
          <w:rFonts w:ascii="TimesNewRoman" w:hAnsi="TimesNewRoman" w:eastAsia="TimesNewRoman" w:cs="TimesNewRoman"/>
          <w:sz w:val="24"/>
        </w:rPr>
      </w:pPr>
      <w:bookmarkStart w:id="29" w:name="Par826"/>
      <w:bookmarkEnd w:id="29"/>
      <w:r>
        <w:rPr>
          <w:rFonts w:ascii="TimesNewRoman" w:hAnsi="TimesNewRoman" w:eastAsia="TimesNewRoman" w:cs="TimesNewRoman"/>
          <w:sz w:val="24"/>
        </w:rPr>
        <w:t xml:space="preserve">г) при передаче ОПО и (или) оборудования под давлением, находившегося в эксплуатации в его составе, для использования другой эксплуатирующей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передаче ОПО с оборудованием под давлением в его составе для использования другой эксплуатирующей организации (в случае, установленном в  настоящего пункта ФНП) комиссия проверяет организацию надзора за эксплуатацией оборудования под давлением на ОПО, а также результаты проверки готовности оборудования к пуску в работу и его фактическое состояние, которые в этом случае проводятся ответственным за осуществление производственного контроля за безопасной эксплуатацией оборудования, совместно с ответственным (ответственными) за исправное состояние и безопасную эксплуатацию.</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Комиссия по проверке готовности оборудования к пуску в работу и организации надзора за его эксплуатацией формируется в следующем составе: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председатель комиссии - уполномоченный представитель эксплуатирующей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члены комиссии: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специалисты эксплуатирующей организации, ответственные за осуществление производственного контроля и за исправное состояние и безопасную эксплуатацию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уполномоченный представитель монтажной или ремонтной организации (в случае, установленном в , ,  настоящего пункта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уполномоченный (уполномоченные) представитель (представители) Ростехнадзора или его территориального органа при осуществлении проверок (в случаях, указанных в , ,  настоящего пункта ФНП) оборудования под давлением, подлежащего учету в территориальных органах Ростехнадзора или уполномоченный (уполномоченные) представитель (представители) иного федерального органа исполнительной власти в области промышленной безопасности при осуществлении проверок оборудования на поднадзорных ему объектах.</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Дополнительно в состав комиссии включаются уполномоченные представители: организаций, проводивших подтверждение соответствия (органов по сертификации), первичное техническое освидетельствование, экспертизу промышленной безопасности; организации-изготовителя и (или) поставщика оборудования, а также организации, ранее эксплуатирующей оборудование (в случае, установленном в  настоящего пункта ФНП) по согласованию с указанными организациями.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Организация работы комиссии возлагается на эксплуатирующую организацию. Члены комиссии официально уведомляются о месте, дате и времени начала работы не позднее чем за 10 рабочих дней.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215. При проведении проверки готовности оборудования к пуску в работу должно контролироваться его фактическое состояние и соответствие представленной проектной и технической документации, в том числе проверяется: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документация организации - изготовителя оборудования и ее соответствие требованиям технических регламентов и настоящих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документация, удостоверяющая качество монтажа (полноту и качество работ по ремонту или реконструкции) и приемку оборудования эксплуатирующей организацией, оформленная в соответствии с требованиями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наличие положительных результатов технического освидетельствования;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документация с результатами пусконаладочных испытаний и комплексного опробования оборудования (в случаях необходимости их проведения, установленных проектом и руководством (инструкцией) по эксплуатации);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документация, подтверждающая приемку оборудования после окончания пусконаладочных работ и комплексного опробования оборудования (в случае необходимости их проведения);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 наличие документации, подтверждающей соответствие оборудования требованиям законодательства Российской Федерации о техническом регулировании и статьи 7 Федерального закона N 116-ФЗ;</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ж) наличие, соответствие проекту и исправность арматуры, контрольно-измерительных приборов, приборов безопасности и технологических защит;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з) правильность установки, размещения, обвязки оборудования и их соответствие требованиям промышленной безопасности, указаниям проектной документации и руководства (инструкции) по эксплуатации организации - изготовителя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216. При проведении проверки организации надзора за эксплуатацией оборудования под давлением должно контролироваться: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наличие обслуживающего персонала, обученного и допущенного к работе в соответствии с требованиями настоящих ФНП и распорядительных документов эксплуатирующей организации и аттестованных специалистов, удовлетворяющих требованиям ФНП и документации организации-изготовителя;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наличие должностных инструкций для ответственных лиц и специалистов, осуществляющих эксплуатацию оборудования, соответствие их требованиям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наличие производственных инструкций для обслуживающего персонала и эксплуатационной документации, соответствие их требованиям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217. Результаты проверки готовности оборудования к пуску в работу и организации надзора за его эксплуатацией должны оформляться актом готовности оборудования под давлением к вводу в эксплуатацию (далее - Акт готовности оборудования), рекомендуемый образец которого приведен в  к ФНП, при этом: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 Каждый член комиссии при несогласии с выводами комиссии имеет право изложить в письменном виде и передать комиссии особое мнение, содержащее обоснования по существу имеющихся возражений, с указанием пунктов, частей, глав нормативных правовых актов, в том числе федеральных норм и правил в области промышленной безопасности и/или технических регламентов, а также проектной (конструкторской) документации и (или) технической документации организации-изготовителя, выполнение требований которых не обеспечено.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Особое мнение (при наличии) должно прилагаться к акту готовности оборудования с внесением отметки о наличии особого мнения в Акт готовности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 Акт готовности оборудования должен быть приложен к паспорту оборудования под давлением и передан руководителю (техническому руководителю) эксплуатирующей организации (обособленного подразделения) для принятия решения о вводе (неготовности к вводу) оборудования в эксплуатацию с учетом содержащихся в Акте готовности оборудования выводов, особого мнения (при наличии) и рекомендаций (при наличии) по устранению, изложенных в Акте готовности оборудования (особом мнении) замечаний.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 В случаях, если в Акте готовности (выводах комиссии, особом мнении) указаны: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нарушения, наличие которых, по мнению членов комиссии, отрицательно влияет на работоспособность и/или на безопасность эксплуатации оборудования, меры по их устранению необходимо принять эксплуатирующей организации до пуска оборудования в работу и проинформировать об этом комиссию;</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замечания по комплектности и содержанию представленной при проверке готовности оборудования документации (производственных инструкций, руководства по эксплуатации), требующие ее доработки или пересмотра, то их устранение может проводится в сроки, определенные руководителем эксплуатирующей организации по согласованию с разработчиком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Информация о принятых мерах по устранению нарушений, выявленных при проверке, должна направляться в адрес организаций, уполномоченные представители которых принимали участие в работе комиссии, после получения которой эти организации в случае несогласия с достаточностью принятых мер уведомляют об этом эксплуатирующую организации любым доступным способом в течении 10 рабочих дней после получения информации в отношении нарушений, влияющих на безопасность эксплуатации оборудования, и не позднее 30 рабочих дней по остальным нарушениям и замечаниям.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 Решение о вводе в эксплуатацию оборудования под давлением должно быть оформлено распорядительным документом эксплуатирующей организации в соответствии с выводами Акта готовности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Сведения о принятом решении записываются в паспорт оборудования и заверяются подписью ответственного работника эксплуатирующей организации, на которого распорядительными документами эксплуатирующей организации возложены соответствующие должностные обязанности, либо подписью председателя комиссии (в случаях ее проведения).</w:t>
      </w:r>
    </w:p>
    <w:p>
      <w:pPr>
        <w:pStyle w:val="Style_180"/>
        <w:spacing w:before="240" w:after="0" w:line="240" w:lineRule="auto"/>
        <w:ind w:left="0" w:firstLine="540"/>
        <w:jc w:val="both"/>
        <w:rPr>
          <w:rFonts w:ascii="TimesNewRoman" w:hAnsi="TimesNewRoman" w:eastAsia="TimesNewRoman" w:cs="TimesNewRoman"/>
          <w:sz w:val="24"/>
        </w:rPr>
      </w:pPr>
      <w:bookmarkStart w:id="30" w:name="Par861"/>
      <w:bookmarkEnd w:id="30"/>
      <w:r>
        <w:rPr>
          <w:rFonts w:ascii="TimesNewRoman" w:hAnsi="TimesNewRoman" w:eastAsia="TimesNewRoman" w:cs="TimesNewRoman"/>
          <w:sz w:val="24"/>
        </w:rPr>
        <w:t xml:space="preserve">218. В случаях необходимости проведения исследовательских испытаний новых экспериментальных образцов оборудования под давлением на объекте их дальнейшего применения, а также невозможности завершения наладки оборудования под давлением на всех установленных проектом режимах его работы по причине неготовности поэтапно подключаемых объектов потребителей или технологического оборудования, для работы совместно с которым в составе технологической установки и (или) технологического процесса оно предназначено, руководителем эксплуатирующей организации может быть принято решение о возможности эксплуатации оборудования под давлением в режиме опытного применения (на период не более шести месяцев).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этом на дату принятия решения о возможности эксплуатации оборудования в режиме опытного применения должна быть разработана и утверждена временная эксплуатационная документация (инструкции, режимные карты и в необходимых по условиям технологического процесса случаях временные технологические регламенты) на основании проектной документации, руководства по эксплуатации и иной технической документации организаций разработчика проекта и организации - изготовителя оборудования, а также обеспечено наличие персонала и специалистов соответствующей квалификации.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 принятом решении по эксплуатации оборудования под давлением в режиме опытного применения эксплуатирующая организация должна уведомить Ростехнадзор или иной федеральный орган исполнительной власти в области промышленной безопасности, которому поднадзорен данный ОПО, с предоставлением информации о сроках и мерах по обеспечению безопасности эксплуатации оборудования в режиме опытного применения.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 окончании эксплуатации оборудования в режиме опытного применения на основании временной эксплуатационной документации с учетом полученных при этом результатов должны быть разработаны и утверждены производственные инструкции, режимные карты и постоянные технологические регламенты (в необходимых по условиям технологического процесса случаях) и осуществлен ввод оборудования в эксплуатацию в порядке, установленном настоящими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219. Пуск (включение) в работу оборудования на основании решения о вводе его в эксплуатацию, а также пуск (включение) в работу и штатная остановка оборудования в процессе его эксплуатации осуществляются на основании письменного распоряжения ответственного за исправное состояние и безопасную эксплуатацию, в порядке, установленном распорядительными документами и производственными инструкциями эксплуатирующей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220. Перед пуском (включением) в работу на каждой единице оборудования (кроме баллонов вместимостью до 100 литров включительно) должна быть вывешена табличка или нанесена надпись с указанием: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номера оборудования по системе нумерации, принятой в эксплуатирующей организацией;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учетного номера, присвоенного территориальным органом Ростехнадзора или иным федеральным органом исполнительной власти в области промышленной безопасности в отношении поднадзорных ему объектов и организаций, который наносится после получения соответствующей информации от органа надзора, за исключением случаев, указанных в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разрешенных параметров (давление, температура рабочей среды);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даты следующего наружного и внутреннего осмотров (НВО) и гидравлического испытания (ГИ) сосудов;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дата истечения срока службы, установленного организацией-изготовителем или указанного в заключении экспертизы промышленной безопасности).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222. Не позднее 10 рабочих дней после даты принятия решения о вводе в эксплуатацию и пуска (включения) в работу оборудования под давлением (за исключением оборудования, указанного в  ФНП) эксплуатирующая организация направляет в территориальный орган Ростехнадзора или иной федеральный орган исполнительной власти в области промышленной безопасности, а также в ГК "Росатом" в случае, указанном в  ФНП, информацию согласно  ФНП для осуществления учета оборудования под давлением, при этом: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 Информация о стационарном оборудовании направляется по месту нахождения ОПО, в составе которого оно установлено и эксплуатируется, в соответствующий территориальный орган Ростехнадзора или иной федеральный орган исполнительной власти в области промышленной безопасности в отношении поднадзорного ему ОПО.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 Транспортируемые сосуды (цистерны) (за исключением подлежащих учету в ином федеральном органе исполнительной власти в области промышленной безопасности) учитываются в органах Ростехнадзора по месту нахождения площадки (при наличии) эксплуатирующей организации, на которой производятся работы по ремонту, техническому обслуживанию и освидетельствованию, стоянка (хранение) указанного оборудования под давлением или по месту нахождения (государственной регистрации) эксплуатирующей организации.</w:t>
      </w:r>
    </w:p>
    <w:p>
      <w:pPr>
        <w:pStyle w:val="Style_180"/>
        <w:spacing w:before="240" w:after="0" w:line="240" w:lineRule="auto"/>
        <w:ind w:left="0" w:firstLine="540"/>
        <w:jc w:val="both"/>
        <w:rPr>
          <w:rFonts w:ascii="TimesNewRoman" w:hAnsi="TimesNewRoman" w:eastAsia="TimesNewRoman" w:cs="TimesNewRoman"/>
          <w:sz w:val="24"/>
        </w:rPr>
      </w:pPr>
      <w:bookmarkStart w:id="31" w:name="Par877"/>
      <w:bookmarkEnd w:id="31"/>
      <w:r>
        <w:rPr>
          <w:rFonts w:ascii="TimesNewRoman" w:hAnsi="TimesNewRoman" w:eastAsia="TimesNewRoman" w:cs="TimesNewRoman"/>
          <w:sz w:val="24"/>
        </w:rPr>
        <w:t xml:space="preserve">223. Не подлежит учету в органах Ростехнадзора и иных федеральных органах исполнительной власти, уполномоченных в области промышленной безопасности следующее оборудование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сосуды, работающие со средой 1-й группы (согласно ТР ТС 032/2013) при температуре стенки не более 200 °C, у которых произведение значений рабочего давления (МПа) и вместимости (м</w:t>
      </w:r>
      <w:r>
        <w:rPr>
          <w:rFonts w:ascii="TimesNewRoman" w:hAnsi="TimesNewRoman" w:eastAsia="TimesNewRoman" w:cs="TimesNewRoman"/>
          <w:sz w:val="24"/>
          <w:vertAlign w:val="superscript"/>
        </w:rPr>
        <w:t xml:space="preserve">3</w:t>
      </w:r>
      <w:r>
        <w:rPr>
          <w:rFonts w:ascii="TimesNewRoman" w:hAnsi="TimesNewRoman" w:eastAsia="TimesNewRoman" w:cs="TimesNewRoman"/>
          <w:sz w:val="24"/>
        </w:rPr>
        <w:t xml:space="preserve">) не превышает 0,05, а также сосуды, работающие со средой 2-й группы (согласно ТР ТС 032/2013) при указанной выше температуре, у которых произведение значений рабочего давления (МПа) и вместимости (м</w:t>
      </w:r>
      <w:r>
        <w:rPr>
          <w:rFonts w:ascii="TimesNewRoman" w:hAnsi="TimesNewRoman" w:eastAsia="TimesNewRoman" w:cs="TimesNewRoman"/>
          <w:sz w:val="24"/>
          <w:vertAlign w:val="superscript"/>
        </w:rPr>
        <w:t xml:space="preserve">3</w:t>
      </w:r>
      <w:r>
        <w:rPr>
          <w:rFonts w:ascii="TimesNewRoman" w:hAnsi="TimesNewRoman" w:eastAsia="TimesNewRoman" w:cs="TimesNewRoman"/>
          <w:sz w:val="24"/>
        </w:rPr>
        <w:t xml:space="preserve">) не превышает 1,0.</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одновременном присутствии в рабочей полости сосуда двух сред, имеющих различные агрегатные состояния и группы, учитывается группа (согласно ТР ТС 032/2013) той среды, которая в рабочей полости создает избыточное давление более 0,07 МПа;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аппараты воздухоразделительных установок и разделения газов, расположенные внутри теплоизоляционного кожуха (регенераторы, колонны, теплообменники, конденсаторы, адсорберы, отделители, испарители, фильтры, пароохладители и подогреватели);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баллоны вместимостью до 100 литров включительно, установленные стационарно, а также предназначенные для транспортирования и (или) хранения сжатых, сжиженных и растворенных газов;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 сосуды для хранения или транспортирования сжиженных газов, жидкостей и сыпучих тел, находящихся под давлением периодически при их опорожнении;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ж) сосуды со сжатыми и сжиженными газами, предназначенные для обеспечения топливом двигателей транспортных средств, на которых они установлены;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Оборудование под давлением, указанное в настоящем пункте, должно учитываться эксплуатирующей организацией в соответствии с ее распорядительными документами.</w:t>
      </w:r>
    </w:p>
    <w:p>
      <w:pPr>
        <w:pStyle w:val="Style_180"/>
        <w:spacing w:before="240" w:after="0" w:line="240" w:lineRule="auto"/>
        <w:ind w:left="0" w:firstLine="540"/>
        <w:jc w:val="both"/>
        <w:rPr>
          <w:rFonts w:ascii="TimesNewRoman" w:hAnsi="TimesNewRoman" w:eastAsia="TimesNewRoman" w:cs="TimesNewRoman"/>
          <w:sz w:val="24"/>
        </w:rPr>
      </w:pPr>
      <w:bookmarkStart w:id="32" w:name="Par894"/>
      <w:bookmarkEnd w:id="32"/>
      <w:r>
        <w:rPr>
          <w:rFonts w:ascii="TimesNewRoman" w:hAnsi="TimesNewRoman" w:eastAsia="TimesNewRoman" w:cs="TimesNewRoman"/>
          <w:sz w:val="24"/>
        </w:rPr>
        <w:t xml:space="preserve">224. Для постановки на учет оборудования под давлением эксплуатирующая это оборудование организация представляет в территориальный орган Ростехнадзора или иной федеральный орган исполнительной власти, уполномоченный в области промышленной безопасности, если оборудование под давлением эксплуатируется на подведомственном данному органу ОПО: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заявление, содержащее информацию об эксплуатирующей организации с указанием места установки стационарного оборудования, места применения транспортабельного оборудования и планируемого периода его эксплуатации на указанном месте, а также места нахождения производственной площадки для ремонта и технического освидетельствования цистерн и планируемом регионе их применения;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копии акта готовности оборудования под давлением к вводу в эксплуатацию и распорядительного документа о вводе его в эксплуатацию, а также реквизиты документации, подтверждающей соответствие оборудования требованиям законодательства Российской Федерации о техническом регулировании и статьи 7 Федерального закона N 116-ФЗ;</w:t>
      </w:r>
    </w:p>
    <w:p>
      <w:pPr>
        <w:pStyle w:val="Style_180"/>
        <w:spacing w:before="240" w:after="0" w:line="240" w:lineRule="auto"/>
        <w:ind w:left="0" w:firstLine="540"/>
        <w:jc w:val="both"/>
        <w:rPr>
          <w:rFonts w:ascii="TimesNewRoman" w:hAnsi="TimesNewRoman" w:eastAsia="TimesNewRoman" w:cs="TimesNewRoman"/>
          <w:sz w:val="24"/>
        </w:rPr>
      </w:pPr>
      <w:bookmarkStart w:id="33" w:name="Par897"/>
      <w:bookmarkEnd w:id="33"/>
      <w:r>
        <w:rPr>
          <w:rFonts w:ascii="TimesNewRoman" w:hAnsi="TimesNewRoman" w:eastAsia="TimesNewRoman" w:cs="TimesNewRoman"/>
          <w:sz w:val="24"/>
        </w:rPr>
        <w:t xml:space="preserve">в) краткие сведения о подлежащем учету оборудовании, указанные в паспорте, в том числе: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наименование или обозначение оборудования, год изготовления, организация-изготовитель, заводской номер (по системе нумерации изготовителя);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основные технические характеристики, расчетные и рабочие (максимальные, номинальные, минимальные) параметры и условия работы оборудования, сведения о рабочей среде, расчетный срок службы, максимальное количество циклов работы (если установлено) сосуда или заправок баллонов;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сведения о дате и результатах проведения технического освидетельствования или экспертизы промышленной безопасности и сроках следующего технического освидетельствования и/или сроке безопасной эксплуатации (при наличии), указанном в выводах заключения экспертизы;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комплект технической документации на русском языке (паспорт оборудования с приложением к нему чертежа (комплекта чертежей), руководства (инструкции) по эксплуатации, удостоверения (свидетельства) о качестве монтажа (для стационарно установленного оборудования), паспортов арматуры или иных идентифицирующих ее документов, паспортов предохранительных устройств оборудования, проверка готовности которого проводилась в случаях, предусмотренных  настоящих ФНП, без участия уполномоченного представителя Ростехнадзора или иного федерального органа исполнительной власти в области промышленной безопасности, если оборудование под давлением эксплуатируется на поднадзорном данному органу ОПО. Допускается представление указанного комплекта технической документации в виде заверенных эксплуатирующей организацией копий на бумажном носителе или в электронном виде.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225. В случае непредставления эксплуатирующей организацией информации и документов, перечисленных в  ФНП, представления указанной информации и документов не в полном объеме, а также в случае невозможности осуществления на основании представленной информации и документов идентификации оборудования и оценки его соответствия установленным требованиям в области промышленной безопасности, учетный номер оборудованию не присваивается.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226. Оборудование под давлением подлежит снятию с учета в органах Ростехнадзора или ином федеральном органе исполнительной власти в области промышленной безопасности, если оборудование под давлением эксплуатировалось на подведомственном данному органу ОПО, в случаях его утилизации по причине невозможности дальнейшей эксплуатации или утраты признаков опасности, вызывающих необходимость учета такого оборудования, а также в случае передачи оборудования для использования другой эксплуатирующей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Снятие оборудования под давлением с учета должно осуществляться на основании заявления эксплуатирующей организации, содержащего причину снятия с учета с приложением копий документов, подтверждающих факт утилизации оборудования под давлением или утраты признаков опасности, вызывающих необходимость учета такого оборудования, или факт передачи оборудования на законных основаниях другой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передаче другой эксплуатирующей организации оборудования под давлением передающая его организация: направляет в территориальный орган Ростехнадзора или иной федеральный орган исполнительной власти в области промышленной безопасности копии документов, содержащих основание и подтверждение факта передачи оборудования, и информацию об организации, которой передано оборудование (наименование, адрес электронной почты, номер телефона); производит запись в паспорт оборудования (в разделах, содержащих сведения об учетном номере, о местонахождении оборудования, назначении ответственных лиц, результатах технического освидетельствования) о прекращении его использования по факту передачи другой организации с указанием о необходимости соблюдения требований настоящих ФНП при дальнейшей эксплуатации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227. При наличии оборудования под давлением регистрации в государственном реестре ОПО подлежат: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объекты, в составе которых используется оборудование под давлением, подлежащее учету в территориальных органах Ростехнадзора или иных федеральных органах исполнительной власти в области промышленной безопасности, идентифицируемые по признакам, указанным в  настоящих ФНП и пункте 2 приложения к Федеральному закону N 116-ФЗ;</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объекты, в составе которых используется оборудование под давлением, не подлежащее учету согласно  настоящих ФНП при наличии признаков опасности, обусловленных обращением перечисленных в пункте 1 приложения N 1 к Федеральному закону N 116-ФЗ опасных веществ в количестве, превышающем указанное в приложении N 2 к Федеральному закону N 116-ФЗ.</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1"/>
        <w:rPr>
          <w:rFonts w:ascii="Arial" w:hAnsi="Arial" w:eastAsia="Arial" w:cs="Arial"/>
          <w:b/>
          <w:sz w:val="24"/>
        </w:rPr>
      </w:pPr>
      <w:bookmarkStart w:id="34" w:name="Par910"/>
      <w:bookmarkEnd w:id="34"/>
      <w:r>
        <w:rPr>
          <w:rFonts w:ascii="Arial" w:hAnsi="Arial" w:eastAsia="Arial" w:cs="Arial"/>
          <w:b/>
          <w:sz w:val="24"/>
        </w:rPr>
        <w:t xml:space="preserve">V. ТРЕБОВАНИЯ ПРОМЫШЛЕННОЙ БЕЗОПАСНОСТИ К ЭКСПЛУАТАЦИИ</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ОБОРУДОВАНИЯ ПОД ДАВЛЕНИЕМ</w:t>
      </w:r>
    </w:p>
    <w:p>
      <w:pPr>
        <w:pStyle w:val="Style_180"/>
        <w:spacing w:before="0" w:after="0" w:line="240" w:lineRule="auto"/>
        <w:ind w:left="0" w:firstLine="0"/>
        <w:jc w:val="both"/>
        <w:rPr>
          <w:rFonts w:ascii="Arial" w:hAnsi="Arial" w:eastAsia="Arial" w:cs="Arial"/>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Общие требования к организациям, осуществляющим</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эксплуатацию оборудования под давлением, и к работникам</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этих организаций</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228. Организация, индивидуальный предприниматель, осуществляющие эксплуатацию оборудования под давлением (эксплуатирующая организация), должны обеспечить содержание оборудования под давлением в исправном (работоспособном) состоянии и безопасные условия его эксплуатации.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этих целях необходимо: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организовать безопасную эксплуатацию в соответствии с требованиями законодательства Российской Федерации и обеспечить их соблюдение;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назначить распорядительным документом организации из числа инженерно-технических работников, состоящих в штате эксплуатирующей организации, должностных лиц, ответственных за осуществление производственного контроля при эксплуатации оборудования на ОПО, а также ответственных за исправное состояние и безопасную эксплуатацию оборудования под давлением, прошедших аттестацию в области промышленной безопасности в соответствии с положениями статьи 14.1 Федерального закона N 116-ФЗ;</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назначить необходимое количество лиц обслуживающего оборудование персонала (специалистов и рабочих), состоящего в штате эксплуатирующей организации, удовлетворяющего квалификационным требованиям, не имеющего медицинских противопоказаний к указанной работе и допущенного в установленном распорядительными документами организации порядке к самостоятельной работе. Количество персонала, необходимого для безопасной эксплуатации оборудования, должно соответствовать указанному в проекте на данный ОПО (при наличии таких данных в проекте);</w:t>
      </w:r>
    </w:p>
    <w:p>
      <w:pPr>
        <w:pStyle w:val="Style_180"/>
        <w:spacing w:before="240" w:after="0" w:line="240" w:lineRule="auto"/>
        <w:ind w:left="0" w:firstLine="540"/>
        <w:jc w:val="both"/>
        <w:rPr>
          <w:rFonts w:ascii="TimesNewRoman" w:hAnsi="TimesNewRoman" w:eastAsia="TimesNewRoman" w:cs="TimesNewRoman"/>
          <w:sz w:val="24"/>
        </w:rPr>
      </w:pPr>
      <w:bookmarkStart w:id="35" w:name="Par922"/>
      <w:bookmarkEnd w:id="35"/>
      <w:r>
        <w:rPr>
          <w:rFonts w:ascii="TimesNewRoman" w:hAnsi="TimesNewRoman" w:eastAsia="TimesNewRoman" w:cs="TimesNewRoman"/>
          <w:sz w:val="24"/>
        </w:rPr>
        <w:t xml:space="preserve">г) установить распорядительными документами, инструкциями порядок, обеспечивающий поддержание оборудования в исправном состоянии, осуществление персоналом (специалистами и рабочими), на который возложены обязанности по обслуживанию оборудования под давлением, наблюдения за порученным им оборудованием под давлением путем его осмотра, проверки действия арматуры, контрольно-измерительных приборов, предохранительных и блокировочных устройств, средств сигнализации и защиты, с документарной фиксацией (записью) результатов осмотра и проверки в предназначенном для этого журнале или ином документе, а также установить виды (формы) документов, ведущихся в организации при эксплуатации оборудования, порядок их ведения (заполнения) в бумажном или электронном виде (при условии обеспечения сохранности (резервирования) хранимой в электронном виде информации и возможности идентифицировать работника, вносившего информацию в электронную форму документа);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утвердить перечень нормативных документов, применяемых в эксплуатирующей организации в зависимости от осуществляемых видов деятельности для обеспечения требований промышленной безопасности, установленных законодательством Российской Федерации и настоящими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 разработать и утвердить инструкции для ответственного за осуществление производственного контроля и ответственного за исправное состояние и безопасную эксплуатацию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ж) разработать и утвердить на основе руководств (инструкций) по эксплуатации конкретного вида оборудования с учетом особенностей технологического процесса, установленных проектной и технологической документацией, производственные инструкции для персонала, осуществляющего обслуживание и ремонт оборудования под давлением, определяющие его обязанности, порядок безопасного производства работ и ответственность с учетом указанного в  настоящего пункта ФНП. Производственные инструкции должны выдаваться персоналу перед допуском к работе с подтверждением их получения подписью работника в журнале или на контрольном экземпляре производственной инструкции, или отметкой в системе электронного документооборота при условии, что данная система обеспечивает хранение информации и возможность идентификации работника и произведенных им действий;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з) обеспечить своевременное проведение аттестации в области промышленной безопасности инженерно-технических работников, связанных с эксплуатацией оборудования под давлением, в соответствии с положениями статьи 14.1 Федерального закона N 116-ФЗ, а также проверки знаний обслуживающего персонала (рабочих) в объеме производственных инструкций и допуск их к работе в порядке, установленном распорядительными документами эксплуатирующей организации, разработанными в соответствии с требованиями законодательства Российской Федерации и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 обеспечить проведение работ по техническому освидетельствованию, техническому диагностированию, техническому обслуживанию и ремонту оборудования под давлением в соответствии с требованиями настоящих ФНП, технической документации организации-изготовителя, а также принятыми для применения в эксплуатирующей организации нормативными документами и системой проведения работ;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 соблюдать требования организации-изготовителя, установленные руководством (инструкцией) по эксплуатации, а также указанные в копии обоснования безопасности оборудования, выпущенного в соответствии с ТР ТС 032/2013;</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л) не допускать эксплуатацию неисправного (неработоспособного) и не соответствующего требованиям промышленной безопасности оборудования под давлением, у которого выявлены дефекты (повреждения), влияющие на безопасность его работы, неисправны арматура, контрольно-измерительные приборы, предохранительные и блокировочные устройства, средства сигнализации и защиты, а также без проведения экспертизы промышленной безопасности если период эксплуатации оборудования превысил срок службы, указанный в паспорте оборудования организацией-изготовителем, или срок безопасной эксплуатации - в заключении экспертизы;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л) контролировать состояние оборудования под давлением (в том числе металла или другого материала, из которого изготовлено оборудование) в процессе его эксплуатации в соответствии с требованиями руководства (инструкции) по эксплуатации, принятых для применения в эксплуатирующей организации нормативных документов и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м) при выявлении нарушений требований промышленной безопасности принимать меры по их устранению и дальнейшему предупреждению;</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 обеспечить проведение экспертизы промышленной безопасности в случаях, предусмотренных законодательством Российской Федерации в области промышленной безопасности;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 обеспечить осмотр, обслуживание, обследование, экспертизу промышленной безопасности и ремонт зданий и сооружений, предназначенных для осуществления технологических процессов с использованием оборудования под давлением, в соответствии с требованиями технических регламентов, настоящих ФНП, иных федеральных норм и правил в области промышленной безопасности;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 обеспечить наличие и исправность необходимого комплекта средств измерений прямого и дистанционного действия, стационарно установленных на оборудовании под давлением и в составе автоматизированных систем безопасности и управления, а также переносных для контроля параметров, влияющих на безопасность осуществляемых на ОПО технологических процессов и безопасность работы оборудования под давлением, а также точность их показаний в соответствии с положениями Федерального закона от 26 июня 2008 г. N 102-ФЗ "Об обеспечении единства измерений" (Собрание законодательства Российской Федерации, 2008, N 26, ст. 3021; 2019, N 52, ст. 7814), требованиями ФНП, проектной, технической и эксплуатационной документацией. Для обеспечения указанных требований эксплуатирующей организации следует на основании проектной документации и технической документации изготовителей оборудования и систем, технологических регламентов (при наличии) разработать перечень средств измерений, обеспечивающих контроль технологических параметров, влияющих на безопасность осуществляемых на ОПО технологических процессов и безопасность оборудования, работающего под избыточным давлением, подлежащих обязательной поверке, и перечень средств измерений, применяемых вне сферы государственного регулирования обеспечения единства измерений, подлежащих калибровке, поверка которых может проводится в случаях, установленных технологическими регламентами (при наличии) производственными инструкциями и распорядительными документами эксплуатирующей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 распорядительным документом по организации установить порядок хранения и ведения технической (технологической и эксплуатационной) документации на оборудование под давлением, организации учета оборудования под давлением и учета его освидетельствований (в бумажном или электронном виде) и обеспечить его исполнение в соответствии с требованиями настоящих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229. Работники, непосредственно связанные с эксплуатацией оборудования под давлением, должны: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инженерно-технические работники - пройти аттестацию по промышленной безопасности, в объеме требований промышленной безопасности, необходимых для исполнения трудовых обязанностей в соответствии со статьей 14.1 Федерального закона N 116-ФЗ (в зависимости от типа конкретного оборудования, к эксплуатации которого они допускаются), знать положения распорядительных документов, инструкций и иных нормативных документов, принятых в организации для обеспечения промышленной безопасности, относящихся к выполняемым обязанностям и выполнять установленные в них требования в процессе выполнения работ;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обслуживающий и ремонтный персонал - соответствовать квалификационным требованиям (в зависимости от типа конкретного оборудования, к эксплуатации которого они допускаются) и иметь выданный в установленном распорядительными документами организации порядке документ (протокол, удостоверение) на право самостоятельной работы по соответствующим видам деятельности, знать и выполнять требования производственных, технологических и иных инструкций (документов), определяющих порядок и безопасные методы выполнения работ, к которым работник допущен;</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знать устройство, принцип действия, технические характеристики, допустимые рабочие параметры и критерии работоспособности эксплуатируемого оборудования под давлением, контролировать соблюдение технологического процесса и приостанавливать работу оборудования в случае возникновения угрозы аварийной ситуации, информируя об этом своего непосредственного руководителя;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при обнаружении повреждений оборудования под давлением, которые могут привести к аварийной ситуации или свидетельствуют о неработоспособном состоянии оборудования, не приступать к работе до приведения оборудования под давлением в работоспособное состояние;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не приступать к работе или прекратить работу в условиях, не обеспечивающих безопасную эксплуатацию оборудования под давлением, и в случаях выявления отступлений от технологического процесса и недопустимого повышения (понижения) значений параметров работы оборудования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 в случаях возникновения аварий и инцидентов при эксплуатации оборудования под давлением действовать в соответствии с требованиями соответствующих инструкций и планов мероприятий по локализации и ликвидации последствий аварий (при наличии).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230. Количество и квалификация персонала, необходимого для безопасной эксплуатации оборудования под давлением, с учетом его количества, видов (типов) и условий эксплуатации должно соответствовать указаниям проекта ОПО и руководств (инструкций) по эксплуатации оборудования и может быть изменено в случае проведения работ по реконструкции или техническому перевооружению ОПО, приведших к повышению уровня автоматизации управления технологическим процессом и оборудованием на основании указаний проектной документации на реконструкцию или техническое перевооружение ОПО.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231. Достаточная для обеспечения безопасной эксплуатации ОПО численность инженерно-технических работников определяется эксплуатирующей организацией с учетом количества, видов (типов) эксплуатируемого оборудования, условий его эксплуатации и требований проектной и эксплуатационной документации, с учетом времени, необходимого для своевременного и качественного выполнения обязанностей, возложенных на ответственных лиц должностными инструкциями и распорядительными документами эксплуатирующей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Эксплуатирующая организация должна создать условия для выполнения инженерно-техническими работниками возложенных на них обязанностей.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232. Ответственный за осуществление производственного контроля за безопасной эксплуатацией оборудования под давлением должен иметь техническое образование, соответствующее возложенным на него распорядительными документами организации обязанностям.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Ответственный за осуществление производственного контроля за безопасной эксплуатацией оборудования не может совмещать обязанности ответственного за исправное состояние и безопасную эксплуатацию оборудования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233. Ответственный за осуществление производственного контроля за безопасной эксплуатацией оборудования под давлением должен:</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осматривать работающее оборудование под давлением и проверять соблюдение установленных режимов при его эксплуатации с периодичностью установленной должностной инструкцией и планом графиком (при наличии);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осуществлять контроль за подготовкой и своевременным предъявлением оборудования под давлением для освидетельствования, диагностирования специализированной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осуществлять контроль за соблюдением требований законодательства Российской Федерации в области промышленной безопасности и ФНП при эксплуатации оборудования под давлением, при выявлении нарушений требований промышленной безопасности выдавать обязательные для исполнения предписания по устранению нарушений и контролировать их выполнение, а также контролировать выполнение предписаний, выданных представителями Ростехнадзора и его территориальных органов, и иных уполномоченных в области промышленной безопасности органов;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контролировать своевременность и полноту проведения ремонта (реконструкции), а также соблюдение требований настоящих ФНП при проведении ремонтных работ;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проверять соблюдение установленного порядка допуска рабочих к самостоятельной работе, а также выдачу им производственных инструкций;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 проверять правильность ведения технической и эксплуатационной документации при эксплуатации и ремонте оборудования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ж) проводить освидетельствование оборудования в установленных настоящими ФНП случаях, а также участвовать в освидетельствованиях оборудования под давлением специализированной организацией;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з) требовать отстранения от работ и проведения внеочередной проверки знаний для работников, нарушающих требования промышленной безопасности;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 контролировать проведение противоаварийных тренировок;</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 выполнять требования документов, определяющих его должностные обязанности.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234. Ответственность за исправное состояние и безопасную эксплуатацию оборудования, работающего под давлением, в конкретном структурном подразделении организации должна быть возложена на инженерно-технического работника, которому непосредственно подчинен персонал, обеспечивающий обслуживание и ремонт этого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С учетом структуры эксплуатирующей организации и ее подразделений могут быть назначены: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ответственные за безопасную эксплуатацию оборудования, из числа лиц которым непосредственно подчинен оперативный (сменный) персонал (рабочие), осуществляющий подготовку оборудования к работе, пуск и его остановку, в том числе аварийную, а также контроль и регистрацию параметров и состояния оборудования, регулирование режимов его работы, устранение отклонений, возникших в процессе работы и не требующих остановки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ответственный за исправное состояние оборудования под давлением, осуществляющий функциональное взаимодействие (в установленном распорядительными документами эксплуатирующей организации порядке) с ответственными за безопасную эксплуатацию с целью мониторинга текущего состояния и устранения дефектов, возникающих при работе оборудования, отвечающий за своевременное проведение технических обслуживаний плановых и внеплановых (по фактическому состоянию с целью устранения дефектов) ремонтов силами подчиненных ему штатных специалистов и ремонтного персонала либо силами привлекаемой по договору специализированной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Номер и дата приказа о назначении, фамилия, инициалы, должность ответственного за исправное состояние и безопасную эксплуатацию оборудования должны быть записаны в паспорт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На время отпуска, командировки, болезни или в других случаях отсутствия ответственных лиц выполнение их обязанностей возлагается распорядительным документом на работников, замещающих их по должности, имеющих соответствующую квалификацию, прошедших в установленном порядке аттестацию по промышленной безопасности.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235. Аттестация ответственных за исправное состояние и безопасную эксплуатацию оборудования под давлением, а также иных работников, деятельность которых связана с эксплуатацией оборудования под давлением, проводится в установленном в эксплуатирующей организации порядке в объеме требований промышленной безопасности, необходимых для исполнения трудовых обязанностей в соответствии со статьей 14.1 Федерального закона N 116-ФЗ.</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236. Ответственный за исправное состояние и безопасную эксплуатацию оборудования под давлением, должен:</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обеспечивать содержание оборудования под давлением в исправном (работоспособном) состоянии, выполнение обслуживающим персоналом производственных инструкций, проведение своевременных ремонтов, подготовку оборудования к техническому освидетельствованию или диагностированию, а также контроль за безопасностью, полнотой и качеством их проведения;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осматривать оборудование под давлением с определенной должностной инструкцией периодичностью (но не реже одного раза в месяц) и обеспечивать соблюдение безопасных условий и режимов его эксплуатации;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проверять записи персонала в сменном (оперативном) журнале, журнале дефектов (при наличии) и иных эксплуатационных документах, ведение которых установлено распорядительными документами организации, с подписью в них и принимать меры к устранению замечаний к работе оборудования (дефектов) выявленных персоналом;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хранить паспорта оборудования под давлением и руководства (инструкции) организаций-изготовителей по монтажу и эксплуатации, если иной порядок хранения документации не установлен распорядительными документами эксплуатирующей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проводить технические освидетельствования в установленных ФНП случаях, участвовать в технических освидетельствованиях оборудования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 проводить противоаварийные тренировки с обслуживающим персоналом;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ж) своевременно выполнять предписания по устранению выявленных нарушений;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з) вести учет наработки циклов нагружения оборудования под давлением, эксплуатируемого в циклическом режиме;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 выполнять требования документов, определяющих его должностные обязанности.</w:t>
      </w:r>
    </w:p>
    <w:p>
      <w:pPr>
        <w:pStyle w:val="Style_180"/>
        <w:spacing w:before="240" w:after="0" w:line="240" w:lineRule="auto"/>
        <w:ind w:left="0" w:firstLine="540"/>
        <w:jc w:val="both"/>
        <w:rPr>
          <w:rFonts w:ascii="TimesNewRoman" w:hAnsi="TimesNewRoman" w:eastAsia="TimesNewRoman" w:cs="TimesNewRoman"/>
          <w:sz w:val="24"/>
        </w:rPr>
      </w:pPr>
      <w:bookmarkStart w:id="36" w:name="Par976"/>
      <w:bookmarkEnd w:id="36"/>
      <w:r>
        <w:rPr>
          <w:rFonts w:ascii="TimesNewRoman" w:hAnsi="TimesNewRoman" w:eastAsia="TimesNewRoman" w:cs="TimesNewRoman"/>
          <w:sz w:val="24"/>
        </w:rPr>
        <w:t xml:space="preserve">237. Профессиональное обучение и выдача документа об образовании и (или) о квалификации работников (рабочих и иных категорий персонала (далее - персонала (рабочих)), допускаемых к обслуживанию и ремонту оборудования под давлением, должны проводиться в организациях, осуществляющих образовательную деятельность, в соответствии с требованиями законодательства Российской Федерации в области образования.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Необходимость повышения квалификации или проведения дополнительного практического обучения (тренировок) безопасным методам работ на производстве должна определяться эксплуатирующей организацией в зависимости от результатов проверки знаний, анализа причин инцидентов, аварийности и травматизма, а также в случаях реконструкции, технического перевооружения ОПО с внедрением новых технологий и оборудования, требующих более высокого уровня квалификации.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238. Порядок проверки знаний и допуска работника к самостоятельной работе определяется распорядительными документами эксплуатирующей организации и должен предусматривать выполнение следующих процедур:</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проверку наличия документа, подтверждающего квалификацию работника или направление работника для прохождения профессионального обучения в соответствии с требованиями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проведение вводного инструктажа;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проведение первичного инструктажа на рабочем месте;</w:t>
      </w:r>
    </w:p>
    <w:p>
      <w:pPr>
        <w:pStyle w:val="Style_180"/>
        <w:spacing w:before="240" w:after="0" w:line="240" w:lineRule="auto"/>
        <w:ind w:left="0" w:firstLine="540"/>
        <w:jc w:val="both"/>
        <w:rPr>
          <w:rFonts w:ascii="TimesNewRoman" w:hAnsi="TimesNewRoman" w:eastAsia="TimesNewRoman" w:cs="TimesNewRoman"/>
          <w:sz w:val="24"/>
        </w:rPr>
      </w:pPr>
      <w:bookmarkStart w:id="37" w:name="Par982"/>
      <w:bookmarkEnd w:id="37"/>
      <w:r>
        <w:rPr>
          <w:rFonts w:ascii="TimesNewRoman" w:hAnsi="TimesNewRoman" w:eastAsia="TimesNewRoman" w:cs="TimesNewRoman"/>
          <w:sz w:val="24"/>
        </w:rPr>
        <w:t xml:space="preserve">г) проведение обучения безопасным методам и приемам выполнения работ со стажировкой на рабочем месте, предусматривающего: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изучение инструкций, схем, компоновки оборудования, фактического расположения приборов и органов управления, контроля за работой оборудования, методов и периодичности их проверки;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безопасных методов работы, порядка приема-сдачи смены, осмотра, подготовки к работе, пуска и остановки (плановой и аварийной) оборудования, с последующим выполнением работ под наблюдением наставника;</w:t>
      </w:r>
    </w:p>
    <w:p>
      <w:pPr>
        <w:pStyle w:val="Style_180"/>
        <w:spacing w:before="240" w:after="0" w:line="240" w:lineRule="auto"/>
        <w:ind w:left="0" w:firstLine="540"/>
        <w:jc w:val="both"/>
        <w:rPr>
          <w:rFonts w:ascii="TimesNewRoman" w:hAnsi="TimesNewRoman" w:eastAsia="TimesNewRoman" w:cs="TimesNewRoman"/>
          <w:sz w:val="24"/>
        </w:rPr>
      </w:pPr>
      <w:bookmarkStart w:id="38" w:name="Par985"/>
      <w:bookmarkEnd w:id="38"/>
      <w:r>
        <w:rPr>
          <w:rFonts w:ascii="TimesNewRoman" w:hAnsi="TimesNewRoman" w:eastAsia="TimesNewRoman" w:cs="TimesNewRoman"/>
          <w:sz w:val="24"/>
        </w:rPr>
        <w:t xml:space="preserve">д) проверка знаний инструкций и безопасных методов выполнения работ;</w:t>
      </w:r>
    </w:p>
    <w:p>
      <w:pPr>
        <w:pStyle w:val="Style_180"/>
        <w:spacing w:before="240" w:after="0" w:line="240" w:lineRule="auto"/>
        <w:ind w:left="0" w:firstLine="540"/>
        <w:jc w:val="both"/>
        <w:rPr>
          <w:rFonts w:ascii="TimesNewRoman" w:hAnsi="TimesNewRoman" w:eastAsia="TimesNewRoman" w:cs="TimesNewRoman"/>
          <w:sz w:val="24"/>
        </w:rPr>
      </w:pPr>
      <w:bookmarkStart w:id="39" w:name="Par986"/>
      <w:bookmarkEnd w:id="39"/>
      <w:r>
        <w:rPr>
          <w:rFonts w:ascii="TimesNewRoman" w:hAnsi="TimesNewRoman" w:eastAsia="TimesNewRoman" w:cs="TimesNewRoman"/>
          <w:sz w:val="24"/>
        </w:rPr>
        <w:t xml:space="preserve">е) допуск к самостоятельной работе с выдачей удостоверения.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Допуск работника для участия в проведении мероприятий, указанных в , ,  настоящего пункта ФНП, оформляется в порядке, установленном распорядительными документами эксплуатирующей организации. При этом продолжительность проведения мероприятий, указанных в  настоящего пункта ФНП, устанавливается в зависимости от сложности технологического процесса, уровня квалификации и наличия опыта работы у допускаемого работника.</w:t>
      </w:r>
    </w:p>
    <w:p>
      <w:pPr>
        <w:pStyle w:val="Style_180"/>
        <w:spacing w:before="240" w:after="0" w:line="240" w:lineRule="auto"/>
        <w:ind w:left="0" w:firstLine="540"/>
        <w:jc w:val="both"/>
        <w:rPr>
          <w:rFonts w:ascii="TimesNewRoman" w:hAnsi="TimesNewRoman" w:eastAsia="TimesNewRoman" w:cs="TimesNewRoman"/>
          <w:sz w:val="24"/>
        </w:rPr>
      </w:pPr>
      <w:bookmarkStart w:id="40" w:name="Par988"/>
      <w:bookmarkEnd w:id="40"/>
      <w:r>
        <w:rPr>
          <w:rFonts w:ascii="TimesNewRoman" w:hAnsi="TimesNewRoman" w:eastAsia="TimesNewRoman" w:cs="TimesNewRoman"/>
          <w:sz w:val="24"/>
        </w:rPr>
        <w:t xml:space="preserve">239. Периодическую проверку знаний персонала (рабочих), обслуживающего оборудование под давлением, необходимо проводить один раз в 12 месяцев, а внеочередную проверку знаний: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при переходе в другую организацию;</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при замене, реконструкции (модернизации) оборудования, а также внесении изменений в технологический процесс и инструкции;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в случае перевода рабочих на обслуживание оборудования другого типа;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по требованию лица, ответственного за осуществление производственного контроля.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240. Комиссия по проверке знаний обслуживающего и ремонтного персонала (рабочих и специалистов) должна быть назначена распорядительным документом эксплуатирующей организации, в котором определяется, в том числе состав комиссии и количество ее членов. При этом в проведении проверки знаний конкретного работника должно участвовать не менее 3-х человек из числа включенных в состав комиссии членов.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состав комиссии по проверке знаний персонала включаются ответственные за осуществление производственного контроля за безопасной эксплуатацией оборудования, ответственные за исправное состояние и/или безопасную эксплуатацию оборудования, а также иные инженерно-технические работники, обладающие необходимой квалификацией. В случае невозможности обеспечить необходимое количество членов комиссии из числа работников эксплуатирующей организации допускается включать в состав комиссии по проверке знаний обслуживающего и ремонтного персонала работников образовательных организаций, осуществляющих деятельность по профессиональной подготовке (переподготовке), работников специализированных организаций, общественных инспекторов соответствующей квалификации и аттестованных в соответствии со статьей 14.1 Федерального закона N 116-ФЗ.</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241. Проверка знаний персонала проводится в форме собеседования и тестирования по контрольным вопросам, а также при необходимости может предусматривать выполнение практических заданий. Объем рассматриваемых при этом вопросов должен обеспечивать возможность проверки знаний требований, установленных производственными инструкциями и иными распорядительными документами, определяющих перечень работ, входящих в обязанности проверяемого, и безопасные методы их выполнения, а также порядок действий в аварийных ситуациях.</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Перечень действующих инструкций и иных документов, входящих в объем проверки знаний персонала, для конкретного структурного подразделения, рабочего места, профессии (специальности) и выполняемых работником работ, утверждается и актуализируется в случае их изменения в порядке, установленном распорядительными документами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242. Результаты проверки знаний обслуживающего персонала (рабочих) оформляются в порядке, установленном распорядительными документами эксплуатирующей организации, протоколом с отметкой в удостоверении о допуске к самостоятельной работе.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Формы протокола проверки знаний и удостоверения о допуске к самостоятельной работе определяются распорядительными документами эксплуатирующей организации, при этом: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протокол должен быть подписан всеми членами комиссии, проводившими проверку знаний, и содержать сведения о проходившем ее работнике в объеме, достаточном для его идентификации, с указанием профессии, информацию об инструкциях и иных документах (в виде перечисления их наименований и реквизитов (номер, дата) или указания наименования (реквизитов) перечня инструкций, утвержденного для конкретного работника или вида работ), знания которых проверялись, результаты проведения проверки знаний, перечень видов работ (и оборудования), к самостоятельному выполнению (обслуживанию) которых, может быть допущен работник, прошедший проверку знаний;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удостоверение о допуске к самостоятельной работе должно содержать краткие сведения о видах работ (и оборудования) к самостоятельному выполнению (обслуживанию) которых допущен работник, прошедший проверку знаний, и в случае положительных результатов отметку о дате ее проведения за подписью председателя комиссии или иного должностного лица организации, обязанностями которого определено право подписи удостоверения.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работник после проведения проверки знаний должен быть ознакомлен с ее результатами под подпись.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243. Перед допуском к самостоятельной работе после профессионального обучения, после внеочередной проверки знаний, предусмотренной  настоящих ФНП, а также при перерыве в работе по специальности более 12 месяцев обслуживающий персонал (рабочие) до проверки знаний должен пройти стажировку для приобретения (восстановления) практических навыков. Программу стажировки утверждает руководитель эксплуатирующей организации или уполномоченное им должностное лицо. Продолжительность стажировки определяется в зависимости от сложности технологического процесса и оборудования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244. Допуск персонала к самостоятельному выполнению работ и обслуживанию оборудования под давлением при наличии документа подтверждающего квалификацию, положительных результатов проведения стажировки и первичной или внеплановой проверки знаний, а также отстранение персонала от работы в случае отрицательных результатов периодической проверки знаний работника, должны быть оформлены распорядительными документами организации или ее структурного подразделения.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245. При отсутствии в комплекте технической документации, прилагаемой организацией-изготовителем к оборудованию под давлением, документов (в виде разделов паспорта либо отдельных формуляров, журналов), обеспечивающих возможность внесения информации об истории эксплуатации оборудования под давлением (место и условия эксплуатации и хранения, продолжительность эксплуатации или хранения, сведения о технических освидетельствованиях, ремонтах, замене элементов, авариях и отказах оборудования под давлением), такие документы должны быть разработаны и утверждены эксплуатирующей организацией (рекомендуемый образец приведен в  к настоящим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246. Восстановление паспорта и (или) руководства (инструкции) по эксплуатации оборудования под давлением в случае утраты, утери или невозможности дальнейшего использования по причине износа должно осуществляться в соответствии с  к настоящим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Эксплуатационные схемы трубопроводов при утрате исполнительной схемы, предусмотренной  ФНП, восстанавливаются эксплуатирующей организацией при наличии работников соответствующей для этого квалификации, комплекта проектной (рабочей) и исполнительной документации или специализированной организацией при проведении технического освидетельствования, диагностирования или экспертизы промышленной безопасности.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Паспорта оборудования, изготовленного, выпущенного в обращение и введенного в эксплуатацию до вступления в силу технических регламентов и ФНП, не требуют переоформления на протяжении всего периода эксплуатации, за исключением случая проведения работ по реконструкции такого оборудования с оформлением нового паспорта.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247. Для содержания оборудования под давлением в исправном (работоспособном) состоянии и предотвращения риска аварийных ситуаций эксплуатирующая организация должна обеспечить проведение технического обслуживания, планово-предупредительных ремонтов, неплановых ремонтов (при необходимости по техническому состоянию оборудования) работниками собственных подразделений и (или) с привлечением специализированных организаций, при этом: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 Объем и периодичность плановых работ по техническому обслуживанию и ремонту оборудования под давлением и его элементов определяется графиком, утверждаемым техническим руководителем эксплуатирующей организации с учетом требований, указанных в руководствах (инструкциях) по эксплуатации, а также информации о текущем состоянии оборудования, полученной по результатам технических освидетельствований (диагностирования) и эксплуатационного контроля при работе оборудования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 Для выполнения работ по ремонту оборудования под давлением организацией, осуществляющей их производство, должны разрабатываться проекты (программы) проведения работ и технологические регламенты (процессы, инструкции, карты), в числе прочего включающие: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ремонтные схемы оборудования под давлением с указанием подлежащих ремонту или замене элементов, мест установки заглушек и их характеристик (диаметр, толщина, длина (протяженность), материал), мест установки замков на приводах бесфланцевой арматуры;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организационные мероприятия, определяющие требования к процессам подготовки оборудования к ремонту, проведения и завершения ремонта оборудования под давлением, в том числе к организации безопасного производства работ в условиях действующего ОПО и работ повышенной опасности, к допуску для выполнения ремонтных работ работников эксплуатирующей и (или) специализированной организации (в случае ее привлечения в соответствии с требованиями  ФНП), а также к распределению полномочий, ответственности и порядку взаимодействия работников организаций при выполнении работ по ремонту оборудования под давлением в соответствии с распорядительными документами эксплуатирующей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технологию выполнения ремонтных работ, перечень необходимых для их производства материалов, машин и оборудования, инструментов и оснастки, а также последовательность проведения технологических операций, установленные технологическими регламентами (процессами, инструкциями, картами) на ремонт оборудования под давлением, разработанными в соответствии с указаниями руководства (инструкции) по эксплуатации оборудования под давлением и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перечень случаев возникновения условий, не обеспечивающих безопасное выполнение работ по ремонту, когда необходимо приостановить или прекратить выполнение работ, составленный на основании результатов анализа рисков и критериев опасности оборудования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Разработанные проекты (программы) проведения работ и технологические регламенты (процессы, инструкции, карты) должны быть утверждены техническим руководителем или иным уполномоченным должностным лицом организации (или ее обособленного подразделения), осуществляющей ремонт, и согласованы с уполномоченным представителем специализированной организации (в случае ее привлечения в соответствии с требованиями  ФНП). В случае, если исполнителем ремонта выступает специализированная организация, то указанные документы согласуются с организацией - заказчиком (эксплуатирующей организацией).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Ответственным за качество и соответствие проектов (программ) проведения работ и технологических регламентов (карт) требованиям промышленной безопасности является их разработчик.</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Выполнение работ по ремонту оборудования под давлением с отступлениями от требований проектов (программ) проведения работ и технологических регламентов (процессов, инструкций, карт) не допускается. Внесение изменений в проекты (программы) проведения работ и технологические регламенты (карты) должно осуществляться их разработчиком.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248. Эксплуатирующая организация, осуществляющая выполнение работ по монтажу, ремонту с применением сварки, реконструкции (модернизации) и наладке эксплуатируемого оборудования под давлением, должна иметь в своем составе специализированное подразделение (подразделения), отвечающее соответствующим требованиям, указанным в  ФНП.</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Требования к эксплуатации сосудов под давлением</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bookmarkStart w:id="41" w:name="Par1218"/>
      <w:bookmarkEnd w:id="41"/>
      <w:r>
        <w:rPr>
          <w:rFonts w:ascii="TimesNewRoman" w:hAnsi="TimesNewRoman" w:eastAsia="TimesNewRoman" w:cs="TimesNewRoman"/>
          <w:sz w:val="24"/>
        </w:rPr>
        <w:t xml:space="preserve">333. Эксплуатация сосудов под давлением должна осуществляться в соответствии с разработанной и утвержденной эксплуатирующей организацией производственной инструкцией по режиму работы и безопасному обслуживанию сосудов. В инструкции, в частности, должны быть регламентированы: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сосуды, на которые распространяется инструкция, их назначение с описанием устройства сосудов и схемы их включения;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обязанности персонала во время дежурства по наблюдению и контролю за работой сосуда;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порядок проверки исправности обслуживаемых сосудов и относящегося к ним оборудования в рабочем состоянии;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порядок, сроки и способы проверки арматуры, предохранительных устройств, приборов автоматики защиты и сигнализации;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порядок пуска в работу и остановки (прекращения работы) сосуда;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 меры безопасности при выводе оборудования в ремонт, а также дополнительные меры безопасности для сосудов с рабочей средой группы 1 (в соответствии с ТР ТС 032/2013);</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ж) случаи, требующие немедленной остановки сосуда, предусмотренные настоящими ФНП, а также другие случаи, обусловленные спецификой работы сосуда. Порядок аварийной остановки и снижения давления до атмосферного устанавливают в зависимости от конкретной схемы включения сосуда и технологического процесса;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з) порядок действия персонала в случае аварии или инцидента;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 порядок ведения сменного (оперативного) журнала (в том числе оформление приема и сдачи дежурства, проверка записи лицом, ответственным за исправное состояние и безопасную эксплуатацию сосуда) или иных эксплуатационных документов, установленных для этого распорядительными документами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Описание устройства и схемы включения сосуда, порядка пуска и остановки (в том числе аварийной) сосуда и иных работ, при выполнении которых осуществляются воздействие на арматуру, приборы и другие устройства (переключение (открытие, закрытие), проверка исправности, регулирование параметров среды), установка заглушек и иные технологические операции, в производственной инструкции должно содержать последовательность выполнения определенных действий с указанием порядковых номеров (согласно схемы включения) или наименований (обеспечивающих идентификацию) вышеперечисленных устройств, в отношении которых производятся указанные действия.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Разработка отдельной инструкции в отношении сосуда (сосудов), работающих в составе технологической установки или иной системы взаимосвязанного комплекса машин и оборудования, не требуется если все необходимые для обеспечения его безопасной работы и обслуживания требования установлены в производственной инструкции по их эксплуатации.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334. В производственной инструкции по режиму работы и безопасному обслуживанию автоклавов с быстросъемными крышками дополнительно к установленному  настоящих ФНП должны быть включены указания 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порядке пользования ключ-маркой и замком;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допустимых скоростях прогрева и охлаждения автоклава и методах их контроля;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порядке наблюдения за тепловыми перемещениями автоклава и контроля за отсутствием защемлений подвижных опор;</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контроле за непрерывным отводом конденсата.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335. В эксплуатирующей организации должна быть утверждена схема включения сосуда (сосудов) с указанием: источника давления; параметров; рабочей среды; арматуры, контрольно-измерительных приборов, средств автоматического управления (при наличии), предохранительных и блокирующих устройств, в том числе место их установки (расположения) (штуцер сосуда, трубопровод) и порядковый номер (по нумерации эксплуатирующей организации). Схемы включения сосудов должны быть на рабочих местах персонала.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336. При эксплуатации сосудов, обогреваемых горячими газами, необходимо обеспечить надежное охлаждение стенок, находящихся под давлением, не допуская превышение температуры стенки выше допустимых значений.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337. В целях исключения возможности введения в работу сосудов (автоклавов) с быстросъемными крышками при неполном закрывании крышки и открывании ее при наличии в сосуде давления необходимо оснащение таких сосудов замками с ключом-маркой. Порядок хранения и применения ключа-марки должен быть отражен в производственной инструкции по режиму работы и безопасному обслуживанию сосудов.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338. При эксплуатации сосуда с рабочим давлением до 2,5 МПа включительно необходимо применение манометров прямого действия, имеющих класс точности не ниже 2,5, а при рабочем давлении более 2,5 МПа класс точности применяемых манометров должен быть не ниже 1,5.</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339. На шкале манометра сосуда должна быть нанесена красная черта, указывающая разрешенное рабочее давление в сосуде, взамен красной черты разрешается в качестве указателя значения максимально допустимого давления прикреплять к корпусу манометра пластину (скобу) из металла или иного материала достаточной прочности, окрашенную в красный цвет и плотно прилегающую к стеклу манометра.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Манометр должен быть выбран с такой шкалой, чтобы предел измерения рабочего давления находился во второй трети шкалы.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340. Установка манометра на сосуде должна обеспечить отчетливую видимость его показаний обслуживающему персоналу.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Номинальный диаметр корпуса манометров, устанавливаемых на высоте менее 2 метра от уровня площадки наблюдения за ними, должен быть не менее 100 мм, на высоте от 2 до 3 метров включительно - не менее 160 мм.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Установка манометров на высоте более 3 метров от уровня площадки не разрешается.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341. Для периодической проверки рабочего манометра необходима установка между манометром и сосудом трехходового крана или заменяющего его устройства.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необходимых случаях манометр в зависимости от условий работы и свойств среды, находящейся в сосуде, должен быть снабжен или сифонной трубкой, или масляным буфером, или другими устройствами, предохраняющими его от непосредственного воздействия среды и температуры и обеспечивающими его надежную работу.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Манометры и соединяющие их с сосудом трубопроводы должны быть защищены от замерзания.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342. Вместо трехходового крана на сосудах, работающих под давлением более 2,5 МПа или при температуре среды более 250 °C, а также со средой, относимой к группе 1 (в соответствии с ТР ТС 032/2013), допускается установка отдельного штуцера с запорным устройством для подсоединения второго манометра.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Установка трехходового крана или заменяющего его устройства необязательна при наличии возможности проверки манометра в установленные сроки путем снятия его со стационарного сосуда.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343. Манометры не допускаются к применению на сосудах в следующих случаях, если: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отсутствует информация о проведении поверки (пломба или клеймо, или документ о проведении поверки);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истек срок поверки манометра;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стрелка манометра при его отключении не возвращается к нулевой отметке шкалы на величину, превышающую половину допускаемой погрешности для данного манометра;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разбито стекло или имеются другие повреждения манометра, которые могут отразиться на правильности его показаний.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344. Поверка манометров с их опломбированием или клеймением должна быть произведена не реже одного раза в 12 месяцев, если иные сроки не установлены в документации на манометр. Обслуживающий персонал должен производить проверку исправности манометра с помощью трехходового крана или заменяющих его запорных вентилей путем установки стрелки манометра на нуль. Порядок и сроки проверки исправности манометров обслуживающим персоналом в процессе эксплуатации сосудов должны быть определены производственной инструкцией по режиму работы и безопасному обслуживанию сосудов, утвержденной руководством эксплуатирующей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345. При эксплуатации сосудов, работающих при изменяющейся температуре стенок, должен осуществляться контроль за соблюдением допустимых скоростей прогрева и охлаждения сосудов, требования к которым (при необходимости такого контроля) устанавливаются в руководстве (инструкции) по эксплуатации.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346. Проверку исправности действия пружинного предохранительного клапана осуществляют путем:</w:t>
      </w:r>
    </w:p>
    <w:p>
      <w:pPr>
        <w:pStyle w:val="Style_180"/>
        <w:spacing w:before="240" w:after="0" w:line="240" w:lineRule="auto"/>
        <w:ind w:left="0" w:firstLine="540"/>
        <w:jc w:val="both"/>
        <w:rPr>
          <w:rFonts w:ascii="TimesNewRoman" w:hAnsi="TimesNewRoman" w:eastAsia="TimesNewRoman" w:cs="TimesNewRoman"/>
          <w:sz w:val="24"/>
        </w:rPr>
      </w:pPr>
      <w:bookmarkStart w:id="42" w:name="Par1257"/>
      <w:bookmarkEnd w:id="42"/>
      <w:r>
        <w:rPr>
          <w:rFonts w:ascii="TimesNewRoman" w:hAnsi="TimesNewRoman" w:eastAsia="TimesNewRoman" w:cs="TimesNewRoman"/>
          <w:sz w:val="24"/>
        </w:rPr>
        <w:t xml:space="preserve">а) осмотра и принудительного открывания его во время работы оборудования с периодичностью, установленной в производственной инструкции по эксплуатации предохранительных клапанов (при наличии) или инструкции по режиму работы и обслуживанию сосудов;</w:t>
      </w:r>
    </w:p>
    <w:p>
      <w:pPr>
        <w:pStyle w:val="Style_180"/>
        <w:spacing w:before="240" w:after="0" w:line="240" w:lineRule="auto"/>
        <w:ind w:left="0" w:firstLine="540"/>
        <w:jc w:val="both"/>
        <w:rPr>
          <w:rFonts w:ascii="TimesNewRoman" w:hAnsi="TimesNewRoman" w:eastAsia="TimesNewRoman" w:cs="TimesNewRoman"/>
          <w:sz w:val="24"/>
        </w:rPr>
      </w:pPr>
      <w:bookmarkStart w:id="43" w:name="Par1258"/>
      <w:bookmarkEnd w:id="43"/>
      <w:r>
        <w:rPr>
          <w:rFonts w:ascii="TimesNewRoman" w:hAnsi="TimesNewRoman" w:eastAsia="TimesNewRoman" w:cs="TimesNewRoman"/>
          <w:sz w:val="24"/>
        </w:rPr>
        <w:t xml:space="preserve">б) проверки срабатывания предохранительного клапана на испытательном стенде, в случае если принудительное открывание клапана на работающем сосуде недопустимо с учетом свойств рабочей среды (взрывоопасная, горючая, токсичная) или условий технологического процесса, а также для всех случаев из числа указанных в ,  ФНП после планового ремонта (ревизии) клапана с его разборкой и после внепланового ремонта по устранению неисправности с периодичностью, установленной в производственной инструкции на основании руководства по эксплуатации, проектной и технологической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347. При эксплуатации предохранительного клапана не должна допускаться возможность произвольного изменения уставки его срабатывания: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рычажно-грузовые предохранительные клапана должны иметь на рычаге устройства, исключающие произвольное перемещение груза;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у пружинного предохранительного клапана винт, регулирующий натяжение пружины, должен быть закрыт колпаком, а винты, крепящие колпак, опломбированы.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эксплуатации пружинного предохранительного клапана на сосуде с рабочей средой, которая может оказывать вредное воздействие на материал пружины, должна быть обеспечена защита пружины от недопустимого нагрева (охлаждения) и непосредственного воздействия рабочей среды.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348. Установка манометра и предохранительного клапана необязательна на сосуде, у которого рабочее давление, установленное организацией-изготовителем в паспорте, равно или больше давления питающего источника, и при условии, что в этом сосуде исключена возможность повышения давления от химической реакции или воздействия повышенной температуры.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349. На подводящем трубопроводе сосуда, рассчитанного на давление, меньше давления питающего его источника, необходима установка автоматического редуцирующего устройства с манометром и предохранительным устройством, установленными на стороне меньшего давления после редуцирующего устройства. В случае установки обводной линии (байпаса) она также должна быть оснащена редуцирующим устройством.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Допускается установка одного редуцирующего устройства с манометром и предохранительным клапаном на общем для группы сосудов, работающих при одном и том же давлении, подводящем трубопроводе до первого ответвления к одному из сосудов. При этом установка предохранительных устройств на самих сосудах не обязательна, если в них исключена возможность повышения давления.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Если вследствие физических свойств рабочей среды не обеспечивается надежная работа автоматического редуцирующего устройства, то допускается установка регулятора расхода и предусматривается защита от повышения давления.</w:t>
      </w:r>
    </w:p>
    <w:p>
      <w:pPr>
        <w:pStyle w:val="Style_180"/>
        <w:spacing w:before="240" w:after="0" w:line="240" w:lineRule="auto"/>
        <w:ind w:left="0" w:firstLine="540"/>
        <w:jc w:val="both"/>
        <w:rPr>
          <w:rFonts w:ascii="TimesNewRoman" w:hAnsi="TimesNewRoman" w:eastAsia="TimesNewRoman" w:cs="TimesNewRoman"/>
          <w:sz w:val="24"/>
        </w:rPr>
      </w:pPr>
      <w:bookmarkStart w:id="44" w:name="Par1267"/>
      <w:bookmarkEnd w:id="44"/>
      <w:r>
        <w:rPr>
          <w:rFonts w:ascii="TimesNewRoman" w:hAnsi="TimesNewRoman" w:eastAsia="TimesNewRoman" w:cs="TimesNewRoman"/>
          <w:sz w:val="24"/>
        </w:rPr>
        <w:t xml:space="preserve">350. Пропускная способность предохранительных клапанов определяется в соответствии с НД с учетом коэффициента расхода для каждого клапана (для сжимаемых и несжимаемых сред) и площади сечения клапана, к которой он отнесен, указанных в паспорте предохранительного клапана.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работающих предохранительных клапанах в сосуде не допускается давление, превышающее разрешенное давление: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более чем на 0,05 МПа - для сосудов с давлением менее 0,3 МПа;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более чем на 15% - для сосудов с давлением от 0,3 до 6 МПа включительно;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более чем на 10% - для сосудов с давлением более 6 МПа.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работающих клапанах допускается превышение давления в сосуде не более чем на 25% разрешенного давления при условии, что это превышение предусмотрено руководством (инструкцией) по эксплуатации сосуда.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Если в процессе эксплуатации снижено рабочее давление сосуда, то необходимо провести расчет пропускной способности предохранительных клапанов для новых условий работы.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351. В целях обеспечения безопасной работы сосудов следует защищать присоединительные трубопроводы предохранительных клапанов (подводящие, отводящие и дренажные) от замерзания в них рабочей среды.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Отбор рабочей среды из патрубков (и на участках присоединительных трубопроводов от сосуда до клапанов), на которых установлены предохранительные устройства, не допускается.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352. При установке на одном патрубке (трубопроводе) нескольких предохранительных устройств площадь поперечного сечения патрубка (трубопровода) должна быть не менее 1,25 суммарной площади сечения клапанов, установленных на нем. При определении сечения присоединительных трубопроводов длиной более 1000 мм необходимо также учитывать величину их сопротивлений.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353. Установка запорной арматуры между сосудом и предохранительным устройством, а также за ним запрещается.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Для группы предохранительных устройств (двух и более) арматура перед (за) предохранительным устройством (устройствами) может быть установлена при условии оснащения предохранительных устройств блокировкой, выполненной таким образом, чтобы при любом предусмотренном проектом варианте отключения клапанов (клапана) остающиеся включенными предохранительные устройства имели суммарную пропускную способность, обеспечивающую выполнение требований  настоящих ФНП. При установке двух предохранительных устройств блокировка должна исключать возможность одновременного их отключения.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354. Среда, выходящая из предохранительных устройств, должна отводиться в безопасное место. Сбрасываемые токсичные, взрыво- и пожароопасные технологические среды должны направляться в закрытые системы для дальнейшей утилизации или в системы организованного сжигания.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обоснованных проектной документацией случаях допускается сброс нетоксичных взрыво- и пожароопасных сред в атмосферу через сбросные трубопроводы при условии, что их конструкция и места размещения обеспечивают взрыво- и пожаробезопасное рассеивание сбрасываемой среды.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Запрещается объединять сбросы, содержащие вещества, которые способны при смешивании образовывать взрывоопасные смеси или нестабильные соединения.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355. Для обеспечения удаления конденсата отводящие трубопроводы предохранительных устройств и импульсные линии импульсных предохранительных клапанов должны быть оснащены дренажными устройствами в местах возможного скопления конденсата. Из дренажных трубопроводов конденсат должен отводиться в безопасное место.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Установка запорных органов или другой арматуры на дренажных трубопроводах не допускается.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356. Мембранные предохранительные устройства должны быть установлены на патрубках или трубопроводах, непосредственно присоединенных к сосуду в местах, открытых и доступных для осмотра и монтажа-демонтажа.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Мембраны должны быть размещены только в предназначенных для них узлах крепления.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Присоединительные трубопроводы должны быть защищены от замерзания в них рабочей среды.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357. При установке мембранного предохранительного устройства последовательно с предохранительным клапаном (перед клапаном или за ним) полость между клапаном и мембраной для контроля ее исправности должна сообщаться отводной трубкой с манометром, показывающим отсутствие давления (при исправном состоянии мембраны) или наличие давления (при нарушении герметичности (разрушении) мембраны).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Допускается установка переключающего устройства перед мембранными предохранительными устройствами при наличии удвоенного числа мембранных устройств с обеспечением при этом защиты сосуда от превышения давления при любом положении переключающего устройства.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358. Порядок и сроки проверки исправности действия, ремонта и проверки настройки срабатывания на стенде предохранительных устройств в зависимости от условий технологического процесса должны быть указаны в производственной инструкции по эксплуатации предохранительных устройств, утвержденной руководством эксплуатирующей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порядке, установленном производственными инструкциями: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результаты проверки настройки предохранительных устройств оформляют актами и отражают в соответствующем журнале;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результаты проверки исправности предохранительных устройств и сведения об их настройке записывают в сменный (оперативный) журнал или иные эксплуатационные документы, формы и порядок ведения которых установлены распорядительными документами в эксплуатирующей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359. При эксплуатации сосудов, имеющих границу раздела сред, у которых необходим контроль за уровнем жидкости, необходимо обеспечить: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видимость показаний указателя уровня жидкости посредством его установки в проектное положение;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осуществление контроля уровня по двум указателям прямого действия на сосудах, обогреваемых пламенем или горячими газами при возможности понижения уровня жидкости ниже допустимого;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наличие на указателе уровня жидкости обозначения допустимых верхнего и нижнего уровней при этом высота прозрачного указателя уровня жидкости должна быть не менее чем на 25 мм соответственно ниже нижнего и выше верхнего допустимых уровней жидкости, если иное не установлено в руководстве по эксплуатации сосуда;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при оснащении сосуда несколькими указателями уровня по высоте размещение их таким образом, чтобы они обеспечили непрерывность показаний уровня жидкости;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отвод рабочей среды в безопасное место при проведении продувки арматуры (краны, вентили), установленной на указателе уровня;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 применение защитного устройства для предохранения персонала от травмирования при разрыве применяемого на указателе уровня прозрачного элемента, выполненного из стекла или слюды;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ж) работоспособное состояние звуковых, световых и других сигнализаторов и блокировок по уровню, предусмотренных проектом дополнительно к указателям уровня прямого действия, путем проверки их срабатывания и устранения, выявленных нарушений в порядке, установленном производственной инструкцией.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360. Для поддержания сосудов в исправном состоянии эксплуатирующая организация обязана организовывать и обеспечивать своевременное проведение ремонта сосудов планово в соответствии с графиком и непланово при выявлении дефектов, влияющих на безопасность сосуда и/или персонала (визуально видимые дефекты (трещины) элементов сосуда под давлением), утечка рабочей среды через сквозные повреждения его элементов (трещины, свищи) и негерметичные разъемные соединения, неисправность указателей уровня, арматуры, предохранительных, и иных устройств, обеспечивающих безопасную работу сосуда).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этом не допускается проведение ремонта сосудов и их элементов, находящихся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целях обеспечения безопасности при работах, проводимых внутри сосуда, до начала этих работ сосуд, соединенный с другими работающими сосудами общим трубопроводом, должен быть отделен от них заглушками или отсоединен. Отсоединенные трубопроводы должны быть заглушены. Допускаются к применению для отключения сосуда только заглушки, толщина которых определена расчетом на прочность, устанавливаемые между фланцами и имеющие выступающую часть (хвостовик), по которой определяют наличие заглушки. При установке прокладок между фланцами они должны быть без хвостовиков.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361. При работе внутри сосуда (внутренний осмотр, ремонт, чистка) должны применяться безопасные светильники на напряжение не выше 12 В, а при взрывоопасных средах - во взрывобезопасном исполнении. Перед началом работы внутри сосудов, работавших с опасными и инертными средами без средств индивидуального дыхания должен быть произведен анализ воздушной среды на отсутствие вредных или других веществ, превышающих предельно допустимые концентрации. Работы внутри сосуда должны быть выполнены по наряду-допуску, оформленному в порядке, установленном распорядительными документами эксплуатирующей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362. При отрицательной температуре окружающего воздуха пуск, остановка или испытание на герметичность сосудов, эксплуатируемых на открытом воздухе или в неотапливаемых помещениях, должны осуществляться в соответствии с установленным в производственной инструкции регламентом пуска в зимнее время, разработанным на основании требований руководства (инструкции) по эксплуатации и проектной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С учетом зависимости прочностных характеристик материала, из которого изготовлен сосуд, от температуры, а также минимальной температуры, при которой сталь (или иной материал) и сварные соединения данного сосуда допускаются для работы под давлением, регламент пуска в зимнее время сосуда (группы однотипных по конструкции сосудов, работающих в одинаковых условиях) должен определять: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минимальные значения давления рабочей среды и температуры воздуха, при которых возможен пуск сосуда в работу;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порядок (график) повышения давления (от минимального давления пуска до рабочего) в сосуде при пуске в работу и снижения - при остановке;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допустимую скорость повышения температуры стенки сосуда при пуске в работу и снижения - при остановке.</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Порядок действий в случаях аварии или инцидента</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при эксплуатации оборудования под давлением</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386. На ОПО, на которых используется оборудование под давлением, должны быть разработаны и утверждены инструкции, устанавливающие действия работников в аварийных ситуациях (в том числе при аварии). Инструкции должны выдаваться на рабочее место с подписью, подтверждающей получение их работниками, связанными с эксплуатацией оборудования под давлением. Порядок проведения проверки знаний инструкций и учебных тренировок (при необходимости) по отработке действий в аварийных ситуациях определяется распорядительными документами эксплуатирующей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Объем инструкций зависит от особенностей технологического процесса и типа эксплуатируемого оборудования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Для ОПО, в отношении которых пунктом 2 статьи 10 Федерального закона N 116-ФЗ предусмотрена обязательность разработки и утверждения планов мероприятий по локализации и ликвидации последствий аварий, не требуется разрабатывать отдельные инструкции, устанавливающие действия работников в аварийных ситуациях при работе оборудования под давлением, если такие действия предусмотрены утвержденным планом мероприятий по локализации и ликвидации последствий аварий. Для иных ОПО при отсутствии необходимости разработки отдельной инструкции, в случае если помимо рисков, исходящих от конкретной единицы оборудования под давлением, отсутствуют риски дальнейшего развития аварийной ситуации на взаимосвязанные с ним оборудование и производственные процессы, а также иные риски аварии на ОПО, допускается установление порядка действий работников в аварийных ситуациях производственными инструкциями по эксплуатации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 аварийным ситуациям в числе прочих случаев, определяемых распорядительными документами эксплуатирующей организации с учетом особенностей технологического процесса конкретного ОПО, наличия опасных веществ, типов и характеристик применяемого на нем оборудования, следует относить отклонения от нормального протекания технологического процесса, режима работы оборудования, отключение электроэнергии и иные ситуации, дальнейшее развитие которых может привести к травмированию работников, возникновению инцидента или аварии, в том числе случаи, требующие аварийной остановки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Случаи внепланового прекращения работы оборудования путем его остановки и отключения действием защит или персоналом в целях предотвращения аварии при отклонении параметров работы оборудования от нормальных режимов, установленных производственными инструкциями, режимными картами, проектной, технической и технологической документацией или при возникновении дефектов, повреждений (отказа) оборудования или установленных на нем устройств (далее - аварийная остановка (отключение)), и порядок действий персонала должны быть установлены в производственной инструкции для конкретного оборудования с учетом указаний руководства по эксплуатации, проектной и технологической документации ОПО, а также требований , ,  ФНП, определяющих типовой перечень случаев аварийной остановки сосуда.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387. В инструкциях, устанавливающих действия работников в аварийных ситуациях (в том числе при аварии), наряду с требованиями, определяемыми спецификой ОПО, должны быть указаны следующие сведения для работников, занятых эксплуатацией оборудования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оперативные действия по предотвращению и локализации аварий;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способы и методы ликвидации аварий;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схемы эвакуации в случае возникновения аварийной ситуации, взрыва, выброса токсичных веществ в помещении или на площадке, где эксплуатируется оборудование, если аварийная ситуация не может быть локализована или ликвидирована;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порядок приведения оборудования под давлением в безопасное положение в нерабочем состоянии или указание производственных инструкций, устанавливающих такие требования;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места отключения вводов электропитания и перечень лиц, имеющих право на отключение;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 места расположения аптечек первой помощи;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ж) методы оказания первой помощи работникам, попавшим под электрическое напряжение, получившим ожоги, отравившимся продуктами горения;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з) порядок оповещения работников ОПО и специализированных служб, привлекаемых к осуществлению действий по локализации аварий.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Наличие указанных инструкций обеспечивают должностные лица организации, эксплуатирующей ОПО, в обязанности которым это вменено, а их исполнение в аварийных ситуациях - каждый работник ОПО.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388. Порядок действий в случае инцидента при эксплуатации оборудования под давлением эксплуатирующая организация определяет и устанавливает в производственных инструкциях.</w:t>
      </w:r>
    </w:p>
    <w:p>
      <w:pPr>
        <w:pStyle w:val="Style_180"/>
        <w:spacing w:before="240" w:after="0" w:line="240" w:lineRule="auto"/>
        <w:ind w:left="0" w:firstLine="540"/>
        <w:jc w:val="both"/>
        <w:rPr>
          <w:rFonts w:ascii="TimesNewRoman" w:hAnsi="TimesNewRoman" w:eastAsia="TimesNewRoman" w:cs="TimesNewRoman"/>
          <w:sz w:val="24"/>
        </w:rPr>
      </w:pPr>
      <w:bookmarkStart w:id="45" w:name="Par1413"/>
      <w:bookmarkStart w:id="46" w:name="Par1428"/>
      <w:bookmarkEnd w:id="45"/>
      <w:bookmarkEnd w:id="46"/>
      <w:r>
        <w:rPr>
          <w:rFonts w:ascii="TimesNewRoman" w:hAnsi="TimesNewRoman" w:eastAsia="TimesNewRoman" w:cs="TimesNewRoman"/>
          <w:sz w:val="24"/>
        </w:rPr>
        <w:t xml:space="preserve">390. Сосуд должен быть немедленно остановлен в случаях, предусмотренных инструкцией по режиму работы и безопасному обслуживанию, в частности: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если давление в сосуде поднялось выше разрешенного и не снижается, несмотря на меры, принятые персоналом;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при выявлении неисправности предохранительного устройства от повышения давления;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при обнаружении в сосуде и его элементах, работающих под давлением, трещин, неплотностей, выпучин, разрыва прокладок;</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при неисправности манометра и невозможности определить давление по другим приборам;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при снижении уровня жидкости ниже минимально допустимого или снижении расхода теплоносителя ниже минимально допустимого значения в сосудах с огневым обогревом;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 при выходе из строя всех указателей уровня жидкости;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ж) при неисправности предохранительных блокировочных устройств;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з) при возникновении пожара, непосредственно угрожающего сосуду, находящемуся под давлением.</w:t>
      </w:r>
    </w:p>
    <w:p>
      <w:pPr>
        <w:pStyle w:val="Style_180"/>
        <w:spacing w:before="240" w:after="0" w:line="240" w:lineRule="auto"/>
        <w:ind w:left="0" w:firstLine="540"/>
        <w:jc w:val="both"/>
        <w:rPr>
          <w:rFonts w:ascii="TimesNewRoman" w:hAnsi="TimesNewRoman" w:eastAsia="TimesNewRoman" w:cs="TimesNewRoman"/>
          <w:sz w:val="24"/>
        </w:rPr>
      </w:pPr>
      <w:bookmarkStart w:id="47" w:name="Par1437"/>
      <w:bookmarkEnd w:id="47"/>
      <w:r>
        <w:rPr>
          <w:rFonts w:ascii="TimesNewRoman" w:hAnsi="TimesNewRoman" w:eastAsia="TimesNewRoman" w:cs="TimesNewRoman"/>
          <w:sz w:val="24"/>
        </w:rPr>
        <w:t xml:space="preserve">392. Время и причины аварийной остановки оборудования под давлением должны фиксироваться в сменных (оперативных) журналах или иных предназначенных для этого эксплуатационных документах, порядок ведения которых в бумажном или электронном виде (при условии обеспечения сохранности (резервирования) хранимой в электронном виде информации и обеспечения возможности идентифицировать работника, вносившего информацию в электронную форму журнала), определяются распорядительными документами организации.</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1"/>
        <w:rPr>
          <w:rFonts w:ascii="Arial" w:hAnsi="Arial" w:eastAsia="Arial" w:cs="Arial"/>
          <w:b/>
          <w:sz w:val="24"/>
        </w:rPr>
      </w:pPr>
      <w:bookmarkStart w:id="48" w:name="Par1454"/>
      <w:bookmarkEnd w:id="48"/>
      <w:r>
        <w:rPr>
          <w:rFonts w:ascii="Arial" w:hAnsi="Arial" w:eastAsia="Arial" w:cs="Arial"/>
          <w:b/>
          <w:sz w:val="24"/>
        </w:rPr>
        <w:t xml:space="preserve">VI. ТЕХНИЧЕСКОЕ ОСВИДЕТЕЛЬСТВОВАНИЕ, ЭКСПЕРТИЗА</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ПРОМЫШЛЕННОЙ БЕЗОПАСНОСТИ, ТЕХНИЧЕСКОЕ ДИАГНОСТИРОВАНИЕ</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ОБОРУДОВАНИЯ ПОД ДАВЛЕНИЕМ</w:t>
      </w:r>
    </w:p>
    <w:p>
      <w:pPr>
        <w:pStyle w:val="Style_180"/>
        <w:spacing w:before="0" w:after="0" w:line="240" w:lineRule="auto"/>
        <w:ind w:left="0" w:firstLine="0"/>
        <w:jc w:val="both"/>
        <w:rPr>
          <w:rFonts w:ascii="Arial" w:hAnsi="Arial" w:eastAsia="Arial" w:cs="Arial"/>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Общие требования</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394. Оборудование под давлением, перечисленное в  ФНП, в процессе эксплуатации должно подвергаться: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техническому освидетельствованию (комплексу периодически проводимых работ по определению фактического состояния оборудования под давлением в целях определения его работоспособности и соответствия промышленной безопасности в процессе применения в пределах срока безопасной эксплуатации):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первично до ввода в эксплуатацию после монтажа (первичное техническое освидетельствование);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периодически в процессе эксплуатации (периодическое техническое освидетельствование);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до наступления срока периодического технического освидетельствования в случаях, установленных настоящими ФНП (внеочередное техническое освидетельствование);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техническому диагностированию с целью контроля состояния оборудования или отдельных его элементов при проведении технического освидетельствования для установления характера и размеров, выявленных при этом дефектов, а также в случаях, установленных руководством (инструкцией) по эксплуатации оборудования и в случаях, указанных в  ФНП;</w:t>
      </w:r>
    </w:p>
    <w:p>
      <w:pPr>
        <w:pStyle w:val="Style_180"/>
        <w:spacing w:before="240" w:after="0" w:line="240" w:lineRule="auto"/>
        <w:ind w:left="0" w:firstLine="540"/>
        <w:jc w:val="both"/>
        <w:rPr>
          <w:rFonts w:ascii="TimesNewRoman" w:hAnsi="TimesNewRoman" w:eastAsia="TimesNewRoman" w:cs="TimesNewRoman"/>
          <w:sz w:val="24"/>
        </w:rPr>
      </w:pPr>
      <w:bookmarkStart w:id="49" w:name="Par1466"/>
      <w:bookmarkEnd w:id="49"/>
      <w:r>
        <w:rPr>
          <w:rFonts w:ascii="TimesNewRoman" w:hAnsi="TimesNewRoman" w:eastAsia="TimesNewRoman" w:cs="TimesNewRoman"/>
          <w:sz w:val="24"/>
        </w:rPr>
        <w:t xml:space="preserve">в) экспертизе промышленной безопасности в случаях, установленных статьей 7 Федерального закона N 116-ФЗ.</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Техническое диагностирование включает в себя комплекс операций с применением методов неразрушающего и разрушающего контроля, выполняемых в отношении оборудования или его отдельных элементов в рамках эксплуатационного контроля в процессе эксплуатации оборудования в пределах срока службы, в случаях, установленных руководством по эксплуатации, и при проведении технического освидетельствования для уточнения характера и размеров выявленных дефектов, а также по истечении расчетного срока службы оборудования под давлением или после исчерпания расчетного ресурса безопасной работы экспертизы промышленной безопасности в целях определения возможности, параметров и условий дальнейшей эксплуатации этого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395. Объем работ, порядок и периодичность проведения технических освидетельствований в пределах срока службы оборудования под давлением определяется руководством (инструкцией) по эксплуатации и требованиями настоящих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396. Технические освидетельствования оборудования под давлением, подлежащего учету в территориальных органах Ростехнадзора или других федеральных органах исполнительной власти, уполномоченных в области промышленной безопасности, должна проводить уполномоченная специализированная организация, а также ответственный за осуществление производственного контроля совместно с ответственным за исправное состояние и безопасную эксплуатацию оборудования в случаях, установленных настоящими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 числу специализированных организаций, уполномоченных для проведения технического освидетельствования оборудования под давлением относятся организации, имеющие в своем составе подразделения (лаборатории) неразрушающего контроля, соответствующие федеральным нормам и правилами в области промышленной безопасности "Основные требования к проведению неразрушающего контроля технических устройств, зданий и сооружений на опасных производственных объектах", утвержденным приказом Ростехнадзора от 1 декабря 2020 г. N 478 (зарегистрирован Министерством юстиции Российской Федерации 24 декабря 2020 г., регистрационный N 61795) и располагающие на правах собственности и иных законных основаниях необходимыми для проведения технического освидетельствования конкретных видов оборудования методиками и комплектом измерительных, диагностических приборов и устройств, укомплектованные работниками соответствующей квалификации в области неразрушающего контроля, аттестованными по визуальному и измерительному контролю, а также иным методам неразрушающего контроля (в случае необходимости их применения при техническом освидетельствовании), в том числе: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организация-изготовитель конкретного типа оборудования (ее правопреемник в случае реорганизации либо организация, продолжающая выпуск аналогичных типов оборудования, обладающая комплектом конструкторской, технологической и эксплуатационной документации организации-изготовителя на законных основаниях);</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экспертная организация, имеющая лицензию Ростехнадзора на проведение экспертизы промышленной безопасности технических устройств, применяемых на ОПО;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уполномоченные организацией-изготовителем и иные специализированные организации, отвечающие вышеуказанным критериям.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Организация, выполняющая работы по техническому освидетельствованию оборудования под давлением, для обеспечения информированности организаций, эксплуатирующих оборудование, и возможности осуществления контроля (надзора), должна представить в Ростехнадзор информацию о видах (типах) оборудования под давлением, в отношении которого она обладает организационной и технической возможностью проводить техническое освидетельствование, с указанием сведений, подтверждающих ее соответствие вышеуказанным требованиям к специализированной организации, уполномоченной для проведения технического освидетельствования оборудования под давлением, в том числе в части наличия работников соответствующей квалификации, комплекта измерительных, диагностических приборов, устройств, а также методик, необходимых для качественного проведения работ по техническому освидетельствованию конкретных видов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397. Проведение технического освидетельствования оборудования, подлежащего учету в территориальных органах Ростехнадзора или иных федеральных органах исполнительной власти в области промышленной безопасности (в отношении поднадзорных им организаций), за пределами расчетного срока его службы в период срока безопасной эксплуатации, установленного в заключении экспертизы промышленной безопасности, должно осуществляться специализированной организацией, имеющей лицензию на осуществление деятельности по проведению экспертизы промышленной безопасности технических устройств, применяемых на ОПО, а также ответственным за осуществление производственного контроля за безопасной эксплуатацией оборудования совместно с ответственным за исправное состояние и безопасную эксплуатацию оборудования, в объеме и с периодичностью, определенными условиями безопасной эксплуатации оборудования, установленными в заключении экспертизы промышленной безопасности (но не реже сроков, установленных руководством (инструкцией) по эксплуатации и настоящими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398. В случае выявления при техническом освидетельствовании недопустимых дефектов, препятствующих дальнейшей эксплуатации оборудования в пределах расчетного срока службы, по результатам технического диагностирования должно быть обеспечено проведение анализа (исследования) причин их возникновения и оценки остаточного ресурса (при необходимости) с определением технологии устранения дефектов и (или) мероприятий по контролю их состояния и недопущению дальнейшего развития дефектов и образования новых, аналогичных выявленным, силами организации-изготовителя оборудования или экспертной организации, имеющей лицензию на осуществление деятельности по экспертизе промышленной безопасности технических устройств, применяемых на ОПО. Дальнейшая эксплуатация такого оборудования возможна после установления и устранения причин возникновения недопустимых дефектов, а также их устранения проведением ремонта.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399. Внеочередное техническое освидетельствование оборудования, работающего под давлением, проводят в случаях, если: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сосуды не эксплуатировались более 12 месяцев;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оборудование было демонтировано и установлено на новом месте, за исключением транспортабельного оборудования, эксплуатируемого одной и той же организацией;</w:t>
      </w:r>
    </w:p>
    <w:p>
      <w:pPr>
        <w:pStyle w:val="Style_180"/>
        <w:spacing w:before="240" w:after="0" w:line="240" w:lineRule="auto"/>
        <w:ind w:left="0" w:firstLine="540"/>
        <w:jc w:val="both"/>
        <w:rPr>
          <w:rFonts w:ascii="TimesNewRoman" w:hAnsi="TimesNewRoman" w:eastAsia="TimesNewRoman" w:cs="TimesNewRoman"/>
          <w:sz w:val="24"/>
        </w:rPr>
      </w:pPr>
      <w:bookmarkStart w:id="50" w:name="Par1481"/>
      <w:bookmarkEnd w:id="50"/>
      <w:r>
        <w:rPr>
          <w:rFonts w:ascii="TimesNewRoman" w:hAnsi="TimesNewRoman" w:eastAsia="TimesNewRoman" w:cs="TimesNewRoman"/>
          <w:sz w:val="24"/>
        </w:rPr>
        <w:t xml:space="preserve">в) произведен ремонт оборудования с применением сварки, наплавки, термической обработки (при необходимости) элементов, работающих под давлением, за исключением работ, после проведения которых требуется экспертиза промышленной безопасности в соответствии с законодательством Российской Федерации в области промышленной безопасности.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проведении внеочередного технического освидетельствования ранее назначенные сроки проведения технического освидетельствования не меняются.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400. Результаты технического освидетельствования с указанием максимальных разрешенных параметров ( к настоящим ФНП) эксплуатации (давление, температура рабочей среды), сроков следующего освидетельствования должны быть записаны в паспорт оборудования под давлением лицами, проводившими техническое освидетельствование. Срок следующего периодического технического освидетельствования не должен превышать срока службы оборудования, установленного организацией-изготовителем или заключением экспертизы промышленной безопасности, оформленным по результатам технического диагностирования при продлении срока службы оборудования. При проведении внеочередного технического освидетельствования ранее назначенные сроки проведения технического освидетельствования не меняются.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401. Если при освидетельствовании будут обнаружены дефекты, то для установления их характера и размеров должно быть проведено техническое диагностирование с применением методов неразрушающего контроля в порядке, предусмотренном настоящими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Если по результатам проведенного технического диагностирования выявлены дефекты, снижающие прочность оборудования под давлением ниже значений, установленных в технической документации, возможность его эксплуатации на пониженных параметрах (давление, температура), записанным в паспорт по результатам технического диагностирования, допускается до устранения дефектов при ближайшем плановом ремонте или замены оборудования, при условии, что возможность безопасной эксплуатации оборудования на пониженных параметрах:</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допускается технологическим процессом, в котором применяется оборудование и не противоречит минимально допустимым значениям параметров его работы, установленных организацией-изготовителем (при наличии таких указаний) в руководстве (инструкции) по эксплуатации и режимных картах;</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подтверждена расчетом на прочность, проведенным с учетом фактического технического состояния (характера и размеров дефектов) оборудования, с определением (при необходимости) остаточного ресурса и с обязательным установлением по результатам их проведения ограниченного срока эксплуатации до устранения дефектов при ближайшем ремонте.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переводе оборудования в режим эксплуатации на пониженных параметрах должны быть: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внесены соответствующие изменения в производственные инструкции и эксплуатационные схемы;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предусмотрена установка и настройка автоматического редуцирующего устройства в случаях, установленных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проведена проверка пропускной способности предохранительных клапанов соответствующим расчетом, а также их перенастройка (с учетом пониженных параметров) или замена (в случае отрицательных результатов расчета пропускной способности).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402. Для сосудов, предназначенных для хранения и транспортирования сжиженных газов, давление которых изменяется в зависимости от температуры окружающего воздуха, не допускается установление разрешенного давления менее значения рабочего давления, указанного организацией-изготовителем в паспорте на основании принятых при проектировании разработчиком сосуда решений по его конструктивному исполнению (в том числе примененным при изготовлении материалам, устройству и типу тепловой изоляции), результатов расчета на прочность с учетом свойств рабочей среды, статических, динамических (инерционных) нагрузок и иных опасных факторов, характерных для данного вида оборудования. При выявлении недопустимых дефектов эксплуатация таких сосудов должна быть незамедлительно прекращена.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403. Если при техническом освидетельствовании будет установлено, что оборудование под давлением вследствие имеющихся дефектов или нарушений находится в состоянии, опасном для дальнейшей его эксплуатации, то работа такого оборудования должна быть запрещена.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Фактическое (работоспособное/неработоспособное) состояние оборудования под давлением в зависимости от вида и характера дефектов должно устанавливаться в соответствии с указаниями руководства (инструкции) по его эксплуатации. При отсутствии в руководстве (инструкции) по эксплуатации критериев предельного состояния оборудования под давлением их установление следует осуществлять в соответствии с  к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404. В случае если при анализе (оценке характера, размеров и причин возникновения) дефектов, выявленных при техническом освидетельствовании оборудования под давлением, установлено, что их возникновение обусловлено режимом эксплуатации оборудования в данной эксплуатирующей организации или особенностями (недостатками) конструкции данного типа оборудования, то лицо, проводившее техническое освидетельствование, должно направить руководителю эксплуатирующей организации информацию о необходимости проведения внеочередного технического освидетельствования всего оборудования под давлением, эксплуатируемого в аналогичном режиме, или оборудования аналогичной конструкции, применяемого в данной эксплуатирующей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этом эксплуатирующая организация обязана обеспечить проведение указанных работ с последующим информированием Ростехнадзора (или иного федерального органа исполнительной власти в области промышленной безопасности, если оборудование под давлением эксплуатируется на подведомственном данному органу ОПО) о результатах их проведения.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 факте выявления дефектов, возникновение которых обусловлено особенностями (недостатками) конструкции оборудования, организация, проводившая техническое освидетельствование, должна уведомить (с приложением подтверждающих документов) организацию-изготовителя этого оборудования или уполномоченное организацией-изготовителем лицо, Ростехнадзор и организацию, оформившую документ о подтверждении соответствия этого оборудования требованиям ТР ТС 032/2013.</w:t>
      </w: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Техническое освидетельствование сосудов</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421. Объем, методы и периодичность технических освидетельствований сосудов (за исключением баллонов вместимостью до 100 л включительно, выпущенных до вступления в силу ТР ТС 032/2013), должны определяться в соответствии с указаниями организации-изготовителя (разработчика проекта) в руководстве (инструкции) по эксплуатации.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Техническое освидетельствование баллонов, выпущенных до вступления в силу ТР ТС 032/2013, должно проводиться по методике, утвержденной разработчиком проекта конструкции баллонов, в которой указываются периодичность освидетельствования и нормы браковки.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случае отсутствия таких указаний объем, методы и периодичность технических освидетельствований в пределах срока службы сосудов следует принимать в соответствии с  к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422. Первичное, периодическое и внеочередное техническое освидетельствование сосудов, подлежащих учету в территориальном органе Ростехнадзора или в иных федеральных органах исполнительной власти в области промышленной безопасности (в отношении сосудов поднадзорных им организаций), проводят уполномоченная специализированная организация, а также лицо, ответственное за осуществление производственного контроля за эксплуатацией сосудов, работающих под давлением, совместно с ответственным за исправное состояние и безопасную эксплуатацию в сроки, установленные в руководстве (инструкции) по эксплуатации или в  к настоящим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423. Первичное, периодическое и внеочередное техническое освидетельствование сосудов, не подлежащих учету в территориальном органе Ростехнадзора, проводит лицо, ответственное за исправное состояние и безопасную эксплуатацию в сроки, установленные в руководстве (инструкции) по эксплуатации или в  к настоящим ФНП. Необходимость участия ответственного за производственный контроль за безопасной эксплуатацией оборудования определяется распорядительными документами эксплуатирующей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424. Минимальный объем первичного технического освидетельствования сосудов включает: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проведение визуального и измерительного контроля с внутренней (при доступности) и наружной поверхностей сосуда;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контроль толщины стенок элементов сосудов, работающих под давлением коррозионно-агрессивных сред, если это установлено в руководстве (инструкции) по эксплуатации и (или) предусмотрено в проектной документации ОПО с учетом специфики технологического процесса, в котором используются сосуды;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проверку соответствия монтажа, обвязки трубопроводами, оснащения контрольно-измерительными приборами и предохранительными устройствами сосуда требованиям проектной и технической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проведение гидравлических испытаний.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техническом освидетельствовании сосудов допускается применение иных методов неразрушающего контроля, в том числе метод акустической эмиссии.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425. При первичном техническом освидетельствовании допускается не проводить осмотр внутренней поверхности и гидравлическое испытание сосуда, поставляемого в собранном виде, если это установлено в требованиях руководства (инструкции) по эксплуатации и не нарушены указанные в нем сроки и условия консервации.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426. Объем внеочередного технического освидетельствования определяется причинами, вызвавшими его проведение.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проведении внеочередного освидетельствования в паспорте сосуда должна быть указана причина, вызвавшая необходимость в таком освидетельствовании.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427. Перед проведением осмотра (визуального и измерительного контроля) внутренней поверхности сосуда, иных работ внутри сосуда и его гидравлического испытания сосуд должен быть остановлен, охлажден (отогрет), освобожден от заполняющей его рабочей среды с проведением вентилирования (продувки) и нейтрализации, дегазации (при необходимости), отключен от источников питания и всех трубопроводов, соединяющих сосуд с источниками давления или другими сосудами и технологическим оборудованием.</w:t>
      </w:r>
    </w:p>
    <w:p>
      <w:pPr>
        <w:pStyle w:val="Style_180"/>
        <w:spacing w:before="0" w:after="0" w:line="240" w:lineRule="auto"/>
        <w:ind w:left="0" w:firstLine="0"/>
        <w:jc w:val="left"/>
        <w:rPr>
          <w:rFonts w:ascii="TimesNewRoman" w:hAnsi="TimesNewRoman" w:eastAsia="TimesNewRoman" w:cs="TimesNewRoman"/>
          <w:sz w:val="24"/>
        </w:rPr>
      </w:pPr>
    </w:p>
    <w:tbl>
      <w:tblPr>
        <w:tblW w:w="10207"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fill="f4f3f8"/>
        <w:tblLayout w:type="fixed"/>
        <w:tblCellMar>
          <w:left w:w="113" w:type="dxa"/>
          <w:top w:w="113" w:type="dxa"/>
          <w:right w:w="113" w:type="dxa"/>
          <w:bottom w:w="113" w:type="dxa"/>
        </w:tblCellMar>
      </w:tblPr>
      <w:tblGrid>
        <w:gridCol w:w="10207"/>
      </w:tblGrid>
      <w:tr>
        <w:trPr>
          <w:jc w:val="center"/>
        </w:trPr>
        <w:tc>
          <w:tcPr>
            <w:tcW w:w="10207" w:type="dxa"/>
            <w:tcBorders>
              <w:top w:val="none" w:color="000000"/>
              <w:left w:val="single" w:color="CED3F1" w:sz="24"/>
              <w:bottom w:val="none" w:color="000000"/>
              <w:right w:val="single" w:color="F4F3F8" w:sz="24"/>
            </w:tcBorders>
            <w:shd w:val="clear" w:color="f4f3f8" w:fill="f4f3f8"/>
            <w:noWrap w:val="false"/>
            <w:textDirection w:val="lrTb"/>
            <w:vAlign w:val="top"/>
          </w:tcPr>
          <w:p>
            <w:pPr>
              <w:pStyle w:val="Style_180"/>
              <w:spacing w:before="0" w:after="0" w:line="240" w:lineRule="auto"/>
              <w:ind w:left="0" w:firstLine="0"/>
              <w:jc w:val="both"/>
              <w:rPr>
                <w:rFonts w:ascii="TimesNewRoman" w:hAnsi="TimesNewRoman" w:eastAsia="TimesNewRoman" w:cs="TimesNewRoman"/>
                <w:color w:val="392c69"/>
                <w:sz w:val="24"/>
              </w:rPr>
            </w:pPr>
            <w:r>
              <w:rPr>
                <w:rFonts w:ascii="TimesNewRoman" w:hAnsi="TimesNewRoman" w:eastAsia="TimesNewRoman" w:cs="TimesNewRoman"/>
                <w:color w:val="392c69"/>
                <w:sz w:val="24"/>
              </w:rPr>
              <w:t xml:space="preserve">КонсультантПлюс: примечание.</w:t>
            </w:r>
          </w:p>
          <w:p>
            <w:pPr>
              <w:pStyle w:val="Style_180"/>
              <w:spacing w:before="0" w:after="0" w:line="240" w:lineRule="auto"/>
              <w:ind w:left="0" w:firstLine="0"/>
              <w:jc w:val="both"/>
              <w:rPr>
                <w:rFonts w:ascii="TimesNewRoman" w:hAnsi="TimesNewRoman" w:eastAsia="TimesNewRoman" w:cs="TimesNewRoman"/>
                <w:color w:val="392c69"/>
                <w:sz w:val="24"/>
              </w:rPr>
            </w:pPr>
            <w:r>
              <w:rPr>
                <w:rFonts w:ascii="TimesNewRoman" w:hAnsi="TimesNewRoman" w:eastAsia="TimesNewRoman" w:cs="TimesNewRoman"/>
                <w:color w:val="392c69"/>
                <w:sz w:val="24"/>
              </w:rPr>
              <w:t xml:space="preserve">В официальном тексте документа, видимо, допущена опечатка: имеется в виду главы VI ФНТ, а не главы IV ФНТ.</w:t>
            </w:r>
          </w:p>
        </w:tc>
      </w:tr>
    </w:tbl>
    <w:p>
      <w:pPr>
        <w:pStyle w:val="Style_180"/>
        <w:spacing w:before="30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Порядок проведения указанных работ в зависимости от свойств рабочей среды, конструкции сосуда, особенностей схемы его включения и технологического процесса и требований, указанных в настоящем разделе главы IV ФНП, должен быть установлен в производственной инструкции или в иной документации по безопасному ведению работ (технологический регламент, инструкция), утвержденной эксплуатирующей и (или) уполномоченной специализированной организацией, осуществляющей выполнение указанных работ.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428. Продувка сосуда, работающего под давлением воздуха или инертных газов, до начала выполнения работ внутри его корпуса осуществляется воздухом, продувка сосуда, работающего под давлением горючих газов, - инертным газом и (или) воздухом. Окончание продувки, в необходимых случаях с учетом свойств рабочей среды определяют по результатам анализа среды внутри сосуда после продувки.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Сосуды, работающие с токсичными веществами, до начала выполнения работ внутри, в том числе перед визуальным и измерительным контролем, должны подвергаться тщательной обработке (нейтрализации, дегазации).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429. Отключение сосуда от всех трубопроводов, соединяющих его с источниками давления или другими сосудами и технологическим оборудованием, осуществляют установкой заглушек в разъемных соединениях или путем их непосредственного отсоединения от подводящих и отводящих трубопроводов в местах разъемных соединений с установкой заглушек на фланцах трубопроводов.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430. Поверхности сосудов до начала осмотра должны быть очищены от отложений и грязи для проведения визуального и измерительного контроля.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 требованию лица, проводящего освидетельствование, футеровка, изоляция и другие виды защиты должны быть удалены, если имеются признаки, указывающие на возможное наличие дефектов, влияющих на безопасность использования сосуда (визуально видимые механические повреждения; деформация; нарушения целостности футеровки, изоляции и защитной оболочки корпуса; нарушение герметичности корпуса сосуда или его защитной оболочки по показаниям приборов). В случае, если конструкцией сосуда и (или) особенностью технологического процесса не предусмотрена возможность удаления изоляции и других защитных устройств корпуса с последующим восстановлением, то диагностирование возможного наличия дефектов в недоступных для осмотра местах со снятием защитного покрытия или иными методами должно осуществляться по методике и технологии разработчика проекта и (или) организации-изготовителя сосуда, с привлечением при необходимости для выполнения работ специализированной организации и (или) организации-изготовителя сосуда.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проведении внеочередного технического освидетельствования после ремонта с применением сварки и термической обработки для проведения осмотра и испытаний на прочность и плотность сосуда допускается снимать наружную изоляцию частично только в месте, подвергнутом ремонту.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431. Гидравлические испытания сосуда должны быть проведены в соответствии с утвержденными схемами и инструкциями по режиму работы и безопасному обслуживанию сосудов, разработанными в эксплуатирующей организации с учетом требований руководства (инструкции) по эксплуатации.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проведении гидравлического испытания сосуда должны быть выполнены соответствующие требования  "Гидравлическое (пневматическое) испытание" главы III настоящих ФНП. Величину пробного давления определяют исходя из разрешенного давления для сосуда. Время выдержки сосуда под пробным давлением (если отсутствуют другие указания в руководстве по эксплуатации) должно быть не менее: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10 мин. - при толщине стенки до 50 мм включительно;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20 мин. - при толщине стенки свыше 50 до 100 мм включительно;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30 мин. - при толщине стенки свыше 100 мм.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432. Гидравлические испытания сосудов должны быть проведены только при наличии удовлетворительных результатов их наружного и внутреннего осмотра (визуального и измерительного контроля) и иных методов неразрушающего контроля и исследований, предусмотренных руководством (инструкцией) по эксплуатации.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433. При гидравлическом испытании вертикально установленных сосудов пробное давление должно контролироваться по манометру, установленному на верхней крышке (днище) сосуда, а в случае конструктивной невозможности такой установки манометра величина пробного давления должна определяться с учетом гидростатического давления воды в зависимости от уровня установки манометра.</w:t>
      </w:r>
    </w:p>
    <w:p>
      <w:pPr>
        <w:pStyle w:val="Style_180"/>
        <w:spacing w:before="0" w:after="0" w:line="240" w:lineRule="auto"/>
        <w:ind w:left="0" w:firstLine="0"/>
        <w:jc w:val="left"/>
        <w:rPr>
          <w:rFonts w:ascii="TimesNewRoman" w:hAnsi="TimesNewRoman" w:eastAsia="TimesNewRoman" w:cs="TimesNewRoman"/>
          <w:sz w:val="24"/>
        </w:rPr>
      </w:pPr>
    </w:p>
    <w:tbl>
      <w:tblPr>
        <w:tblW w:w="10207"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fill="f4f3f8"/>
        <w:tblLayout w:type="fixed"/>
        <w:tblCellMar>
          <w:left w:w="113" w:type="dxa"/>
          <w:top w:w="113" w:type="dxa"/>
          <w:right w:w="113" w:type="dxa"/>
          <w:bottom w:w="113" w:type="dxa"/>
        </w:tblCellMar>
      </w:tblPr>
      <w:tblGrid>
        <w:gridCol w:w="10207"/>
      </w:tblGrid>
      <w:tr>
        <w:trPr>
          <w:jc w:val="center"/>
        </w:trPr>
        <w:tc>
          <w:tcPr>
            <w:tcW w:w="10207" w:type="dxa"/>
            <w:tcBorders>
              <w:top w:val="none" w:color="000000"/>
              <w:left w:val="single" w:color="CED3F1" w:sz="24"/>
              <w:bottom w:val="none" w:color="000000"/>
              <w:right w:val="single" w:color="F4F3F8" w:sz="24"/>
            </w:tcBorders>
            <w:shd w:val="clear" w:color="f4f3f8" w:fill="f4f3f8"/>
            <w:noWrap w:val="false"/>
            <w:textDirection w:val="lrTb"/>
            <w:vAlign w:val="top"/>
          </w:tcPr>
          <w:p>
            <w:pPr>
              <w:pStyle w:val="Style_180"/>
              <w:spacing w:before="0" w:after="0" w:line="240" w:lineRule="auto"/>
              <w:ind w:left="0" w:firstLine="0"/>
              <w:jc w:val="both"/>
              <w:rPr>
                <w:rFonts w:ascii="TimesNewRoman" w:hAnsi="TimesNewRoman" w:eastAsia="TimesNewRoman" w:cs="TimesNewRoman"/>
                <w:color w:val="392c69"/>
                <w:sz w:val="24"/>
              </w:rPr>
            </w:pPr>
            <w:r>
              <w:rPr>
                <w:rFonts w:ascii="TimesNewRoman" w:hAnsi="TimesNewRoman" w:eastAsia="TimesNewRoman" w:cs="TimesNewRoman"/>
                <w:color w:val="392c69"/>
                <w:sz w:val="24"/>
              </w:rPr>
              <w:t xml:space="preserve">КонсультантПлюс: примечание.</w:t>
            </w:r>
          </w:p>
          <w:p>
            <w:pPr>
              <w:pStyle w:val="Style_180"/>
              <w:spacing w:before="0" w:after="0" w:line="240" w:lineRule="auto"/>
              <w:ind w:left="0" w:firstLine="0"/>
              <w:jc w:val="both"/>
              <w:rPr>
                <w:rFonts w:ascii="TimesNewRoman" w:hAnsi="TimesNewRoman" w:eastAsia="TimesNewRoman" w:cs="TimesNewRoman"/>
                <w:color w:val="392c69"/>
                <w:sz w:val="24"/>
              </w:rPr>
            </w:pPr>
            <w:r>
              <w:rPr>
                <w:rFonts w:ascii="TimesNewRoman" w:hAnsi="TimesNewRoman" w:eastAsia="TimesNewRoman" w:cs="TimesNewRoman"/>
                <w:color w:val="392c69"/>
                <w:sz w:val="24"/>
              </w:rPr>
              <w:t xml:space="preserve">Нумерация пунктов дана в соответствии с официальным текстом документа.</w:t>
            </w:r>
          </w:p>
        </w:tc>
      </w:tr>
    </w:tbl>
    <w:p>
      <w:pPr>
        <w:pStyle w:val="Style_180"/>
        <w:spacing w:before="30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444. В случаях, когда проведение гидравлического испытания невозможно (большие нагрузки от веса воды на фундамент, междуэтажные перекрытия или на сам сосуд; трудность удаления воды, наличие внутри сосуда футеровки), допускается заменять его пневматическим испытанием в соответствии с требованиями  "Гидравлическое (пневматическое) испытание" главы III настоящих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445. Сосуды, работающие под давлением сред, отнесенных к 1-й группе согласно ТР ТС 032/2013, должны подвергаться испытанию на герметичность воздухом или инертным газом давлением, равным рабочему давлению. Испытания должны проводиться в соответствии с инструкцией, утвержденной эксплуатирующей организацией, до пуска в работу после окончания технического освидетельствования и иных работ, предусмотренных инструкцией.</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Экспертиза промышленной безопасности и техническое</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диагностирование оборудования, работающего под давлением</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461. При эксплуатации ОПО, на которых используется оборудование под давлением, в соответствии с требованиями законодательства Российской Федерации в области промышленной безопасности должно быть обеспечено проведение экспертизы промышленной безопасности документации, зданий, сооружений ОПО и оборудования под давлением, а также испытаний, технического диагностирования, технических освидетельствований оборудования под давлением в случаях, предусмотренных нормативными правовыми актами Российской Федерации.</w:t>
      </w:r>
    </w:p>
    <w:p>
      <w:pPr>
        <w:pStyle w:val="Style_180"/>
        <w:spacing w:before="240" w:after="0" w:line="240" w:lineRule="auto"/>
        <w:ind w:left="0" w:firstLine="540"/>
        <w:jc w:val="both"/>
        <w:rPr>
          <w:rFonts w:ascii="TimesNewRoman" w:hAnsi="TimesNewRoman" w:eastAsia="TimesNewRoman" w:cs="TimesNewRoman"/>
          <w:sz w:val="24"/>
        </w:rPr>
      </w:pPr>
      <w:bookmarkStart w:id="51" w:name="Par1628"/>
      <w:bookmarkEnd w:id="51"/>
      <w:r>
        <w:rPr>
          <w:rFonts w:ascii="TimesNewRoman" w:hAnsi="TimesNewRoman" w:eastAsia="TimesNewRoman" w:cs="TimesNewRoman"/>
          <w:sz w:val="24"/>
        </w:rPr>
        <w:t xml:space="preserve">462. При проведении экспертизы промышленной безопасности должно быть обеспечено выполнение обязательных требований к процедуре проведения экспертизы промышленной безопасности, к оформлению заключения экспертизы и к экспертам в области промышленной безопасности, установленных положениями федеральных норм и правил в области промышленной безопасности "Правила проведения экспертизы промышленной безопасности" (далее - ФНП ЭПБ), утвержденных приказом Федеральной службы по экологическому, технологическому и атомному надзору от 20 октября 2020 г. N 420 (зарегистрирован Министерством юстиции Российской Федерации 11 декабря 2020, регистрационный N 61391).</w:t>
      </w:r>
    </w:p>
    <w:p>
      <w:pPr>
        <w:pStyle w:val="Style_180"/>
        <w:spacing w:before="240" w:after="0" w:line="240" w:lineRule="auto"/>
        <w:ind w:left="0" w:firstLine="540"/>
        <w:jc w:val="both"/>
        <w:rPr>
          <w:rFonts w:ascii="TimesNewRoman" w:hAnsi="TimesNewRoman" w:eastAsia="TimesNewRoman" w:cs="TimesNewRoman"/>
          <w:sz w:val="24"/>
        </w:rPr>
      </w:pPr>
      <w:bookmarkStart w:id="52" w:name="Par1629"/>
      <w:bookmarkEnd w:id="52"/>
      <w:r>
        <w:rPr>
          <w:rFonts w:ascii="TimesNewRoman" w:hAnsi="TimesNewRoman" w:eastAsia="TimesNewRoman" w:cs="TimesNewRoman"/>
          <w:sz w:val="24"/>
        </w:rPr>
        <w:t xml:space="preserve">463. Техническое диагностирование с проведением неразрушающего и разрушающего контроля (при необходимости) оборудования под давлением в процессе его эксплуатации в пределах установленного организацией-изготовителем срока службы (ресурса) необходимо проводить: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при проведении технического освидетельствования в случаях, установленных руководством по эксплуатации оборудования под давлением, а также по решению специалиста эксплуатирующей или специализированной организации, выполняющего техническое освидетельствование, в целях уточнения характера и размеров дефектов, выявленных по результатам визуального контроля;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при проведении эксплуатационного контроля металла или иного материала оборудования под давлением либо отдельных его элементов в случаях, установленных для соответствующего оборудования руководствами (инструкциями) по эксплуатации;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для установления причин инцидента, произошедшего с оборудованием вследствие образовавшихся в процессе его эксплуатации дефектов, в целях определения характера, размеров и причин их возникновения.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Техническое диагностирование оборудования под давлением (в пределах его срока службы) выполняется работниками специализированного подразделения (лаборатории) эксплуатирующей организации (при наличии) или специализированной организации, укомплектованного оборудованием для неразрушающего и (или) разрушающего контроля, и работниками соответствующей квалификации.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464. По результатам выполненного при проведении технического диагностирования оборудования под давлением (в пределах его срока службы) неразрушающего и разрушающего контроля оформляют (на каждый метод контроля) первичные документы (протоколы, отчеты, заключения) в порядке, установленном, распорядительными документами специализированной организации, которые подписывают специалисты, выполнившие указанные работы. На основании первичных документов составляется акт (технический отчет) о проведении технического диагностирования, неразрушающего и разрушающего контроля с приложением к нему документов по неразрушающему и разрушающему контролю. Акт (технический отчет) о проведении технического диагностирования, неразрушающего и разрушающего контроля подписывается руководителем проводившей их организации и прикладывается к паспорту оборудования под давлением. Сведения о результатах и причинах проведения технического диагностирования, неразрушающего и разрушающего контроля записывает в паспорт оборудования уполномоченный представитель организации, их проводившей, или специалист эксплуатирующей организации, ответственный за исправное состояние и безопасную эксплуатацию оборудования.</w:t>
      </w:r>
    </w:p>
    <w:p>
      <w:pPr>
        <w:pStyle w:val="Style_180"/>
        <w:spacing w:before="240" w:after="0" w:line="240" w:lineRule="auto"/>
        <w:ind w:left="0" w:firstLine="540"/>
        <w:jc w:val="both"/>
        <w:rPr>
          <w:rFonts w:ascii="TimesNewRoman" w:hAnsi="TimesNewRoman" w:eastAsia="TimesNewRoman" w:cs="TimesNewRoman"/>
          <w:sz w:val="24"/>
        </w:rPr>
      </w:pPr>
      <w:bookmarkStart w:id="53" w:name="Par1635"/>
      <w:bookmarkEnd w:id="53"/>
      <w:r>
        <w:rPr>
          <w:rFonts w:ascii="TimesNewRoman" w:hAnsi="TimesNewRoman" w:eastAsia="TimesNewRoman" w:cs="TimesNewRoman"/>
          <w:sz w:val="24"/>
        </w:rPr>
        <w:t xml:space="preserve">465 Техническое диагностирование выполняемое в объеме экспертизы промышленной безопасности в целях установления на дату проведения фактического состояния оборудования, проводимой организацией, имеющей лицензию на осуществление деятельности по проведению экспертизы промышленной безопасности технических устройств, применяемых на ОПО, необходимо выполнять в случаях, установленных пунктом 23 ФНП ЭПБ, а также в иных случаях, определяемых руководителем организации, проводящей экспертизу, по согласованию с эксплуатирующей организацией.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466. Проведение технического диагностирования в случаях, указанных в  и  ФНП оборудования, установленного на открытой площадке вне здания, необходимо планировать в период времени при положительных температурах окружающего воздуха. В случаях проведения восстановительного ремонта после аварии на ОПО трубопроводов тепловых сетей в условиях отрицательных температур окружающего воздуха непосредственно после завершения ремонта проводится неразрушающий контроль качества выполненных работ в порядке, установленном  ФНП с последующим проведением экспертизы промышленной безопасности (технического диагностирования) в период положительных температур окружающего воздуха.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467. Экспертиза промышленной безопасности оборудования под давлением, требования к которому не установлены ТР ТС 032/2013 и иными техническими регламентами, до начала его применения на ОПО должна включать в себя: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анализ проектной (конструкторской), технической и технологической документации, содержащей информацию о назначении, конструкции и технических характеристиках оборудования, о примененных при его изготовлении материалах, об объеме, методах и результатах, проведенных при изготовлении неразрушающего и разрушающего контроля и испытаний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наружный и внутренний осмотр, визуальный и измерительный контроль оборудования и его элементов в целях определения их соответствия представленной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неразрушающий и при необходимости разрушающий контроль, проводимый с целью косвенного подтверждения результатов контроля, указанных в документации организации-изготовителя, выборочно в объеме, устанавливаемом экспертной организацией по результатам анализа представленной документации, осмотра и измерений. При проведении контроля должны использоваться методы из числа перечисленных в  настоящих ФНП и иные аналогичные примененным организацией-изготовителем методы, а также спектральный анализ металла основных элементов (при необходимости уточнения достоверности сведений о марке примененного материала);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оценка достаточности и результатов расчетов оборудования иностранного производства применительно к используемым в Российской Федерации методам расчетов аналогичного оборудования и установленным в них запасам прочности с проведением поверочных расчетов (при необходимости);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гидравлические или пневматические испытания пробным давлением, если данное испытание не было проведено организацией-изготовителем оборудования (отсутствуют сведения о его проведении) или значение пробного давления и (или) время выдержки под ним, принятые организацией-изготовителем, меньше соответствующих значений, предусмотренных в  настоящих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 оценка соответствия оборудования требованиям нормативных документов по результатам проведенных в рамках экспертизы работ с определением возможности его безопасной эксплуатации при указанных в технической документации параметрах и условиях.</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468. При проведении экспертизы промышленной безопасности оборудования под давлением выполняются работы, определенные в пункте 24 ФНП ЭПБ, а проводимое при этом техническое диагностирование включает мероприятия, предусмотренные пунктом 25 ФНП ЭПБ. Объем проводимых работ и применяемых методов контроля определяется в зависимости от конкретного типа оборудования, подвергаемого техническому диагностированию, случая, вызвавшего необходимость проведения экспертизы промышленной безопасности, с учетом указаний технической документации организации-изготовителя, типовых методик диагностирования аналогичных типов оборудования (при наличии), и уточняется в ходе проведения работ по результатам анализа документации, относящейся к оборудованию. При этом, помимо анализа документации для оборудования под давлением обязательным является проведение визуального и измерительного контроля, применение методов неразрушающего контроля, исследования структуры и свойств металла для оборудования, работающего в условиях ползучести, выполнение расчетных процедур, проведение гидравлического или пневматического испытания пробным давлением в соответствии с требованиями, установленными в  настоящих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469. Проведение гидравлического или пневматического испытания пробным давлением допускается при наличии положительных результатов технического диагностирования и положительных результатов расчета на прочность. В случае если выявлены недопустимые дефекты, установлено изменение характеристик материала элементов оборудования, находящихся при его работе под воздействием избыточного давления, а также если по результатам расчета не подтверждена прочность оборудования, проведение его испытания пробным давлением не допускается.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470. В пределах срока службы (ресурса), установленного организацией-изготовителем или экспертной организацией по результатам экспертизы промышленной безопасности, для оборудования под давлением, в конструкции которого имеются элементы, работающие в условиях ползучести металла, допускается в целях продления их ресурса проведение технического диагностирования поэлементно, то есть по группам однотипных (по сортаменту, марке стали и параметрам эксплуатации) элементов. Результаты такого диагностирования должны оформляться в виде технического заключения (технического отчета), в котором должна даваться оценка технического состояния диагностируемых элементов и обосновываются условия и сроки продления их эксплуатации. К заключению (отчету) должны прилагаться первичные документы по неразрушающему, разрушающему контролю и оно должно подписываться руководителем организации, выполнявшей работы по диагностированию.</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471. По результатам технического диагностирования и определения остаточного ресурса (срока службы) оборудования, выполненных в объеме экспертизы промышленной безопасности в соответствии с ФНП ЭПБ, оформляется заключение экспертизы промышленной безопасности, содержащее выводы о соответствии объекта экспертизы требованиям промышленной безопасности и возможности продления срока безопасной эксплуатации, устанавливающие: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срок дальнейшей безопасной эксплуатации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условия дальнейшей безопасной эксплуатации оборудования, в том числе разрешенные параметры и режимы работы, а также объем, методы, периодичность проведения технического освидетельствования и поэлементного технического диагностирования в случаях, установленных настоящими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472. Сведения о результатах экспертизы промышленной безопасности записываются в паспорт оборудования уполномоченным представителем проводившей ее организации или специалист эксплуатирующей организации и должны содержать: наименование организации, проводившей экспертизу промышленной безопасности; дату подписания заключения экспертизы промышленной безопасности; регистрационный номер по реестру заключений экспертизы промышленной безопасности; вывод заключения экспертизы промышленной безопасности.</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1"/>
        <w:rPr>
          <w:rFonts w:ascii="Arial" w:hAnsi="Arial" w:eastAsia="Arial" w:cs="Arial"/>
          <w:b/>
          <w:sz w:val="24"/>
        </w:rPr>
      </w:pPr>
      <w:r>
        <w:rPr>
          <w:rFonts w:ascii="Arial" w:hAnsi="Arial" w:eastAsia="Arial" w:cs="Arial"/>
          <w:b/>
          <w:sz w:val="24"/>
        </w:rPr>
        <w:t xml:space="preserve">XII. ДОПОЛНИТЕЛЬНЫЕ ТРЕБОВАНИЯ ПРОМЫШЛЕННОЙ БЕЗОПАСНОСТИ</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К ОСВИДЕТЕЛЬСТВОВАНИЮ И ЭКСПЛУАТАЦИИ БАЛЛОНОВ</w:t>
      </w:r>
    </w:p>
    <w:p>
      <w:pPr>
        <w:pStyle w:val="Style_180"/>
        <w:spacing w:before="0" w:after="0" w:line="240" w:lineRule="auto"/>
        <w:ind w:left="0" w:firstLine="0"/>
        <w:jc w:val="both"/>
        <w:rPr>
          <w:rFonts w:ascii="Arial" w:hAnsi="Arial" w:eastAsia="Arial" w:cs="Arial"/>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Общие положения</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537. Требования настоящей главы распространяются на баллоны, предназначенные для хранения и транспортирования газов и не применяются в отношении баллонов, стационарно установленных на фундаменте (за исключением  и  настоящих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538. Баллоны должны быть укомплектованы запорной арматурой (клапанами), плотно ввернутыми в отверстия горловины или в расходно-наполнительные штуцера у специальных баллонов, не имеющих горловины.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539. Моноблоки (связки баллонов) должны иметь коллекторы, соединяющие их клапаны или штуцеры, плотно ввернутые в отверстия горловины баллонов.</w:t>
      </w:r>
    </w:p>
    <w:p>
      <w:pPr>
        <w:pStyle w:val="Style_180"/>
        <w:spacing w:before="240" w:after="0" w:line="240" w:lineRule="auto"/>
        <w:ind w:left="0" w:firstLine="540"/>
        <w:jc w:val="both"/>
        <w:rPr>
          <w:rFonts w:ascii="TimesNewRoman" w:hAnsi="TimesNewRoman" w:eastAsia="TimesNewRoman" w:cs="TimesNewRoman"/>
          <w:sz w:val="24"/>
        </w:rPr>
      </w:pPr>
      <w:bookmarkStart w:id="54" w:name="Par1891"/>
      <w:bookmarkEnd w:id="54"/>
      <w:r>
        <w:rPr>
          <w:rFonts w:ascii="TimesNewRoman" w:hAnsi="TimesNewRoman" w:eastAsia="TimesNewRoman" w:cs="TimesNewRoman"/>
          <w:sz w:val="24"/>
        </w:rPr>
        <w:t xml:space="preserve">540. Баллоны вместимостью более 100 литров должны быть оснащены предохранительными клапанами. При групповой установке баллонов допускается установка предохранительного клапана на всю группу баллонов. Пропускную способность предохранительного клапана подтверждают расчетом.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541. Боковые штуцера вентилей для баллонов, наполняемых водородом и другими горючими газами, должны иметь левую резьбу, а для баллонов, наполняемых кислородом и другими негорючими газами, - правую резьбу.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542. Запорные клапаны в баллонах для кислорода должны ввертываться с применением уплотняющих материалов, возгорание которых в среде кислорода исключено.</w:t>
      </w:r>
    </w:p>
    <w:p>
      <w:pPr>
        <w:pStyle w:val="Style_180"/>
        <w:spacing w:before="240" w:after="0" w:line="240" w:lineRule="auto"/>
        <w:ind w:left="0" w:firstLine="540"/>
        <w:jc w:val="both"/>
        <w:rPr>
          <w:rFonts w:ascii="TimesNewRoman" w:hAnsi="TimesNewRoman" w:eastAsia="TimesNewRoman" w:cs="TimesNewRoman"/>
          <w:sz w:val="24"/>
        </w:rPr>
      </w:pPr>
      <w:bookmarkStart w:id="55" w:name="Par1894"/>
      <w:bookmarkEnd w:id="55"/>
      <w:r>
        <w:rPr>
          <w:rFonts w:ascii="TimesNewRoman" w:hAnsi="TimesNewRoman" w:eastAsia="TimesNewRoman" w:cs="TimesNewRoman"/>
          <w:sz w:val="24"/>
        </w:rPr>
        <w:t xml:space="preserve">543. При использовании баллонов на сферической части каждого баллона, если иное место не указано в руководстве (инструкции) по эксплуатации, должны быть в наличии следующие данные: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сведения, подлежащие нанесению в соответствии с требованиями ТР ТС 032/2013, а на баллоны, используемые в качестве топливной емкости для автотранспортных средств, также в соответствии с требованиями технического регламента Таможенного союза "О безопасности колесных транспортных средств" (ТР ТС 018/2011), утвержденного Решением Комиссии Таможенного союза от 9 декабря 2011 г. N 877 (официальный сайт Комиссии Таможенного союза http://www.tsouz.ru/, 15.12.2011) являющимся обязательным для Российской Федерации в соответствии с Договором о Евразийском экономическом союзе, ратифицированным Федеральным законом от 3 октября 2014 г. N 279-ФЗ "О ратификации Договора о Евразийском экономическом союзе" (Собрание законодательства Российской Федерации, 2014, N 40, ст. 5310);</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дата проведенного и следующего технического освидетельствования баллона;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клеймо организации (индивидуального предпринимателя), проводившей техническое освидетельствование.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Место и способ нанесения маркировки в зависимости от материала, примененного при изготовлении баллона, должны выбираться в соответствии с указаниями руководства (инструкции) по эксплуатации.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Массу баллонов, за исключением баллонов для ацетилена, следует указывать с учетом массы нанесенной краски, кольца для колпака и башмака, если таковые предусмотрены конструкцией, но без массы вентиля и колпака.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544. Баллоны для растворенного ацетилена должны быть наполнены соответствующим количеством пористой массы и растворителя. За качество пористой массы и за правильность наполнения баллонов отвечает организация (индивидуальный предприниматель), наполняющая баллон пористой массой. За качество растворителя и правильную его дозировку ответственность несет организация (индивидуальный предприниматель), производящая наполнение баллонов растворителем.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После наполнения баллонов для растворенного ацетилена пористой массой и растворителем на его горловине выбивают массу тары (масса баллона без колпака, но с пористой массой и растворителем, башмаком, кольцом и вентилем).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545. Окраску баллонов и нанесение надписей при эксплуатации производят организации-изготовители, наполнительные станции (пункты наполнения) или испытательные пункты (пункты проверки) в соответствии с требованиями ТР ТС 032/2013.</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Цвет окраски и текст надписей для баллонов, используемых в специальных установках или предназначенных для наполнения газами специального назначения, требования к окраске и надписям которых не определены ТР ТС 032/2013, устанавливают проектной документацией и (или) техническими условиями на продукцию, для хранения которой предназначены эти баллоны, и указывают в распорядительных документах.</w:t>
      </w:r>
    </w:p>
    <w:p>
      <w:pPr>
        <w:pStyle w:val="Style_180"/>
        <w:spacing w:before="240" w:after="0" w:line="240" w:lineRule="auto"/>
        <w:ind w:left="0" w:firstLine="540"/>
        <w:jc w:val="both"/>
        <w:rPr>
          <w:rFonts w:ascii="TimesNewRoman" w:hAnsi="TimesNewRoman" w:eastAsia="TimesNewRoman" w:cs="TimesNewRoman"/>
          <w:sz w:val="24"/>
        </w:rPr>
      </w:pPr>
      <w:bookmarkStart w:id="56" w:name="Par1904"/>
      <w:bookmarkEnd w:id="56"/>
      <w:r>
        <w:rPr>
          <w:rFonts w:ascii="TimesNewRoman" w:hAnsi="TimesNewRoman" w:eastAsia="TimesNewRoman" w:cs="TimesNewRoman"/>
          <w:sz w:val="24"/>
        </w:rPr>
        <w:t xml:space="preserve">546. Стационарно установленные баллоны вместимостью более 100 л допускается окрашивать в иные цвета с нанесением надписей и маркировки в соответствии с проектной документацией и руководством (инструкцией) по эксплуатации.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547. Надписи на баллонах наносят по окружности на длину не менее 1/3 окружности, а полосы - по всей окружности, причем высота букв на баллонах вместимостью более 12 литров должна быть 60 мм, а ширина полосы 25 мм. Размеры надписей и полос на баллонах вместимостью до 12 литров должны определяться в зависимости от величины боковой поверхности баллонов.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548. При отсутствии в технической документации сведений о сроке службы баллона, определенном при его проектировании, срок службы следует устанавливать 20 лет.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Возможность, условия и срок эксплуатации баллонов специального назначения, конструкция которых определена индивидуальным проектом и не отвечает типовым конструкциям баллонов, по истечении установленного организацией-изготовителем срока службы, а также в случаях, установленных руководством (инструкцией) по эксплуатации оборудования, в составе которого они используются, должны определяться по результатам экспертизы промышленной безопасности (технического диагностирования).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Экспертизу промышленной безопасности в целях продления срока службы транспортируемых баллонов массового применения вместимостью 100 литров и менее не проводят, их эксплуатация за пределами назначенного срока службы при условии положительных результатов технического освидетельствования и диагностирования может быть допущена лицом, проводившим освидетельствование, не более чем до истечения предельно допустимого периода времени, установленного организацией-изготовителем или разработчиком проекта конструкции конкретного типа баллона и указанного в руководстве (инструкции) по эксплуатации и (или) методике проведения технического освидетельствования (диагностирования).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Продление срока эксплуатации баллонов, фактический срок службы которых превысил 20 лет, установленных в системах специальных объектов мобилизационного назначения и объектов их инфраструктуры, должно осуществляться по методике технического диагностирования баллонов, устанавливаемых в указанных системах, согласованной с Ростехнадзором.</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Освидетельствование баллонов</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bookmarkStart w:id="57" w:name="Par1913"/>
      <w:bookmarkEnd w:id="57"/>
      <w:r>
        <w:rPr>
          <w:rFonts w:ascii="TimesNewRoman" w:hAnsi="TimesNewRoman" w:eastAsia="TimesNewRoman" w:cs="TimesNewRoman"/>
          <w:sz w:val="24"/>
        </w:rPr>
        <w:t xml:space="preserve">549. Освидетельствование (испытание) баллонов проводятся организациями - изготовителями, а также специализированными организациями, имеющими наполнительные станции (пункты наполнения) и (или) испытательные пункты (пункты проверки) при наличии у них:</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производственных помещений, в соответствии с проектом, разработанным специализированной организацией, а также технических средств, обеспечивающих возможность проведения освидетельствования баллонов в полном соответствии с методиками разработчика проекта конструкции и (или) организации - изготовителя конкретного типа баллонов;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назначенных приказом лиц, ответственных за проведение освидетельствования, из числа специалистов, аттестованных в установленном порядке, и рабочих соответствующей квалификации;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клейма с индивидуальным шифром;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производственной инструкции по проведению технического освидетельствования баллонов, устанавливающей объем и порядок проведения работ, составленной на основании методик разработчика проекта конструкции баллона.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550. Шифр клейма присваивает территориальный орган Ростехнадзора или иной федеральный орган исполнительной власти, уполномоченный в области промышленной безопасности (в отношении поднадзорных ему организаций). Организация, планирующая осуществлять деятельность по освидетельствованию баллонов, представляет заявление о присвоении шифра клейма с указанием в нем сведений об организационно-технической готовности к данному виду деятельности в соответствии с требованиями настоящих ФНП, с указанием характеристик баллонов, освидетельствование которых готова осуществлять организация (тип или марка баллонов, вместимость баллонов, наименование и назначение газов, для которых они предназначены).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случае внесения изменений в состав оборудования, технологический процесс, расширения видов (номенклатуры) баллонов, подвергаемых техническому освидетельствованию, в случае ликвидации или реорганизации юридического (физического) лица в форме преобразования, изменения его наименования или места его нахождения либо изменения имени или места жительства индивидуального предпринимателя, а также в случае изменения адресов мест осуществления указанного вида деятельности, а также по истечении пяти лет с момента регистрации шифра клейма организация должна направить соответствующую информацию в территориальный орган Ростехнадзора или иной федеральный орган исполнительной власти, уполномоченный в области промышленной безопасности (в отношении поднадзорных ему организаций) для перерегистрации с целью расширения области действия или подтверждения актуальности присвоенного шифра клейма в случае отсутствия изменений. Процедура перерегистрации шифра клейма идентична процедуре регистрации.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551. В организациях, осуществляющих освидетельствование баллонов, должно быть обеспечено ведение журнала учета выдачи и возвращения клейм с шифрами специалистам, которым поручено проведение освидетельствования баллонов. Клеймо с шифром выдается лицу, прошедшему подготовку и аттестацию по промышленной безопасности в установленном порядке и назначенному приказом (распоряжением) руководителя организации для проведения освидетельствования баллонов. Клейма одного шифра закрепляются за одним лицом на все время выполнения им освидетельствования баллонов. Разовые или временные передачи клейм для клеймения баллонов другим лицам без соответствующего приказа (распоряжения) руководителя организации (индивидуального предпринимателя) не допускаются. Порядок, обеспечивающий сохранность клейм и журнала учета выдачи и возвращения клейм с шифрами, определяется приказом руководителя организации (индивидуального предпринимателя).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552. При прекращении организацией (индивидуальным предпринимателем) освидетельствования баллонов оставшиеся клейма с шифрами уничтожаются организацией (индивидуальным предпринимателем) по акту, один экземпляр которого представляется в присвоивший шифр клейма территориальный орган Ростехнадзора или иной федеральный орган исполнительной власти, уполномоченный в области промышленной безопасности (в отношении поднадзорных ему организаций),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553. Шифры клейм должны состоят из цифровой части - арабских цифр в виде чисел от 01 до 98 и буквенной части с применением заглавных букв русского алфавита (кроме букв "З", "Е", "Й", "О", "Х", "Ч", "Ъ", "Ы", "Ь"), а также заглавных букв латинского алфавита "F", "L", "N", "R", "S", "U", "V", "W", "Z". Шифр клейма имеет три знака одного размера (высотой 6 мм), располагаемые в ряд в круге диаметром 12 мм, и состоит из двух цифр (цифровая часть шифра) и одной заглавной буквы (буквенная часть шифра). Включение в шифр каких-либо других знаков (в том числе тире, точек), дробное расположение их или применение непредусмотренных шифров, а также перестановку цифр местами (например, замена цифровой части шифра 12 числом 21) не допускают. Для выбраковки баллонов в организациях должны быть использованы клейма круглой формы диаметром 12 мм с буквой "X". Место нанесения браковочного клейма "X" - справа от номера баллона на расстоянии не более 10 мм.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Шифры клейм, присваиваемые организации, планирующей осуществлять деятельность по освидетельствованию баллонов, подведомственной иному федеральному органу исполнительной власти в области промышленной безопасности, должны включать буквенную часть из двух заглавных букв русского и латинского алфавита (например - "ФW") и цифровую часть из цифр от 1 до 9 (пример шифра: ФW1), выделяемые Ростехнадзором индивидуально конкретному органу исполнительной власти в области промышленной безопасности.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554. Распределение (закрепление) цифровых, буквенно-цифровых и буквенных частей шифров клейм по территориальным органам Ростехнадзора и иным федеральным органам исполнительной власти в области промышленной безопасности производит Ростехнадзор. Территориальный орган Ростехнадзора для каждой организации или иной федеральный орган исполнительной власти в области промышленной безопасности для каждой подведомственной организации устанавливает индивидуальный шифр клейма и ведет учет присвоенных шифров в журнале учета шифров клейм в едином реестре шифров клейм, имеющих обращение на территории Российской Федерации.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555. Контроль за соблюдением требований настоящих ФНП при проведении технического освидетельствования, ремонта и наполнения баллонов, в целях обеспечения промышленной безопасности и уменьшения риска аварий (взрывов) баллонов, применяемых на территории Российской Федерации, осуществляется Ростехнадзором в рамках установленных Правительством Российской Федерации полномочий по надзору за соблюдением требований промышленной безопасности при обслуживании и ремонте технических устройств, применяемых на опасных производственных объектах, проведением проверок в соответствии с положениями законодательства в области защиты прав юридических лиц и индивидуальных предпринимателей при осуществлении государственного контроля (надзора) и муниципального контроля.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556. Освидетельствование баллонов, за исключением баллонов для растворенного под давлением ацетилена (далее - ацетилена), включает: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осмотр внутренней (за исключением баллонов для сжиженного углеводородного газа (пропан-бутана) вместимостью до 55 литров) и наружной поверхностей баллонов;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проверку массы и вместимости баллонов;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гидравлическое испытание баллонов.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Проверку массы и вместимости стальных бесшовных баллонов до 12 литров включительно и свыше 55 литров, а также сварных баллонов независимо от вместимости не производят.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Для баллонов, оборудованных запорно-предохранительными устройствами (ЗПУ), предохранительными клапанами, мембранными предохранительными устройствами (МПУ), по истечении срока службы ЗПУ, предохранительного клапана, МПУ должно проводиться внеочередное освидетельствование с заменой отработавших срок службы ЗПУ, предохранительного клапана, МПУ.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557. При удовлетворительных результатах организация, в которой проведено освидетельствование, выбивает (наносит) на баллоне свое клеймо круглой формы диаметром 12 мм, дату проведенного и следующего освидетельствования (в одной строке с клеймом).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Результаты технического освидетельствования баллонов вместимостью более 100 литров заносят в паспорт баллона. В этом случае клейма на баллонах не ставят.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558. Результаты освидетельствования баллонов, за исключением баллонов для ацетилена, записывает лицо, освидетельствовавшее баллоны, в журнал испытаний, имеющий, в частности, следующие графы: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товарный знак или наименование организации-изготовителя;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номер баллона;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дата (месяц, год) изготовления баллона;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дата произведенного и следующего освидетельствования;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масса, выбитая на баллоне, кг;</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 масса баллона, установленная при освидетельствовании, кг;</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ж) вместимость баллона, выбитая на баллоне, литры;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з) вместимость баллона, определенная при освидетельствовании, литры;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 рабочее давление, МПа;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 отметка о пригодности баллона;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л) фамилия, инициалы и подпись представителя организации (индивидуального предпринимателя), проводившей освидетельствование;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м) информация о собственнике баллона.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559. Освидетельствование баллонов для ацетилена должно быть произведено на ацетиленовых наполнительных станциях в сроки, установленные организацией-изготовителем (но не реже чем через 5 лет), и включает: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осмотр наружной поверхности;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проверку пористой массы;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пневматическое испытание.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560. Состояние пористой массы в баллонах для растворенного ацетилена должно проверяться на ацетиленовых наполнительных станциях не реже чем через 24 месяца.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удовлетворительном состоянии пористой массы на каждом баллоне должны быть выбиты: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год и месяц проверки пористой массы;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индивидуальное клеймо наполнительной станции;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клеймо диаметром 12 мм с изображением букв "Пм", удостоверяющее проверку пористой массы.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561. Баллоны для ацетилена, наполненные пористой массой, при освидетельствовании испытывают азотом под давлением 3,5 МПа.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Чистота азота, применяемого для испытания баллонов, должна быть не ниже 97% по объему.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562. Результаты освидетельствования баллонов для растворенного ацетилена заносят в журнал испытания, имеющий, в частности, следующие графы: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номер баллона;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товарный знак организации-изготовителя;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дата (месяц, год) изготовления баллона;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фамилия, инициалы и подпись представителя организации (индивидуального предпринимателя), проводившей освидетельствование;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дата проведенного и следующего освидетельствования баллона.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563. Осмотр баллонов следует проводить в целях выявления на их стенках следов коррозии, трещин, вмятин и других повреждений, способных оказать влияние на безопасность при дальнейшей эксплуатации баллонов (для установления пригодности баллонов к дальнейшей эксплуатации до даты проведения следующего технического освидетельствования).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Композитные и металлокомпозитные баллоны необходимо осматривать на предмет повреждения и отслоения композитной намотки.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Перед осмотром баллоны должны быть тщательно очищены и промыты водой, а баллоны, предназначенные для сред, отнесенных к группе 1 в соответствии с ТР ТС 032/2013, промыты соответствующим растворителем или дегазированы (дезактивированы).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564. Баллоны, в которых при осмотре наружной и внутренней поверхностей выявлены недопустимые дефекты, указанные в производственной инструкции по освидетельствованию (в частности, трещины, плены, вмятины, отдулины, раковины и риски глубиной более 10% номинальной толщины стенки; надрывы и выщербления; износ резьбы горловины), должны быть выбракованы.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Ослабление кольца на горловине баллона не может служить причиной браковки последнего. В этом случае баллон может быть допущен к дальнейшему освидетельствованию после закрепления кольца или замены его новым.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Баллоны, у которых обнаружена косая или слабая насадка башмака, к дальнейшему освидетельствованию не допускаются до перенасадки башмака.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Закрепление или замена ослабленного кольца на горловине или башмаке должны быть выполнены до освидетельствования баллона.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565. Отбраковка баллонов по результатам наружного и внутреннего осмотра должна быть произведена в соответствии с производственной инструкцией и технической документацией организации - изготовителя баллона.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Запрещается эксплуатация баллонов, на которых перебиты данные или выбиты (нанесены) не все данные, предусмотренные  настоящих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566. При отсутствии указаний организации-изготовителя на браковку стальные бесшовные стандартные баллоны вместимостью от 12 до 55 литров при уменьшении массы на 7,5% и выше, а также при увеличении их вместимости более чем на 1% бракуют и изымают из эксплуатации.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Фактическую вместимость баллона определяют: по разности между массой баллона, наполненного водой, и массой порожнего баллона; с помощью мерных бачков или иным, установленным в производственной инструкции способом, обеспечивающим необходимую точность измерения.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567. Гидравлические испытания баллонов должны проводиться на специально оборудованных стендах, обеспечивающих безопасность при испытаниях. Величина пробного давления и время выдержки баллонов под пробным давлением должны указываться организацией-изготовителем в технической документации на баллоны (в руководстве по эксплуатации и (или) методике проведения технического освидетельствования (диагностирования)), при этом пробное давление должно быть не менее, чем полуторное рабочее давление. Пробное давление для баллонов, изготовленных из материала, отношение временного сопротивления к пределу текучести которого более 2, может быть снижено до 1,25 рабочего давления.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568. Освидетельствование, браковка и маркировка баллонов, изготовленных из металлокомпозитных и композитных материалов, осуществляются в соответствии с требованиями и нормами браковки, установленными разработчиком проекта и (или) организацией - изготовителем баллона и указанными в руководстве (инструкции) по эксплуатации.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569. Специализированные организации по проверке (испытанию) баллонов обязаны привести забракованные баллоны в негодность независимо от их назначения любым способом, исключающим возможность их дальнейшего использования. Забракованные баллоны должны утилизироваться согласно требованиям руководства (инструкции) по эксплуатации.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570. Освидетельствование баллонов должно производиться в отдельных помещениях, специально оборудованных для его проведения в соответствии с проектом. Температура воздуха в этих помещениях должна быть не ниже 12 °C.</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Для внутреннего осмотра баллонов допускается применение переносного источника электрического освещения и иных устройств, обеспечивающих возможность визуального осмотра, напряжением не выше 12 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осмотре баллонов, наполняющихся взрывоопасными газами, арматура ручной лампы и ее штепсельное соединение должны быть во взрывобезопасном исполнении.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571. Наполненные газом баллоны, находящиеся на длительном складском хранении, при наступлении очередных сроков периодического освидетельствования подвергают освидетельствованию в выборочном порядке в количестве не менее 5 штук из партии до 100 баллонов, 10 штук из партии до 500 баллонов и 20 штук из партии свыше 500 баллонов.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удовлетворительных результатах освидетельствования срок хранения баллонов устанавливает лицо, производившее освидетельствование, но не более чем два года. Результаты выборочного освидетельствования оформляют соответствующим актом.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неудовлетворительных результатах освидетельствования производится повторное освидетельствование баллонов в таком же количестве.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случае неудовлетворительных результатов при повторном освидетельствовании дальнейшее хранение всей партии баллонов не допускается, газ из баллонов должен быть удален в срок, указанный лицом, производившим освидетельствование, после чего баллоны должны быть подвергнуты техническому освидетельствованию каждый в отдельности.</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Эксплуатация баллонов</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572. Эксплуатация (наполнение, хранение, транспортирование и использование) баллонов должна производиться в соответствии с требованиями инструкции организации (индивидуального предпринимателя), осуществляющей указанную деятельность, утвержденной в установленном порядке.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Ответственность за несоблюдение требований к безопасной эксплуатации баллонов, в том числе использование баллонов с нарушениями, указанными в  - ,  настоящих ФНП несет их владелец.</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573. Работники, обслуживающие баллоны, должны пройти проверку знаний инструкции и иметь удостоверение о допуске к самостоятельной работе, выданное в установленном порядке.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574. Размещение (установка) баллонов с газом на местах потребления (использования) в качестве индивидуальной баллонной установки (не более двух баллонов (один рабочий, другой резервный) каждого вида газа, используемого в технологическом процессе), групповой баллонной установки, а также на местах хранения технологического запаса баллонов должны осуществляться в соответствии с планом (проектом) размещения оборудования с учетом требований настоящих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575. При использовании и хранении баллонов не допускается их установка в местах прохода людей, перемещения грузов и проезда транспортных средств.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576. Баллоны (при индивидуальной установке) должны находиться на расстоянии не менее 1 метра от радиаторов отопления и других отопительных приборов, печей и не менее 5 метров от источников тепла с открытым огнем.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577. Размещение групповых баллонных установок и хранение баллонов с горючими газами должно осуществляться в специально оборудованных в соответствии с проектом помещениях или на открытой площадке, при этом не допускается расположение групповых баллонных установок и хранение баллонов с горючими газами в помещении, где осуществляется технологический процесс использования находящегося в них горючего газа.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578. Баллон с газом на месте применения до начала использования должен быть установлен в вертикальное положение и надежно закреплен от падения в порядке, установленном производственной инструкцией по эксплуатации. При производстве ремонтных или монтажных работ баллон со сжатым кислородом допускается укладывать на землю (пол, площадку), предварительно полностью очищенные от разливов топлива, масел, с обеспечением: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расположения вентиля выше башмака баллона и недопущения перекатывания баллона;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размещения верхней его части на прокладке с вырезом, выполненной из дерева или иного материала, исключающего искрообразование.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Использование баллонов со сжиженными и растворенными под давлением газами (пропан-бутан, ацетилен) в горизонтальном положении не допускается.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579. При эксплуатации баллонов не допускается расходовать находящийся в них газ полностью. Для конкретного типа газа, с учетом его свойств, остаточное давление в баллоне устанавливается в руководстве (инструкции) по эксплуатации и должно быть не менее 0,05 МПа, если иное не предусмотрено техническими условиями на газ.</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580. Выпуск (подача) газов из баллонов в сосуд, а также в технологическое оборудование с меньшим рабочим давлением должен быть произведен через редуктор, предназначенный для данного газа и окрашенный в соответствующий цвет. На входе в редуктор должен быть установлен манометр со шкалой, обеспечивающей возможность измерения максимального рабочего давления в баллоне; а на камере низкого давления редуктора должен быть установлен пружинный предохранительный клапан, отрегулированный на соответствующее разрешенное давление в сосуде или технологическом оборудовании, в которые выпускается газ, а также соответствующий данному давлению манометр. Тип манометра и предохранительного клапана определяется разработчиком проекта и организацией - изготовителем редуктора.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581. С целью недопущения возгорания и взрыва баллонов с горючими газами и кислородом подключаемое к ним оборудование, а также используемые для его подключения трубопроводы и (или) гибкие рукава должны быть исправны и соответствовать (по материалам и прочности) используемому в них газу.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582. При невозможности из-за неисправности вентилей выпустить на месте потребления газ из баллонов последние должны быть возвращены на наполнительную станцию отдельно от пустых (порожних) баллонов с нанесением на них соответствующей временной надписи (маркировки) любым доступным способом, не нарушающим целостность корпуса баллона. Выпуск газа из таких баллонов на наполнительной станции должен быть произволен в соответствии с инструкцией, утвержденной в установленном порядке.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583. Наполнение баллонов должны проводить организации (индивидуальные предприниматели), имеющие наполнительные станции (пункты наполнения), производственные помещения (площадки) которых в соответствии с проектом и требованиями настоящих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оборудованы для наполнения баллонов конкретным видом газов;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предусматривают возможность приемки-выдачи и раздельного хранения пустых и наполненных баллонов;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оснащены техническими средствами и оборудованием, обеспечивающими наполнение, опорожнение (в том числе слив неиспарившихся остатков, в случае сжиженных газов, выпуск газа из баллонов с неисправной арматурой), ремонт и окраску баллонов.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Выпуск газа из баллонов с неисправной арматурой и ремонт баллонов должны производить организации (индивидуальные предприниматели), соответствующие требованиям  настоящих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584. Организация - наполнитель баллонов должна обеспечить наличие необходимого количества специалистов, аттестованных в соответствии с положениями статьи 14.1 Федерального закона N 116-ФЗ в объеме требований промышленной безопасности, необходимых для исполнения трудовых обязанностей, и рабочих с квалификацией, соответствующей характеру выполняемых работ, а также производственных инструкций, определяющих порядок приемки, выдачи, хранения, наполнения, опорожнения и ремонта баллонов.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585. Наполнительные станции, производящие наполнение баллонов сжатыми, сжиженными и растворимыми газами, обязаны вести журнал наполнения баллонов, в котором, в частности, должны быть указаны: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дата наполнения;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номер баллона;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дата освидетельствования;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масса газа (сжиженного) в баллоне, кг;</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 подпись, фамилия и инициалы лица, наполнившего баллон.</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Если производят наполнение баллонов различными газами, то по каждому газу должен вестись отдельный журнал наполнения.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Порядок ведения учета наполнения (заправки) баллонов (топливных емкостей) автотранспортных средств на автозаправочных станциях устанавливается производственными инструкциями с учетом их специфики, определенной требованиями проектной документации и иных нормативных правовых документов, устанавливающих требования к указанным объектам, при условии обеспечения требований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586. Наполнение баллонов газами должно быть произведено по инструкции, разработанной и утвержденной наполнительной организацией (индивидуальным предпринимателем) с учетом свойств газа, определенных проектом наполнительной станции, местных условий и технологии наполнения, а также требований руководства (инструкции) по эксплуатации и иной документации организации - изготовителя баллона, при этом: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 Баллоны, поступающие для наполнения должны быть проверены и осмотрены на предмет отсутствия нарушений, не допускающих их наполнение, в том числе указанных в  настоящих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 Перед наполнением кислородных баллонов должен быть проведен контроль отсутствия в них примеси горючих газов газоанализатором в порядке, установленном инструкцией.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 Баллоны, наполняемые газом, должны быть прочно укреплены и плотно присоединены к наполнительной рампе.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 При наполнении баллонов медицинским кислородом должна проводиться их продувка давлением наполняемой среды в порядке, установленном инструкцией.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 Наполнение баллонов сжиженными газами должно соответствовать нормам, установленным организацией - изготовителем баллонов и (или) техническими условиями на сжиженные газы. При отсутствии таких сведений нормы наполнения определяются с учетом разрешенного давления баллона в соответствии с  к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6) Наполнение баллонов, в которых отсутствует избыточное давление газов, проводят после предварительной их проверки в соответствии с инструкцией наполнительной станции.</w:t>
      </w:r>
    </w:p>
    <w:p>
      <w:pPr>
        <w:pStyle w:val="Style_180"/>
        <w:spacing w:before="240" w:after="0" w:line="240" w:lineRule="auto"/>
        <w:ind w:left="0" w:firstLine="540"/>
        <w:jc w:val="both"/>
        <w:rPr>
          <w:rFonts w:ascii="TimesNewRoman" w:hAnsi="TimesNewRoman" w:eastAsia="TimesNewRoman" w:cs="TimesNewRoman"/>
          <w:sz w:val="24"/>
        </w:rPr>
      </w:pPr>
      <w:bookmarkStart w:id="58" w:name="Par2024"/>
      <w:bookmarkEnd w:id="58"/>
      <w:r>
        <w:rPr>
          <w:rFonts w:ascii="TimesNewRoman" w:hAnsi="TimesNewRoman" w:eastAsia="TimesNewRoman" w:cs="TimesNewRoman"/>
          <w:sz w:val="24"/>
        </w:rPr>
        <w:t xml:space="preserve">587. Не допускается наполнение газом и использование по назначению баллонов, у которых:</w:t>
      </w:r>
    </w:p>
    <w:p>
      <w:pPr>
        <w:pStyle w:val="Style_180"/>
        <w:spacing w:before="240" w:after="0" w:line="240" w:lineRule="auto"/>
        <w:ind w:left="0" w:firstLine="540"/>
        <w:jc w:val="both"/>
        <w:rPr>
          <w:rFonts w:ascii="TimesNewRoman" w:hAnsi="TimesNewRoman" w:eastAsia="TimesNewRoman" w:cs="TimesNewRoman"/>
          <w:sz w:val="24"/>
        </w:rPr>
      </w:pPr>
      <w:bookmarkStart w:id="59" w:name="Par2025"/>
      <w:bookmarkEnd w:id="59"/>
      <w:r>
        <w:rPr>
          <w:rFonts w:ascii="TimesNewRoman" w:hAnsi="TimesNewRoman" w:eastAsia="TimesNewRoman" w:cs="TimesNewRoman"/>
          <w:sz w:val="24"/>
        </w:rPr>
        <w:t xml:space="preserve">а) истек срок назначенного освидетельствования, срок службы (количество заправок), установленные организацией-изготовителем;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истек срок проверки пористой массы;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поврежден корпус баллона;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 неисправны вентили;</w:t>
      </w:r>
    </w:p>
    <w:p>
      <w:pPr>
        <w:pStyle w:val="Style_180"/>
        <w:spacing w:before="240" w:after="0" w:line="240" w:lineRule="auto"/>
        <w:ind w:left="0" w:firstLine="540"/>
        <w:jc w:val="both"/>
        <w:rPr>
          <w:rFonts w:ascii="TimesNewRoman" w:hAnsi="TimesNewRoman" w:eastAsia="TimesNewRoman" w:cs="TimesNewRoman"/>
          <w:sz w:val="24"/>
        </w:rPr>
      </w:pPr>
      <w:bookmarkStart w:id="60" w:name="Par2029"/>
      <w:bookmarkEnd w:id="60"/>
      <w:r>
        <w:rPr>
          <w:rFonts w:ascii="TimesNewRoman" w:hAnsi="TimesNewRoman" w:eastAsia="TimesNewRoman" w:cs="TimesNewRoman"/>
          <w:sz w:val="24"/>
        </w:rPr>
        <w:t xml:space="preserve">д) отсутствуют надлежащая окраска или надписи;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е) отсутствует избыточное давление газа;</w:t>
      </w:r>
    </w:p>
    <w:p>
      <w:pPr>
        <w:pStyle w:val="Style_180"/>
        <w:spacing w:before="240" w:after="0" w:line="240" w:lineRule="auto"/>
        <w:ind w:left="0" w:firstLine="540"/>
        <w:jc w:val="both"/>
        <w:rPr>
          <w:rFonts w:ascii="TimesNewRoman" w:hAnsi="TimesNewRoman" w:eastAsia="TimesNewRoman" w:cs="TimesNewRoman"/>
          <w:sz w:val="24"/>
        </w:rPr>
      </w:pPr>
      <w:bookmarkStart w:id="61" w:name="Par2031"/>
      <w:bookmarkEnd w:id="61"/>
      <w:r>
        <w:rPr>
          <w:rFonts w:ascii="TimesNewRoman" w:hAnsi="TimesNewRoman" w:eastAsia="TimesNewRoman" w:cs="TimesNewRoman"/>
          <w:sz w:val="24"/>
        </w:rPr>
        <w:t xml:space="preserve">ж) отсутствуют установленные клейма.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588. Перенасадка башмаков и колец для колпаков, замена вентилей, очистка, восстановление окраски и надписей на баллонах должны быть произведены на пунктах освидетельствования баллонов.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Вентиль после ремонта, связанного с его разборкой, должен быть проверен на плотность при рабочем давлении.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Производить насадку башмаков на баллоны разрешается только после выпуска газа, вывертывания вентилей и соответствующей дегазации баллонов.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Очистка и окраска наполненных газом баллонов, а также укрепление колец на их горловине запрещаются.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589. Баллоны с газами (за исключением баллонов с ядовитыми газами) могут храниться как в специальных помещениях, так и на открытом воздухе, в последнем случае они должны быть защищены от атмосферных осадков и солнечных лучей.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Складское хранение в одном помещении баллонов с кислородом и горючими газами запрещается.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590. Баллоны с ядовитыми газами должны храниться в специальных закрытых помещениях.</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591. Наполненные баллоны с насаженными на них башмаками, а также баллоны, имеющие специальную конструкцию с вогнутым днищем, должны храниться в вертикальном положении. Для предохранения от падения баллоны должны быть установлены в специально оборудованные гнезда, клетки или ограждаться барьером.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592. Баллоны, которые не имеют башмаков, могут храниться в горизонтальном положении на деревянных рамах или стеллажах. При хранении на открытых площадках разрешается укладывать баллоны с башмаками в штабеля с прокладками из веревки, деревянных брусьев, резины или иных неметаллических материалов, имеющих амортизирующие свойства, между горизонтальными рядами.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укладке баллонов в штабеля высота последних не должна превышать 1,5 метра, вентили баллонов должны быть обращены в одну сторону.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593. Склады для хранения баллонов, наполненных газами, должны соответствовать проекту, разработанному в установленном порядке с учетом требований настоящих ФНП. Здание склада должно быть одноэтажным с покрытиями легкого типа и не иметь чердачных помещений. Стены, перегородки, покрытия складов для хранения газов должны быть из несгораемых материалов, соответствующих проекту; окна и двери должны открываться наружу. Оконные и дверные стекла должны быть матовые или закрашены белой краской. Высота складских помещений для баллонов должна быть не менее 3,25 метра от пола до нижних выступающих частей кровельного покрытия. Полы складов должны быть ровные с нескользкой поверхностью, а складов для баллонов с горючими газами - с поверхностью из материалов, исключающих искрообразование при ударе о них какими-либо предметами.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594. Оснащение складов для баллонов с горючими газами, опасными в отношении взрывов, определяется проектом.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595. В складах должны быть вывешены инструкции, правила и плакаты по обращению с баллонами, находящимися на складе.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596. Склады для баллонов, наполненных газом, должны иметь естественную или искусственную вентиляцию.</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597. Склады для баллонов со взрыво- и пожароопасными газами должны находиться в зоне молниезащиты.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598. Складское помещение для хранения баллонов должно быть разделено несгораемыми стенами на отсеки, в каждом из которых допускается хранение не более 500 баллонов (40 литров) с горючими или ядовитыми газами и не более 1000 баллонов (40 литров) с негорючими и неядовитыми газами.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Отсеки для хранения баллонов с негорючими и неядовитыми газами могут быть отделены несгораемыми перегородками высотой не менее 2,5 метров с открытыми проемами для прохода людей и проемами для средств механизации. Каждый отсек должен иметь самостоятельный выход наружу.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599. Разрывы между складами для баллонов, наполненных газами, между складами и смежными производственными зданиями, общественными помещениями, жилыми домами определяются проектом и должны соответствовать градостроительным нормам.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600. Перемещение баллонов на объектах их применения (местах производства работ) должно производиться на специально приспособленных для этого тележках или с помощью других устройств, обеспечивающих безопасность транспортирования.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601. Перевозка наполненных газами баллонов в пределах границ ОПО, производственной площадки предприятия и на иных объектах проведения монтажных и ремонтных работ должна производиться на рессорном транспорте или на автокарах в горизонтальном положении обязательно с прокладками между баллонами. В качестве прокладок могут быть применены деревянные бруски с вырезанными гнездами для баллонов, а также веревочные или резиновые кольца толщиной не менее 25 мм (по два кольца на баллон) или другие прокладки, предохраняющие баллоны от ударов друг о друга. Все баллоны во время перевозки должны быть уложены вентилями в одну сторону.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Разрешается перевозка баллонов в специальных контейнерах, а также без контейнеров в вертикальном положении обязательно с прокладками между ними и ограждением от возможного падения.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Перевозка баллонов, наполненных газом, по дорогам общего пользования автомобильным (железнодорожным) транспортом не относится к деятельности в области промышленной безопасности и осуществляется в соответствии с требованиями иных нормативных правовых актов и международных соглашений, действующих на территории Российской Федерации.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602. Транспортирование и хранение баллонов должны производиться с навернутыми колпаками, если конструкцией баллона не предусмотрена иная защита запорного органа баллона.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Хранение наполненных баллонов до выдачи их потребителям допускается без предохранительных колпаков.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603. При эксплуатации, наполнении, хранении и транспортировании баллонов, изготовленных из металлокомпозитных и композитных материалов, должны быть выполнены дополнительные требования, установленные разработчиком проекта и (или) организацией - изготовителем баллона и указанные в руководстве (инструкции) по эксплуатации и иной документации организации-изготовителя.</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right"/>
        <w:outlineLvl w:val="1"/>
        <w:rPr>
          <w:rFonts w:ascii="TimesNewRoman" w:hAnsi="TimesNewRoman" w:eastAsia="TimesNewRoman" w:cs="TimesNewRoman"/>
          <w:sz w:val="24"/>
        </w:rPr>
      </w:pPr>
      <w:r>
        <w:rPr>
          <w:rFonts w:ascii="TimesNewRoman" w:hAnsi="TimesNewRoman" w:eastAsia="TimesNewRoman" w:cs="TimesNewRoman"/>
          <w:sz w:val="24"/>
        </w:rPr>
        <w:t xml:space="preserve">Приложение N 1</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к федеральным нормам и правилам</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в области промышленной безопасности</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"Правила промышленной безопасности</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при использовании оборудования,</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работающего под избыточным давлением",</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утвержденным приказом Федеральной</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службы по экологическому,</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технологическому и атомному надзору</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от 15.12.2020 г. N 536</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rPr>
          <w:rFonts w:ascii="Arial" w:hAnsi="Arial" w:eastAsia="Arial" w:cs="Arial"/>
          <w:b/>
          <w:sz w:val="24"/>
        </w:rPr>
      </w:pPr>
      <w:bookmarkStart w:id="62" w:name="Par2361"/>
      <w:bookmarkEnd w:id="62"/>
      <w:r>
        <w:rPr>
          <w:rFonts w:ascii="Arial" w:hAnsi="Arial" w:eastAsia="Arial" w:cs="Arial"/>
          <w:b/>
          <w:sz w:val="24"/>
        </w:rPr>
        <w:t xml:space="preserve">ИНФОРМАЦИЯ</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О РАБОЧИХ (РАЗРЕШЕННЫХ) ПАРАМЕТРАХ ОБОРУДОВАНИЯ</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И КАТЕГОРИЯХ ТРУБОПРОВОДОВ, ПРИНИМАЕМЫХ ЗА ОСНОВУ</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ДЛЯ ОТНЕСЕНИЯ ОБОРУДОВАНИЯ В ОБЛАСТЬ ДЕЙСТВИЯ ФНП</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И ДАЛЬНЕЙШЕЙ ЭКСПЛУАТАЦИИ, ЗДАНИЯХ И СООРУЖЕНИЯХ</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bookmarkStart w:id="63" w:name="Par2367"/>
      <w:bookmarkEnd w:id="63"/>
      <w:r>
        <w:rPr>
          <w:rFonts w:ascii="TimesNewRoman" w:hAnsi="TimesNewRoman" w:eastAsia="TimesNewRoman" w:cs="TimesNewRoman"/>
          <w:sz w:val="24"/>
        </w:rPr>
        <w:t xml:space="preserve">1. Максимальные значения параметров (давления и температуры) рабочей среды, принимаемые за основу для отнесения оборудования в область действия настоящих ФНП, а также указываемые в паспорте оборудования по результатам технического освидетельствования: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для сосуда - максимальные рабочие параметры температуры и давления рабочей среды при нормальном протекании, определяемые с учетом ее физико-химических свойств и условий эксплуатации сосуда;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 При эксплуатации оборудования под давлением в качестве значения максимально допустимого (разрешенного) рабочего давления, указываемого в записи о результатах технического освидетельствования оборудования, принимается соответствующее условиям безопасного ведения технологического процесса максимальное значение избыточного рабочего давления, допустимое для оборудования или его элемента, установленное на основании первичной оценки его соответствия после изготовления (реконструкции), а также оценки фактического технического состояния периодически в процессе эксплуатации по результатам технического освидетельствования и (или) диагностирования и контрольного расчета на прочность.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Величина разрешенного давления оборудования, находящегося в исправном состоянии, соответствует рабочему давлению, указанному организацией-изготовителем в паспорте, либо может быть меньше паспортного, в случае если оно включено в состав технологического комплекса (системы) на конкретном ОПО для которого с учетом технических характеристик включенного в его состав оборудования (технологические агрегаты, насосы, компрессоры, трубопроводы и иные устройства) и режимов работы проектной документацией установлено значение максимального рабочего давления при нормальном протекании технологического процесса, меньше рабочего давления, указанного в паспорте оборудования, используемого в составе такого комплекса (системы).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Для обеспечения требований настоящих ФНП в случае снижения значения разрешенного давления на основании проекта по результатам первичного технического освидетельствования, или в процессе эксплуатации по результатам периодического технического освидетельствования (или) диагностирования и контрольного расчета на прочность, это значение разрешенного давления принимается за основу в качестве рабочего давления при настройке предохранительных устройств и приборов безопасности, установлении значения пробного давления при проведении испытаний.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случаях, когда подключенные к оборудованию под давлением потребители (оборудование, установки) временно не могут воспринимать максимальную нагрузку по причине выявленных дефектов, установленное при этом разрешенное рабочее давление учитывается при настройке срабатывания предохранительных устройств (с обязательным расчетом их пропускной способности) и приборов безопасности оборудования под давлением, но не должно приниматься за основу вместо указанного в паспорте рабочего давления при выборе применяемых для его ремонта элементов и материалов, а также при определении пробного давления для испытаний.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Эксплуатация оборудования должна осуществляться в пределах значений (не более) указанных выше максимальных разрешенных рабочих параметров, которые в числе прочего должны учитываться при контроле режимов работы оборудования, при настройке предохранительных устройств, приборов безопасности и устройств аварийной сигнализации отдельно установленных или в составе автоматизированных систем управления технологическими процессами в целях недопущения и снижения риска аварий и инцидентов при эксплуатации оборудования к числу которых в соответствии с определениями, установленными в статье 1 Федерального закона N 116-ФЗ применительно к оборудованию, перечисленному в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 К аварии оборудования при его эксплуатации под давлением на ОПО следует относить: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разрушение оборудования либо его основных (одного или нескольких) элементов (см.  настоящих ФНП), сопровождающееся раскрытием (разрывом) стенок корпуса и иных элементов оборудования, с выбросом расширяющейся в объеме среды и возможным разлетом осколков, произошедшее вследствие недопустимого повышения избыточного давления рабочей среды либо по причине потери прочностных свойств конструктивных материалов оборудования в результате развития дефектов в процессе его эксплуатации, из-за которого невозможно восстановление работоспособного состояния оборудования либо требуется восстановительный ремонт или замена разрушенных основных элементов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разрушение (деформация) опорных металлоконструкций (каркаса) с полной или частичной потерей ими несущей способности, произошедшее при разрушении элементов оборудования либо приведшее к их разрушению, после которого невозможно восстановление работоспособного состояния оборудования либо требуется восстановительный ремонт или замена разрушенных основных элементов оборудования и частей металлоконструкций;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разрушение оборудования или его основных элементов при работе под давлением и опорных металлоконструкций (каркаса) с полной или частичной потерей несущей способности под действием внешних факторов: механического воздействия на наружную поверхность элемента либо неконтролируемого взрыва и (или) пожара, приведших к аварии оборудования.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 К инциденту при эксплуатации оборудования под давлением на ОПО следует относить: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повреждения (в том числе нарушение плотности) крышек и затворов у лазов или люков оборудования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образование выпучин и вмятин на стенках оборудования под давлением и (или) его основных элементов, трещин и свищей в основном металле и (или) в сварных соединениях оборудования под давлением и (или) его основных элементов;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повреждения и разрывы отдельных деталей, труб или узлов основных элементов, не приведшие к аварии оборудования под давлением, но вызвавшие необходимость его остановки (прекращения работы) для проведения ремонта или замены поврежденного участка (детали, узла) основного элемента оборудования либо временного отглушения поврежденной трубы в составе элемента до проведения ближайшего планового ремонта оборудования в случаях, если это допущено руководством (инструкцией) по эксплуатации;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Соотношение эксплуатационных категорий по ФНП с категориями по ранее действовавшим ПБ приведено в таблице 1.</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right"/>
        <w:outlineLvl w:val="1"/>
        <w:rPr>
          <w:rFonts w:ascii="TimesNewRoman" w:hAnsi="TimesNewRoman" w:eastAsia="TimesNewRoman" w:cs="TimesNewRoman"/>
          <w:sz w:val="24"/>
        </w:rPr>
      </w:pPr>
      <w:r>
        <w:rPr>
          <w:rFonts w:ascii="TimesNewRoman" w:hAnsi="TimesNewRoman" w:eastAsia="TimesNewRoman" w:cs="TimesNewRoman"/>
          <w:sz w:val="24"/>
        </w:rPr>
        <w:t xml:space="preserve">Приложение N 2</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к федеральным нормам и правилам</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в области промышленной безопасности</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"Правила промышленной безопасности</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при использовании оборудования,</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работающего под избыточным давлением",</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утвержденным приказом Федеральной</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службы по экологическому,</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технологическому и атомному надзору</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от 15.12.2020 г. N 536</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rPr>
          <w:rFonts w:ascii="Arial" w:hAnsi="Arial" w:eastAsia="Arial" w:cs="Arial"/>
          <w:b/>
          <w:sz w:val="24"/>
        </w:rPr>
      </w:pPr>
      <w:bookmarkStart w:id="64" w:name="Par2477"/>
      <w:bookmarkEnd w:id="64"/>
      <w:r>
        <w:rPr>
          <w:rFonts w:ascii="Arial" w:hAnsi="Arial" w:eastAsia="Arial" w:cs="Arial"/>
          <w:b/>
          <w:sz w:val="24"/>
        </w:rPr>
        <w:t xml:space="preserve">ПРИМЕНЕНИЕ МЕТОДОВ НЕРАЗРУШАЮЩЕГО КОНТРОЛЯ</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 Настоящее приложение в соответствии с  ФНП устанавливает основные требования к нормам оценки качества сварных соединений, работающих под давлением и выполненных дуговой, электрошлаковой, электронно-лучевой и газовой сваркой, при визуальном, измерительном, капиллярном, магнитопорошковом, радиографическом и ультразвуковом контроле, а также при механических испытаниях и при металлографическом исследовании.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 Нормы оценки качества принимаются по следующим размерным показателям (РП):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 номинальной толщине сваренных деталей - для стыковых сварных соединений деталей одинаковой толщины (при предварительной обработке концов деталей путем расточки, раздачи, калибровки или обжатия - по номинальной толщине сваренных деталей в зоне обработки);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 номинальной толщине более тонкой детали - для стыковых сварных соединений деталей различной номинальной толщины (при предварительной обработке конца более тонкой детали - по ее номинальной толщине в зоне обработки);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 расчетной высоте углового шва - для угловых, тавровых и нахлесточных сварных соединений (для угловых и тавровых сварных соединений с полным проплавлением за размерный показатель допускается принимать номинальную толщину более тонкой детали);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 удвоенной номинальной толщине более тонкой детали (из двух сваренных) - для торцевых сварных соединений (кроме соединений вварки труб в трубные доски);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 номинальной толщине стенки труб - для сварных соединений вварки труб в трубные доски.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радиографическом контроле сварных соединений через две стенки нормы оценки качества следует принимать по тому же размерному показателю, что и при контроле через одну стенку.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 Протяженность (длина, периметр) сварных соединений определяется по наружной поверхности сварных деталей у краев шва (для соединений штуцеров, а также угловых и тавровых соединений - по наружной поверхности привариваемой детали у края углового шва).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 Число и суммарная приведенная площадь одиночных включений и скоплений, выявленных применяемыми методами неразрушающего контроля, не должны превышать значений, указанных в настоящих нормах, на любом участке сварного соединения длиной 100 мм.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Для сварных соединений протяженностью менее 100 мм нормы по числу и суммарной приведенной площади одиночных включений и скоплений уменьшают пропорционально уменьшению протяженности контролируемого соединения. Если при этом получается дробная величина, то она округляется до ближайшего целого числа.</w:t>
      </w:r>
    </w:p>
    <w:p>
      <w:pPr>
        <w:pStyle w:val="Style_180"/>
        <w:spacing w:before="240" w:after="0" w:line="240" w:lineRule="auto"/>
        <w:ind w:left="0" w:firstLine="540"/>
        <w:jc w:val="both"/>
        <w:rPr>
          <w:rFonts w:ascii="TimesNewRoman" w:hAnsi="TimesNewRoman" w:eastAsia="TimesNewRoman" w:cs="TimesNewRoman"/>
          <w:sz w:val="24"/>
        </w:rPr>
      </w:pPr>
      <w:bookmarkStart w:id="65" w:name="Par2490"/>
      <w:bookmarkEnd w:id="65"/>
      <w:r>
        <w:rPr>
          <w:rFonts w:ascii="TimesNewRoman" w:hAnsi="TimesNewRoman" w:eastAsia="TimesNewRoman" w:cs="TimesNewRoman"/>
          <w:sz w:val="24"/>
        </w:rPr>
        <w:t xml:space="preserve">5. Визуальный и измерительный контроль (ВИК) проводится в отношении всех доступных для этого поверхностей полуфабрикатов, заготовок, деталей, сборочных единиц, изделий.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Визуальный и измерительный контроль выполняется до проведения контроля материалов и сварных соединений (наплавок) другими методами неразрушающего контроля, а также после устранения дефектов.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Поверхности материалов и сварных соединений (наплавок) перед контролем очищаются от влаги, шлака, брызг металла, ржавчины и других загрязнений, препятствующих проведению контроля.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Измерения проводят после визуального контроля или одновременно с ним. Измерения деталей, подготовленных под сварку, проводятся до их сборки.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Визуальный и измерительный контроль материалов, сварных соединений (наплавок), подлежащих термической обработке, производят до и после указанной операции. Если контролируемая деталь, конструкция или узел подлежат полной термической обработке (нормализации или закалке с последующим отпуском), контроль проводят после ее выполнения.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Визуальный и измерительный контроль материалов и сварных соединений, подлежащих механической обработке, в том числе с удалением валика усиления шва, или деформированию, проводят до и после указанных операций.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6. При сборке свариваемых элементов визуальный и измерительный контроль проводится с целью выявления и проверки обеспечения допустимых размеров зазоров, смещений кромок, формы и размеров кромок и геометрического положения (излома или перпендикулярности) осей и поверхностей собранных элементов, при этом выполняется следующее.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6.1. При подготовке деталей под сварку необходимо контролировать: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наличие маркировки и (или) документации, подтверждающей приемку полуфабрикатов, деталей, сборочных единиц и изделий при входном контроле;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наличие маркировки организации-изготовителя материала на деталях, подготовленных под сварку;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наличие удаления механическим путем зоны термического влияния в месте термической (огневой) резки заготовок (необходимость должна быть указана в конструкторской или технологической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геометрическую форму обработанных кромок, в том числе при подготовке деталей с различной номинальной толщиной стенки;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геометрическую форму обработанных внутренних поверхностей кольцевых деталей;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форму подкладных пластин (колец) и расплавляемых вставок;</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наличие заварки разъема подкладной пластины (кольца), качество шва заварки подкладной пластины (кольца), а также наличие зачистки шва заварки разъема подкладной пластины (кольца);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чистоту (отсутствие визуально наблюдаемых загрязнений, пыли, продуктов коррозии, влаги, масла и. т.п.) подлежащих сварке (наплавке) кромок и прилегающих к ним поверхностей, а также подлежащих неразрушающему контролю участков материала.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6.2. При сборке деталей под сварку визуально необходимо контролировать: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правильность установки подкладных пластин (колец);</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правильность установки временных технологических креплений;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правильность сборки и крепления деталей в сборочных приспособлениях;</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правильность расположения и количество прихваток и их качество;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правильность установки приспособлений для поддува защитного газа;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правильность нанесения активирующего флюса и защитной флюс-пасты;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наличие защитного покрытия от брызг расплавленного металла на поверхности деталей из аустенитных сталей, свариваемых ручной дуговой и полуавтоматической (автоматической) сваркой плавящимся электродом в среде защитного газа;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чистоту кромок и прилегающих к ним поверхностей деталей.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6.3. Измерительный контроль при подготовке деталей под сварку осуществляется для проверки: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размеров разделки кромок (углы скоса кромок, толщина и ширина притупления кромок разделки);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размеров (диаметр, длина, угол выхода резца) расточки (раздачи) концов труб по внутреннему диаметру;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размеров подкладных пластин (колец) и расплавляемых вставок (ширина, толщина, углы скоса, диаметр);</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размеров элементов секторных отводов;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перпендикулярности торцов подготовленных под сварку цилиндрических деталей к их образующим;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минимальной фактической толщины стенки цилиндрической детали после расточки по внутреннему диаметру;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размеров отверстий под штуцер (патрубок) и обработки кромок в трубе (коллекторе, корпусе);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толщины и ширины подкладки в замковом соединении;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ширины зоны механической зачистки наружной и внутренней поверхностей деталей и шероховатости поверхностей кромок и прилегающих поверхностей деталей, в том числе места зачистки шва разъема остающейся подкладной пластины (кольца).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6.4. Измерительный контроль соединений, собранных под сварку, включает проверку: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размеров швов приварки временных технологических креплений;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расстояния технологического крепления от кромки разделки и расположения креплений по длине (периметру) соединения (при необходимости, в случае если в технической документации оговорено расстояние между соседними креплениями);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величины зазора в соединении, в том числе между деталью и подкладной пластиной (кольцом);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размера смещения кромок (внутренних и наружных) собранных деталей;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размера перекрытия деталей в нахлесточном соединении;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размеров (длина, высота) прихваток и их расположения по длине (периметру) соединения (при необходимости, в случае если это оговорено в технической документации, также расстояния между соседними прихватками);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размера зазора в замке расплавляемой проволочной вставки;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размера перелома осей цилиндрических деталей трубы и плоскостей плоских деталей (листов);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размера несоосности осей штуцера и отверстия в корпусе (трубе);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размера несовпадения (отклонения) осей в угловых соединениях труб;</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размеров ширины зоны нанесения защитного покрытия на поверхностях деталей;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геометрических (линейных) размеров узла, собранного под сварку (в случаях, оговоренных ПКД).</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6.5. Визуальному и измерительному контролю подготовки и сборки деталей под сварку подлежат не менее 20% деталей и соединений из числа представленных к приемке.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Перелом осей, собранных под сварку кольцевых соединений цилиндрических элементов, измеряется в 2 - 3 сечениях (в зоне максимального излома, выявленного при визуальном контроле) на расстоянии 200 мм от центра соединения. При отсутствии прямолинейного участка детали длиной 200 мм разрешается измерение размера проводить на участке меньшей длины с последующим пересчетом к длине 200 мм по формуле k = 200k</w:t>
      </w:r>
      <w:r>
        <w:rPr>
          <w:rFonts w:ascii="TimesNewRoman" w:hAnsi="TimesNewRoman" w:eastAsia="TimesNewRoman" w:cs="TimesNewRoman"/>
          <w:sz w:val="24"/>
          <w:vertAlign w:val="subscript"/>
        </w:rPr>
        <w:t xml:space="preserve">1</w:t>
      </w:r>
      <w:r>
        <w:rPr>
          <w:rFonts w:ascii="TimesNewRoman" w:hAnsi="TimesNewRoman" w:eastAsia="TimesNewRoman" w:cs="TimesNewRoman"/>
          <w:sz w:val="24"/>
        </w:rPr>
        <w:t xml:space="preserve"> / L, где k</w:t>
      </w:r>
      <w:r>
        <w:rPr>
          <w:rFonts w:ascii="TimesNewRoman" w:hAnsi="TimesNewRoman" w:eastAsia="TimesNewRoman" w:cs="TimesNewRoman"/>
          <w:sz w:val="24"/>
          <w:vertAlign w:val="subscript"/>
        </w:rPr>
        <w:t xml:space="preserve">1</w:t>
      </w:r>
      <w:r>
        <w:rPr>
          <w:rFonts w:ascii="TimesNewRoman" w:hAnsi="TimesNewRoman" w:eastAsia="TimesNewRoman" w:cs="TimesNewRoman"/>
          <w:sz w:val="24"/>
        </w:rPr>
        <w:t xml:space="preserve"> и L - размер перелома осей и расстояние от соединения, на котором выполнено измерение. В случае, когда измерения по данной методике не обеспечивают требуемой точности, измерения следует проводить по специальной методике.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Несимметричность в поперечном сечении штуцера привариваемой трубы в угловом соединении определяется путем выполнения не менее двух измерений в одном сечении. Разрешается выполнять измерительный контроль несимметричности отверстия под штуцер привариваемой трубы в угловом соединении на стадии контроля подготовки деталей под сварку.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выявлении отклонений от требований рабочих чертежей и (или) ПТД, которые могут привести к ухудшению качества сварных соединений, объем выборочного контроля должен быть увеличен вдвое для группы однотипных деталей (соединений). Если при дополнительном контроле вторично будут выявлены отклонения от требований конструкторской документации и (или) ПТД, то объем контроля для группы деталей, подготовленных к приемке, должен быть увеличен до 100%.</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Детали, забракованные при контроле, подлежат исправлению. Собранные под сварку соединения деталей, забракованные при контроле, подлежат разборке с последующей повторной сборкой после устранения причин, вызвавших их первоначальную некачественную сборку.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7. Визуальный и измерительный контроль качества сварных соединений (наплавок) в процессе сварки (наплавки) и готового сварного соединения (наплавки) выполняется с целью подтверждения их соответствия требованиям конструкторской документации, ПТД и (или) НД и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7.1. В выполненном сварном соединении визуально следует контролировать: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отсутствие (наличие) поверхностных трещин всех видов и направлений;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отсутствие (наличие) на поверхности сварных соединений дефектов (пор, включений, скоплений пор и включений, отслоений, прожогов, свищей, наплывов, усадочных раковин, подрезов, непроваров, брызг расплавленного металла, западаний между валиками, грубой чешуйчатости, а также мест касания сварочной дугой поверхности основного материала);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качество зачистки металла в местах приварки временных технологических креплений, гребенок индуктора и бобышек крепления термоэлектрических преобразователей (термопар), а также отсутствие поверхностных дефектов в местах зачистки;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качество зачистки поверхности сварного соединения изделия (сварного шва и прилегающих участков основного металла) под последующий контроль неразрушающими методами (в случае если такой контроль предусмотрен ПТД);</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наличие маркировки (клеймения) шва и правильность ее выполнения.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7.2. В выполненном сварном соединении измерениями необходимо контролировать: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размеры поверхностных дефектов (поры, включения), выявленных при визуальном контроле;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высоту и ширину шва, а также вогнутость и выпуклость обратной стороны шва в случае доступности обратной стороны шва для контроля;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высоту (глубину) углублений между валиками (западания межваликовые) и чешуйчатости поверхности шва;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подрезы (глубину и длину) основного металла;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отсутствие непроваров (за исключением конструктивных непроваров) с наружной и внутренней стороны шва;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размеры катета углового шва;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отсутствие переломов осей сваренных цилиндрических элементов.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7.3. При визуальном и измерительном контроле сварных соединений контролируемая зона должна включать в себя поверхность металла шва, а также примыкающие к нему участки материала в обе стороны от шва шириной: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не менее 5 мм - для стыковых соединений, выполненных дуговой и электронно-лучевой сваркой, электроконтактной сваркой оплавлением, сваркой встык нагретым элементом при номинальной толщине сваренных деталей до 5 мм включительно;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не менее номинальной толщины стенки детали - для стыковых соединений, выполненных дуговой и электронно-лучевой сваркой, электроконтактной сваркой оплавлением, сваркой встык нагретым элементом при номинальной толщине сваренных деталей свыше 5 до 20 мм;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не менее 20 мм - для стыковых соединений, выполненных дуговой и электронно-лучевой сваркой, электроконтактной сваркой оплавлением, сваркой встык нагретым элементом при номинальной толщине сваренных деталей свыше 20 мм, а также для стыковых и угловых соединений, выполненных газовой сваркой, независимо от номинальной толщины стенки сваренных деталей и при ремонте дефектных участков в сварных соединениях;</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не менее 5 мм (независимо от номинальной толщины сваренных деталей) - для угловых, тавровых, торцовых и нахлесточных сварных соединений и соединений вварки труб в трубные доски, выполненных дуговой и электронно-лучевой сваркой;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не менее 50 мм (независимо от номинальной толщины сваренных деталей) - для сварных соединений, выполненных электрошлаковой сваркой.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7.4. Шероховатость зачищенных под контроль поверхностей деталей, сварных соединений, а также поверхность разделки кромок деталей (сборочных единиц, изделий), подготовленных под сварку, должна быть не более Ra 12,5 (Rz 80).</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7.5. Шероховатость поверхностей изделий и сварных соединений для проведения последующих методов неразрушающего контроля зависит от метода контроля и должна быть не более: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Ra 3,2 (Rz 20) - при капиллярном контроле;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Ra 10 (Rz 63) - при магнитопорошковом контроле;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Ra 6,3 (Rz 40) - при ультразвуковом контроле.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7.6. Визуальный контроль удаления материала, подвергнутого термическому влиянию во время резки термическими способами (газовая, воздушно-дуговая, газофлюсовая, плазменная и др.), проводится на каждой детали, подвергавшейся резке.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7.7. Визуальному контролю подлежит каждая прихватка в соединении. Измерительному контролю подвергаются прихватки, размеры которых вызывают сомнения по результатам визуального контроля.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Измерения швов приварки временных технологических креплений и расстояния от приварного элемента крепления до кромки разделки выполняется в одном месте. Контролю подлежит каждое крепление.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7.8. Послойный визуальный контроль в процессе сварки выполняется с целью выявления недопустимых поверхностных дефектов (трещин, пор, включений, прожогов, свищей, усадочных раковин, несплавлений, грубой чешуйчатости, западаний между валиками, наплывов) в каждом слое (валике) шва. Выявленные при контроле дефекты подлежат исправлению перед началом сварки последующего слоя (валика) шва. По требованию Заказчика или в соответствии с ПТД сварные соединения, выполненные с послойным визуальным контролем, подлежат дополнительно контролю капиллярной или магнитопорошковой дефектоскопией на доступных участках.</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8. Дефекты, выявленные при визуальном и измерительном контроле, должны быть устранены до выполнения последующей технологической операции или до приемки объекта контроля. Устранение выявленных дефектов должно выполняться в соответствии с требованиями ПТД. Если дефекты, выявленные при визуальном и измерительном контроле, не препятствуют дальнейшему применению других видов (методов) неразрушающего контроля, эти дефекты могут быть устранены после завершения контроля другими видами (методами) контроля.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9. Визуальный и измерительный контроль качества исправления дефектных участков в материале, сварных соединениях и наплавках выполняется с целью подтверждения полноты удаления дефекта, проверки соответствия формы и размеров выборки дефектного участка и качества заварки выборок (в случаях, когда выборка подлежит заварке) требованиям ПТД, НД и ФНП, при этом должно быть выполнено следующее.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9.1. При ремонте дефектных участков визуально необходимо контролировать: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полноту удаления дефекта, выявленного при визуальном контроле и контроле другими методами неразрушающего контроля;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форму выборки дефектного участка; форму обработки кромок выборки;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чистоту (отсутствие визуально наблюдаемых загрязнений, пыли, продуктов коррозии, масла и т.п.) поверхности выборки и прилегающих к ней поверхностей;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ширину зоны зачистки механическим путем поверхностей материала, прилегающих к кромкам выборки;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отсутствие (наличие) дефектов (трещин, пор, включений, скоплений пор и включений, свищей, прожогов, наплывов, усадочных раковин, подрезов, непроваров, брызг расплавленного металла, западаний между валиками, грубой чешуйчатости и т.п.) на поверхности шва заварки выборки и на прилегающих к выборке участках материала.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9.2. При ремонте дефектных участков в материале и сварных соединениях измерением необходимо контролировать: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размеры выборки дефектного участка;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размеры разделки кромок выборки (угол скоса, радиусы начала и окончания выборки, толщину перемычки металла при исправлении трещин и т.п.);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ширину зоны зачистки механическим путем участков материала, прилегающих к кромкам выборки;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размеры дефектов на поверхности шва заварки выборки и прилегающих к нему участках материала, выявленные при визуальном контроле;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шероховатость поверхностей выборки и прилегающих участков материала в зоне их зачистки (перед заваркой выборки), а также поверхностей материала перед проведением последующих методов неразрушающего контроля.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10. Визуальный и измерительный контроль при эксплуатации оборудования в объеме технического освидетельствования, диагностирования, экспертизы промышленной безопасности проводится с целью определения его фактического состояния оценке состояния материала и сварных соединений в соответствии с требованиями ФНП, ФНП ЭПБ, технической документацией, НД. Для обеспечения качества визуального и измерительного контроля составляются карты (схемы) визуального и измерительного контроля, в которых указываются места проведения контроля на конкретном техническом устройстве, сооружении, схемы контроля, средства измерения контролируемого параметра и нормы оценки качества.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11. Визуальный и измерительный контроль технических устройств и сооружений в процессе эксплуатации проводится с целью выявления изменений (деформации) их формы, поверхностных дефектов в основном материале и сварных соединениях, ремонтных наплавках (трещин, коррозионных и эрозионных повреждений, деформаций, наружного износа элементов), образовавшихся в процессе эксплуатации, при этом должно быть выполнено следующее.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11.1. При визуальном контроле материала и сварных соединений проверяется: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отсутствие (наличие) механических повреждений поверхностей;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отсутствие (наличие) формоизменения элементов конструкций (деформированные участки, коробление, провисание и другие отклонения от первоначального расположения);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отсутствие (наличие) трещин и других поверхностных дефектов, образовавшихся (получивших развитие) в процессе эксплуатации;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отсутствие коррозионного и механического износа поверхностей.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11.2. Измерительный контроль материала и сварных соединений выполняют с целью определения соответствия геометрических размеров конструкций и допустимости повреждений материала и сварных соединений, выявленных при визуальном контроле, требованиям рабочих чертежей, ТУ, стандартов и паспортов.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11.3. При измерительном контроле состояния материала и сварных соединений определяют:</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размеры механических повреждений материала и сварных соединений;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размеры деформированных участков материала и сварных соединений, в том числе длину, ширину и глубину вмятин, выпучин, отдулин;</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овальность цилиндрических элементов, в том числе гибов труб;</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прямолинейность (прогиб) образующей конструкции (элемента);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фактическую толщину стенки материала (при возможности проведения прямых измерений);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глубину коррозионных язв и размеры зон коррозионного повреждения, включая их глубину.</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12. При оценке качества должно быть обеспечено следующее.</w:t>
      </w:r>
    </w:p>
    <w:p>
      <w:pPr>
        <w:pStyle w:val="Style_180"/>
        <w:spacing w:before="240" w:after="0" w:line="240" w:lineRule="auto"/>
        <w:ind w:left="0" w:firstLine="540"/>
        <w:jc w:val="both"/>
        <w:rPr>
          <w:rFonts w:ascii="TimesNewRoman" w:hAnsi="TimesNewRoman" w:eastAsia="TimesNewRoman" w:cs="TimesNewRoman"/>
          <w:sz w:val="24"/>
        </w:rPr>
      </w:pPr>
      <w:bookmarkStart w:id="66" w:name="Par2603"/>
      <w:bookmarkEnd w:id="66"/>
      <w:r>
        <w:rPr>
          <w:rFonts w:ascii="TimesNewRoman" w:hAnsi="TimesNewRoman" w:eastAsia="TimesNewRoman" w:cs="TimesNewRoman"/>
          <w:sz w:val="24"/>
        </w:rPr>
        <w:t xml:space="preserve">12.1. При визуальном и измерительном контроле сварных соединений не допускаются: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трещины всех видов и направлений;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непровары (несплавления) между основным металлом и швом, а также между валиками шва;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непровары в корне шва (кроме случаев, оговоренных в НД);</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наплывы (натеки) и брызги металла;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незаваренные кратеры;</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свищи;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прожоги;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скопления;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подрезы (кроме случаев, оговоренных в НД);</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отклонения размеров шва и взаимного расположения свариваемых элементов сверх установленных норм.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На кромках разделки не должно быть следов резки (для деталей из низкоуглеродистых, марганцовистых и кремнемарганцовистых сталей) и следов разметки (кернение), нанесенной на наружной поверхности деталей после резки.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Максимально допустимый просвет между концом линейки и поверхностью трубы должен быть не более 1,5 мм на расстоянии 200 мм от стыка, в сваренном стыке - не более 3 мм.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Нормы допустимых дефектов, выявленных при визуальном и измерительном контроле, приведены в таблице 12.1.</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right"/>
        <w:outlineLvl w:val="2"/>
        <w:rPr>
          <w:rFonts w:ascii="TimesNewRoman" w:hAnsi="TimesNewRoman" w:eastAsia="TimesNewRoman" w:cs="TimesNewRoman"/>
          <w:sz w:val="24"/>
        </w:rPr>
      </w:pPr>
      <w:r>
        <w:rPr>
          <w:rFonts w:ascii="TimesNewRoman" w:hAnsi="TimesNewRoman" w:eastAsia="TimesNewRoman" w:cs="TimesNewRoman"/>
          <w:sz w:val="24"/>
        </w:rPr>
        <w:t xml:space="preserve">Таблица 12.1</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rPr>
          <w:rFonts w:ascii="Arial" w:hAnsi="Arial" w:eastAsia="Arial" w:cs="Arial"/>
          <w:b/>
          <w:sz w:val="24"/>
        </w:rPr>
      </w:pPr>
      <w:bookmarkStart w:id="67" w:name="Par2620"/>
      <w:bookmarkEnd w:id="67"/>
      <w:r>
        <w:rPr>
          <w:rFonts w:ascii="Arial" w:hAnsi="Arial" w:eastAsia="Arial" w:cs="Arial"/>
          <w:b/>
          <w:sz w:val="24"/>
        </w:rPr>
        <w:t xml:space="preserve">Нормы поверхностных дефектов в сварных соединениях</w:t>
      </w:r>
    </w:p>
    <w:p>
      <w:pPr>
        <w:pStyle w:val="Style_180"/>
        <w:spacing w:before="0" w:after="0" w:line="240" w:lineRule="auto"/>
        <w:ind w:left="0" w:firstLine="0"/>
        <w:jc w:val="both"/>
        <w:rPr>
          <w:rFonts w:ascii="Arial" w:hAnsi="Arial" w:eastAsia="Arial" w:cs="Arial"/>
          <w:sz w:val="24"/>
        </w:rPr>
      </w:pPr>
    </w:p>
    <w:tbl>
      <w:tblPr>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62" w:type="dxa"/>
          <w:top w:w="102" w:type="dxa"/>
          <w:right w:w="62" w:type="dxa"/>
          <w:bottom w:w="102" w:type="dxa"/>
        </w:tblCellMar>
      </w:tblPr>
      <w:tblGrid>
        <w:gridCol w:w="3116"/>
        <w:gridCol w:w="3283"/>
        <w:gridCol w:w="2608"/>
      </w:tblGrid>
      <w:tr>
        <w:tc>
          <w:tcPr>
            <w:tcW w:w="3116"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Дефект</w:t>
            </w:r>
          </w:p>
        </w:tc>
        <w:tc>
          <w:tcPr>
            <w:tcW w:w="328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Допустимый максимальный размер, мм</w:t>
            </w:r>
          </w:p>
        </w:tc>
        <w:tc>
          <w:tcPr>
            <w:tcW w:w="260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Число дефектов</w:t>
            </w:r>
          </w:p>
        </w:tc>
      </w:tr>
      <w:tr>
        <w:tc>
          <w:tcPr>
            <w:tcW w:w="3116"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Выпуклость стыкового шва с наружной стороны</w:t>
            </w:r>
          </w:p>
        </w:tc>
        <w:tc>
          <w:tcPr>
            <w:tcW w:w="328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Устанавливается НД или конструкторской документацией в зависимости от вида сварки и типа соединения</w:t>
            </w:r>
          </w:p>
        </w:tc>
        <w:tc>
          <w:tcPr>
            <w:tcW w:w="260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r>
      <w:tr>
        <w:tc>
          <w:tcPr>
            <w:tcW w:w="3116"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Западания (углубления) между валиками и чешуйчатость поверхности шва</w:t>
            </w:r>
          </w:p>
        </w:tc>
        <w:tc>
          <w:tcPr>
            <w:tcW w:w="328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0,12 РП + 0,6, но не более 2</w:t>
            </w:r>
          </w:p>
        </w:tc>
        <w:tc>
          <w:tcPr>
            <w:tcW w:w="260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r>
      <w:tr>
        <w:tc>
          <w:tcPr>
            <w:tcW w:w="3116"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Одиночные включения</w:t>
            </w:r>
          </w:p>
        </w:tc>
        <w:tc>
          <w:tcPr>
            <w:tcW w:w="328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0,12 РП + 0,2, но не более 2,5</w:t>
            </w:r>
          </w:p>
        </w:tc>
        <w:tc>
          <w:tcPr>
            <w:tcW w:w="260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При РП от 2 до 10 - 0,2 РП + 3</w:t>
            </w:r>
          </w:p>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При РП свыше 10 до 20 - 0,1 РП + 4</w:t>
            </w:r>
          </w:p>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При РП свыше 20 - 0,05 РП + 5, но не более 8</w:t>
            </w:r>
          </w:p>
        </w:tc>
      </w:tr>
      <w:tr>
        <w:tc>
          <w:tcPr>
            <w:tcW w:w="3116"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Выпуклость корня шва при односторонней сварке труб без подкладных колец</w:t>
            </w:r>
          </w:p>
        </w:tc>
        <w:tc>
          <w:tcPr>
            <w:tcW w:w="328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1.5 при D до 25 включительно</w:t>
            </w:r>
          </w:p>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2,0 при D свыше 25 до 150 включительно</w:t>
            </w:r>
          </w:p>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2.5 при D свыше 150</w:t>
            </w:r>
          </w:p>
        </w:tc>
        <w:tc>
          <w:tcPr>
            <w:tcW w:w="260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r>
      <w:tr>
        <w:tc>
          <w:tcPr>
            <w:tcW w:w="3116"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Вогнутость корня шва при односторонней сварке труб без подкладных колец</w:t>
            </w:r>
          </w:p>
        </w:tc>
        <w:tc>
          <w:tcPr>
            <w:tcW w:w="328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0,12 РП + 0,4, но не более 1,5</w:t>
            </w:r>
          </w:p>
        </w:tc>
        <w:tc>
          <w:tcPr>
            <w:tcW w:w="260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r>
    </w:tbl>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12.2. При капиллярном контроле сварного соединения по индикаторным следам не допускаются удлиненные и неодиночные индикаторные следы. Количество одиночных округлых индикаторных следов не должно превышать норм, указанных в  для одиночных включений, а наибольший размер каждого индикаторного следа не должен превышать трехкратных значений этих норм. Выявленные проведении указанного контроля дефекты оцениваются по их фактическим показателям после удаления реактива. При этом следует руководствоваться требованиями ,  и  настоящего приложения. Результаты этой оценки являются окончательными.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12.3. При применении магнитопорошкового контроля нормы оценки качества должны соответствовать нормам для визуального контроля (,  и ). Выявленные при проведении указанного контроля дефекты оцениваются по их фактическому размеру после удаления эмульсии или порошка. Результаты этой оценки являются окончательными.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12.4. При радиографическом контроле качество сварных соединений считается удовлетворительным, если на радиографическом снимке не будут зафиксированы трещины, непровары (за исключением случаев, оговоренных НД), прожоги, свищи, недопустимые выпуклость и вогнутость корня шва , а размер, число и суммарная приведенная площадь одиночных включений и скоплений не превышают норм, приведенных в  и НД.</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Требуемый уровень чувствительности снимка устанавливается НД.</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right"/>
        <w:outlineLvl w:val="2"/>
        <w:rPr>
          <w:rFonts w:ascii="TimesNewRoman" w:hAnsi="TimesNewRoman" w:eastAsia="TimesNewRoman" w:cs="TimesNewRoman"/>
          <w:sz w:val="24"/>
        </w:rPr>
      </w:pPr>
      <w:r>
        <w:rPr>
          <w:rFonts w:ascii="TimesNewRoman" w:hAnsi="TimesNewRoman" w:eastAsia="TimesNewRoman" w:cs="TimesNewRoman"/>
          <w:sz w:val="24"/>
        </w:rPr>
        <w:t xml:space="preserve">Таблица 12.2</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rPr>
          <w:rFonts w:ascii="Arial" w:hAnsi="Arial" w:eastAsia="Arial" w:cs="Arial"/>
          <w:b/>
          <w:sz w:val="24"/>
        </w:rPr>
      </w:pPr>
      <w:bookmarkStart w:id="68" w:name="Par2652"/>
      <w:bookmarkEnd w:id="68"/>
      <w:r>
        <w:rPr>
          <w:rFonts w:ascii="Arial" w:hAnsi="Arial" w:eastAsia="Arial" w:cs="Arial"/>
          <w:b/>
          <w:sz w:val="24"/>
        </w:rPr>
        <w:t xml:space="preserve">Нормы допустимых дефектов сварных соединений, выявленных</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при радиографическом контроле</w:t>
      </w:r>
    </w:p>
    <w:p>
      <w:pPr>
        <w:pStyle w:val="Style_180"/>
        <w:spacing w:before="0" w:after="0" w:line="240" w:lineRule="auto"/>
        <w:ind w:left="0" w:firstLine="0"/>
        <w:jc w:val="both"/>
        <w:rPr>
          <w:rFonts w:ascii="Arial" w:hAnsi="Arial" w:eastAsia="Arial" w:cs="Arial"/>
          <w:sz w:val="24"/>
        </w:rPr>
      </w:pPr>
    </w:p>
    <w:tbl>
      <w:tblPr>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62" w:type="dxa"/>
          <w:top w:w="102" w:type="dxa"/>
          <w:right w:w="62" w:type="dxa"/>
          <w:bottom w:w="102" w:type="dxa"/>
        </w:tblCellMar>
      </w:tblPr>
      <w:tblGrid>
        <w:gridCol w:w="1525"/>
        <w:gridCol w:w="2891"/>
        <w:gridCol w:w="2494"/>
        <w:gridCol w:w="2098"/>
      </w:tblGrid>
      <w:tr>
        <w:tc>
          <w:tcPr>
            <w:tcW w:w="152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Дефект</w:t>
            </w:r>
          </w:p>
        </w:tc>
        <w:tc>
          <w:tcPr>
            <w:tcW w:w="289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Размерный показатель сварного соединения (РП), мм</w:t>
            </w:r>
          </w:p>
        </w:tc>
        <w:tc>
          <w:tcPr>
            <w:tcW w:w="2494"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Максимальный размер, мм</w:t>
            </w:r>
          </w:p>
        </w:tc>
        <w:tc>
          <w:tcPr>
            <w:tcW w:w="209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Число дефектов на 100 мм шва</w:t>
            </w:r>
          </w:p>
        </w:tc>
      </w:tr>
      <w:tr>
        <w:tc>
          <w:tcPr>
            <w:tcW w:w="1525"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Одиночные включения</w:t>
            </w:r>
          </w:p>
        </w:tc>
        <w:tc>
          <w:tcPr>
            <w:tcW w:w="289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От 2,0 до 15 включительно</w:t>
            </w:r>
          </w:p>
        </w:tc>
        <w:tc>
          <w:tcPr>
            <w:tcW w:w="2494"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0,15РП + 0,5</w:t>
            </w:r>
          </w:p>
        </w:tc>
        <w:tc>
          <w:tcPr>
            <w:tcW w:w="2098"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Суммарное число одиночных включений и скоплений:</w:t>
            </w:r>
          </w:p>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0,25РП + 12</w:t>
            </w:r>
          </w:p>
        </w:tc>
      </w:tr>
      <w:tr>
        <w:tc>
          <w:tcPr>
            <w:tcW w:w="1525"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289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Свыше 15 до 40 включительно</w:t>
            </w:r>
          </w:p>
        </w:tc>
        <w:tc>
          <w:tcPr>
            <w:tcW w:w="2494"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0,05РП + 2,0</w:t>
            </w:r>
          </w:p>
        </w:tc>
        <w:tc>
          <w:tcPr>
            <w:tcW w:w="2098"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r>
      <w:tr>
        <w:tc>
          <w:tcPr>
            <w:tcW w:w="1525"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289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Свыше 40</w:t>
            </w:r>
          </w:p>
        </w:tc>
        <w:tc>
          <w:tcPr>
            <w:tcW w:w="2494"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0,025РП + 3,0, но не более 5</w:t>
            </w:r>
          </w:p>
        </w:tc>
        <w:tc>
          <w:tcPr>
            <w:tcW w:w="2098"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r>
      <w:tr>
        <w:tc>
          <w:tcPr>
            <w:tcW w:w="1525"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Одиночные скопления</w:t>
            </w:r>
          </w:p>
        </w:tc>
        <w:tc>
          <w:tcPr>
            <w:tcW w:w="289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От 2,0 до 15 включительно</w:t>
            </w:r>
          </w:p>
        </w:tc>
        <w:tc>
          <w:tcPr>
            <w:tcW w:w="2494"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1,5 (0,15РП + 0,5)</w:t>
            </w:r>
          </w:p>
        </w:tc>
        <w:tc>
          <w:tcPr>
            <w:tcW w:w="2098"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0,25РП + 12 при РП от 2 до 40;</w:t>
            </w:r>
          </w:p>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0,1РП + 18, но не более 27 при РП свыше 40</w:t>
            </w:r>
          </w:p>
        </w:tc>
      </w:tr>
      <w:tr>
        <w:tc>
          <w:tcPr>
            <w:tcW w:w="1525"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289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Свыше 15 до 40 включительно</w:t>
            </w:r>
          </w:p>
        </w:tc>
        <w:tc>
          <w:tcPr>
            <w:tcW w:w="2494"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1,5 (0,05РП + 2,0)</w:t>
            </w:r>
          </w:p>
        </w:tc>
        <w:tc>
          <w:tcPr>
            <w:tcW w:w="2098"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r>
      <w:tr>
        <w:tc>
          <w:tcPr>
            <w:tcW w:w="1525"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289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Свыше 40</w:t>
            </w:r>
          </w:p>
        </w:tc>
        <w:tc>
          <w:tcPr>
            <w:tcW w:w="2494"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1,5 (0,025РП + 3), но не более 8,0</w:t>
            </w:r>
          </w:p>
        </w:tc>
        <w:tc>
          <w:tcPr>
            <w:tcW w:w="2098"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r>
      <w:tr>
        <w:tc>
          <w:tcPr>
            <w:tcW w:w="1525"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Одиночные протяженные включения</w:t>
            </w:r>
          </w:p>
        </w:tc>
        <w:tc>
          <w:tcPr>
            <w:tcW w:w="289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От 2,0 до 5 включительно</w:t>
            </w:r>
          </w:p>
        </w:tc>
        <w:tc>
          <w:tcPr>
            <w:tcW w:w="2494"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0,15РП + 5, но не более 14</w:t>
            </w:r>
          </w:p>
        </w:tc>
        <w:tc>
          <w:tcPr>
            <w:tcW w:w="209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2</w:t>
            </w:r>
          </w:p>
        </w:tc>
      </w:tr>
      <w:tr>
        <w:tc>
          <w:tcPr>
            <w:tcW w:w="1525"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289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Свыше 5 до 50 включительно</w:t>
            </w:r>
          </w:p>
        </w:tc>
        <w:tc>
          <w:tcPr>
            <w:tcW w:w="2494"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209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3</w:t>
            </w:r>
          </w:p>
        </w:tc>
      </w:tr>
      <w:tr>
        <w:tc>
          <w:tcPr>
            <w:tcW w:w="1525"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289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Свыше 50</w:t>
            </w:r>
          </w:p>
        </w:tc>
        <w:tc>
          <w:tcPr>
            <w:tcW w:w="2494"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209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4</w:t>
            </w:r>
          </w:p>
        </w:tc>
      </w:tr>
    </w:tbl>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12.5. При проведении ультразвукового контроля качество сварных соединений считается удовлетворительным при соблюдении следующих условий: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выявленные несплошности не являются протяженными (условная протяженность несплошности не должна превышать условную протяженность соответствующего эталонного отражателя);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расстояние по поверхности сканирования между двумя соседними несплошностями не менее условной протяженности несплошности с большим значением этого показателя (несплошности являются одиночными);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эквивалентные площади и количество одиночных несплошностей не превышают нормы, установленные в НД.</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12.6. Качество сварных соединений по результатам механических испытаний считается удовлетворительным при условии выполнения следующих требований: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а) временное сопротивление должно быть не ниже минимально допустимого для основного металла, а при испытании сварных соединений элементов с разными нормативными значениями временного сопротивления этот показатель - не ниже минимально допустимого для менее прочного основного металла.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б) угол изгиба при испытании на статический изгиб и просвет между сжимаемыми поверхностями при испытании на сплющивание сварных стыков труб наружным диаметром менее 108 мм при толщине стенки менее 12 мм должны соответствовать требованиям таблицы 12.3.</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right"/>
        <w:outlineLvl w:val="2"/>
        <w:rPr>
          <w:rFonts w:ascii="TimesNewRoman" w:hAnsi="TimesNewRoman" w:eastAsia="TimesNewRoman" w:cs="TimesNewRoman"/>
          <w:sz w:val="24"/>
        </w:rPr>
      </w:pPr>
      <w:r>
        <w:rPr>
          <w:rFonts w:ascii="TimesNewRoman" w:hAnsi="TimesNewRoman" w:eastAsia="TimesNewRoman" w:cs="TimesNewRoman"/>
          <w:sz w:val="24"/>
        </w:rPr>
        <w:t xml:space="preserve">Таблица 12.3</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Требования к результатам испытания сварных соединений</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на изгиб и сплющивания</w:t>
      </w:r>
    </w:p>
    <w:p>
      <w:pPr>
        <w:pStyle w:val="Style_180"/>
        <w:spacing w:before="0" w:after="0" w:line="240" w:lineRule="auto"/>
        <w:ind w:left="0" w:firstLine="0"/>
        <w:jc w:val="both"/>
        <w:rPr>
          <w:rFonts w:ascii="Arial" w:hAnsi="Arial" w:eastAsia="Arial" w:cs="Arial"/>
          <w:sz w:val="24"/>
        </w:rPr>
      </w:pPr>
    </w:p>
    <w:tbl>
      <w:tblPr>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62" w:type="dxa"/>
          <w:top w:w="102" w:type="dxa"/>
          <w:right w:w="62" w:type="dxa"/>
          <w:bottom w:w="102" w:type="dxa"/>
        </w:tblCellMar>
      </w:tblPr>
      <w:tblGrid>
        <w:gridCol w:w="3812"/>
        <w:gridCol w:w="1728"/>
        <w:gridCol w:w="1368"/>
        <w:gridCol w:w="2098"/>
      </w:tblGrid>
      <w:tr>
        <w:tc>
          <w:tcPr>
            <w:tcW w:w="3812"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Тип (класс) стали сваренных деталей</w:t>
            </w:r>
          </w:p>
        </w:tc>
        <w:tc>
          <w:tcPr>
            <w:tcW w:w="172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Номинальная толщина сваренных деталей s, мм</w:t>
            </w:r>
          </w:p>
        </w:tc>
        <w:tc>
          <w:tcPr>
            <w:tcW w:w="136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Угол изгиба при испытании на изгиб, град, не менее</w:t>
            </w:r>
          </w:p>
        </w:tc>
        <w:tc>
          <w:tcPr>
            <w:tcW w:w="209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Просвет между сжимаемыми поверхностями при испытании на сплющивание (мм), не более</w:t>
            </w:r>
          </w:p>
        </w:tc>
      </w:tr>
      <w:tr>
        <w:tc>
          <w:tcPr>
            <w:tcW w:w="3812"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Углеродистые</w:t>
            </w:r>
          </w:p>
        </w:tc>
        <w:tc>
          <w:tcPr>
            <w:tcW w:w="172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До 20 включительно</w:t>
            </w:r>
          </w:p>
        </w:tc>
        <w:tc>
          <w:tcPr>
            <w:tcW w:w="136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100 (70 для газовой сварки)</w:t>
            </w:r>
          </w:p>
        </w:tc>
        <w:tc>
          <w:tcPr>
            <w:tcW w:w="209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4s</w:t>
            </w:r>
          </w:p>
        </w:tc>
      </w:tr>
      <w:tr>
        <w:tc>
          <w:tcPr>
            <w:tcW w:w="3812"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172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Свыше 20</w:t>
            </w:r>
          </w:p>
        </w:tc>
        <w:tc>
          <w:tcPr>
            <w:tcW w:w="136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80</w:t>
            </w:r>
          </w:p>
        </w:tc>
        <w:tc>
          <w:tcPr>
            <w:tcW w:w="209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w:t>
            </w:r>
          </w:p>
        </w:tc>
      </w:tr>
      <w:tr>
        <w:tc>
          <w:tcPr>
            <w:tcW w:w="3812"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Марганцевые и кремнемарганцевые</w:t>
            </w:r>
          </w:p>
        </w:tc>
        <w:tc>
          <w:tcPr>
            <w:tcW w:w="172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До 20 включительно</w:t>
            </w:r>
          </w:p>
        </w:tc>
        <w:tc>
          <w:tcPr>
            <w:tcW w:w="136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80 (50 для газовой сварки)</w:t>
            </w:r>
          </w:p>
        </w:tc>
        <w:tc>
          <w:tcPr>
            <w:tcW w:w="209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5s</w:t>
            </w:r>
          </w:p>
        </w:tc>
      </w:tr>
      <w:tr>
        <w:tc>
          <w:tcPr>
            <w:tcW w:w="3812"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172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Свыше 20</w:t>
            </w:r>
          </w:p>
        </w:tc>
        <w:tc>
          <w:tcPr>
            <w:tcW w:w="136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60</w:t>
            </w:r>
          </w:p>
        </w:tc>
        <w:tc>
          <w:tcPr>
            <w:tcW w:w="209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w:t>
            </w:r>
          </w:p>
        </w:tc>
      </w:tr>
      <w:tr>
        <w:tc>
          <w:tcPr>
            <w:tcW w:w="3812"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Марганцевоникельмолибденовые, хромомолибденовые и хромомолибденованадиевые перлитного класса и высоколегированные хромистые мартенситно-ферритного класса</w:t>
            </w:r>
          </w:p>
        </w:tc>
        <w:tc>
          <w:tcPr>
            <w:tcW w:w="172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До 20 включительно</w:t>
            </w:r>
          </w:p>
        </w:tc>
        <w:tc>
          <w:tcPr>
            <w:tcW w:w="136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50</w:t>
            </w:r>
          </w:p>
        </w:tc>
        <w:tc>
          <w:tcPr>
            <w:tcW w:w="209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6s</w:t>
            </w:r>
          </w:p>
        </w:tc>
      </w:tr>
      <w:tr>
        <w:tc>
          <w:tcPr>
            <w:tcW w:w="3812"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172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Свыше 20</w:t>
            </w:r>
          </w:p>
        </w:tc>
        <w:tc>
          <w:tcPr>
            <w:tcW w:w="136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40</w:t>
            </w:r>
          </w:p>
        </w:tc>
        <w:tc>
          <w:tcPr>
            <w:tcW w:w="209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w:t>
            </w:r>
          </w:p>
        </w:tc>
      </w:tr>
      <w:tr>
        <w:tc>
          <w:tcPr>
            <w:tcW w:w="3812"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Хромоникелевые и хромомарганцевые аустенитного класса</w:t>
            </w:r>
          </w:p>
        </w:tc>
        <w:tc>
          <w:tcPr>
            <w:tcW w:w="172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До 20 включительно</w:t>
            </w:r>
          </w:p>
        </w:tc>
        <w:tc>
          <w:tcPr>
            <w:tcW w:w="136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150</w:t>
            </w:r>
          </w:p>
        </w:tc>
        <w:tc>
          <w:tcPr>
            <w:tcW w:w="209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4s</w:t>
            </w:r>
          </w:p>
        </w:tc>
      </w:tr>
      <w:tr>
        <w:tc>
          <w:tcPr>
            <w:tcW w:w="3812"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172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Свыше 20</w:t>
            </w:r>
          </w:p>
        </w:tc>
        <w:tc>
          <w:tcPr>
            <w:tcW w:w="136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120</w:t>
            </w:r>
          </w:p>
        </w:tc>
        <w:tc>
          <w:tcPr>
            <w:tcW w:w="209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w:t>
            </w:r>
          </w:p>
        </w:tc>
      </w:tr>
    </w:tbl>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 ударная вязкость при испытании на ударный изгиб образцов типа VI с надрезом по шву должна быть не менее: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49 Дж/см (5 кгс·м/см) - для сварных соединений элементов из сталей перлитного класса и высоколегированных сталей мартенситно-ферритного класса;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69 Дж/см (7 кгс·м/см) - для сварных соединений элементов из хромоникелевых сталей аустенитного класса.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12.7. Нормы оценки качества сварных соединений по результатам металлографических исследований должны соответствовать требованиям НД. При этом недопустимыми дефектами являются дефекты, указанные в .</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right"/>
        <w:outlineLvl w:val="1"/>
        <w:rPr>
          <w:rFonts w:ascii="TimesNewRoman" w:hAnsi="TimesNewRoman" w:eastAsia="TimesNewRoman" w:cs="TimesNewRoman"/>
          <w:sz w:val="24"/>
        </w:rPr>
      </w:pPr>
      <w:r>
        <w:rPr>
          <w:rFonts w:ascii="TimesNewRoman" w:hAnsi="TimesNewRoman" w:eastAsia="TimesNewRoman" w:cs="TimesNewRoman"/>
          <w:sz w:val="24"/>
        </w:rPr>
        <w:t xml:space="preserve">Приложение N 3</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к федеральным нормам и правилам</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в области промышленной безопасности</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"Правила промышленной безопасности</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при использовании оборудования,</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работающего под избыточным давлением",</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утвержденным приказом Федеральной</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службы по экологическому,</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технологическому и атомному надзору</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от 15.12.2020 г. N 536</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РЕКОМЕНДУЕМЫЙ ОБРАЗЕЦ</w:t>
      </w:r>
    </w:p>
    <w:p>
      <w:pPr>
        <w:pStyle w:val="Style_180"/>
        <w:spacing w:before="0" w:after="0" w:line="240" w:lineRule="auto"/>
        <w:ind w:left="0" w:firstLine="0"/>
        <w:jc w:val="both"/>
        <w:rPr>
          <w:rFonts w:ascii="TimesNewRoman" w:hAnsi="TimesNewRoman" w:eastAsia="TimesNewRoman" w:cs="TimesNewRoman"/>
          <w:sz w:val="24"/>
        </w:rPr>
      </w:pPr>
    </w:p>
    <w:p>
      <w:pPr>
        <w:pStyle w:val="Style_181"/>
        <w:spacing w:before="0" w:after="0" w:line="240" w:lineRule="auto"/>
        <w:ind w:left="0" w:firstLine="0"/>
        <w:jc w:val="both"/>
        <w:rPr>
          <w:rFonts w:ascii="CourierNew" w:hAnsi="CourierNew" w:eastAsia="CourierNew" w:cs="CourierNew"/>
          <w:sz w:val="20"/>
        </w:rPr>
      </w:pPr>
      <w:bookmarkStart w:id="69" w:name="Par2754"/>
      <w:bookmarkEnd w:id="69"/>
      <w:r>
        <w:rPr>
          <w:rFonts w:ascii="CourierNew" w:hAnsi="CourierNew" w:eastAsia="CourierNew" w:cs="CourierNew"/>
          <w:sz w:val="20"/>
        </w:rPr>
        <w:t xml:space="preserve">                                    АКТ</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ГОТОВНОСТИ ОБОРУДОВАНИЯ, РАБОТАЮЩЕГО ПОД ИЗБЫТОЧНЫМ</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ДАВЛЕНИЕМ, К ВВОДУ В ЭКСПЛУАТАЦИЮ</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                        "__" __________ 20__ г.</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(место составления акта)</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Комиссия, назначенная приказом ________________________________, в составе:</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(наименование организации,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реквизиты документа)</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председатель   комиссии   (уполномоченный   представитель   эксплуатирующей</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организации)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(должность, Ф.И.О., наименование организации)</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члены комиссии:</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специалисты  эксплуатирующей  организации,  ответственные  за осуществление</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производственного   контроля   и   за   исправное  состояние  и  безопасную</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эксплуатацию оборудования (на основании 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(реквизиты распорядительного</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документа)</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(должность, Ф.И.О., наименование организации)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(должность, Ф.И.О., наименование организации)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(должность, Ф.И.О., наименование организации)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уполномоченный представитель монтажной организации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(должность, Ф.И.О., наименование организации)</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уполномоченный  представитель  Ростехнадзора  (уполномоченный представитель</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федерального   органа  исполнительной  власти  при  осуществлении  проверок</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оборудования,  подведомственного  иным  федеральным  органам исполнительной</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власти)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(должность, Ф.И.О., наименование органа)</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уполномоченный представитель организации, проводившей первичное техническое</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освидетельствование (по согласованию)</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(должность, Ф.И.О., наименование организации)</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уполномоченный    представитель    организации,    проводившей   экспертизу</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промышленной безопасности (по согласованию)</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(должность, Ф.И.О., наименование организации)</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уполномоченный  представитель  организации-изготовителя  и (или) поставщика</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оборудования (по согласованию)</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(должность, Ф.И.О., наименование организации)</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уполномоченный    представитель    организации,   ранее   эксплуатировавшей</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оборудование (по согласованию)</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(должность, Ф.И.О., наименование организации)</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в  период  с "__" __________ ____ г. по "__" __________ ____ г., провела(и)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проверку готовности к пуску в работу и организацию надзора за эксплуатацией</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установленного по адресу 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(адрес места установки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оборудования)</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(указываются наименование, марка, модель оборудования</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под давлением, его заводской (серийный,</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идентификационный) номер и технические</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характеристики)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(При  проведении  проверки  в  случаях,  указанных в  ФНП, вместо</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сведений  о  назначении  и  составе  комиссии, а также подписей ее членов в</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соответствующих  разделах  акта,  указываются  реквизиты  распорядительного</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документа,   являющегося   основанием   для  проверки,  сведения  о  лицах,</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проводивших  проверку  (Фамилии, имена, отчества (если имеются) и должности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специалистов) и их подписи).</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РЕЗУЛЬТАТЫ ПРОВЕРКИ:</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1. Краткие сведения об оборудовании, работающем под избыточным давлением</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(указываются сведения, предусмотренные </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пункта 224 ФНП ОРПД)</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2. При проведении проверки готовности ___________________________ к пуску</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(наименование оборудования)</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в работу установлено:</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а) в   комплект    документации    организации-изготовителя   оборудования,</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документации,  удостоверяющей качество монтажа (полноту и качество работ по</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ремонту или реконструкции), документов, подтверждающих приемку оборудования</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после окончания пусконаладочных работ, а также документации, подтверждающей</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соответствие оборудования требованиям законодательства Российской Федерации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о  техническом  регулировании  и  статьи  7  Федерального  закона  N 116-ФЗ</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включены следующие документы:</w:t>
      </w:r>
    </w:p>
    <w:p>
      <w:pPr>
        <w:pStyle w:val="Style_180"/>
        <w:spacing w:before="0" w:after="0" w:line="240" w:lineRule="auto"/>
        <w:ind w:left="0" w:firstLine="0"/>
        <w:jc w:val="both"/>
        <w:rPr>
          <w:rFonts w:ascii="CourierNew" w:hAnsi="CourierNew" w:eastAsia="CourierNew" w:cs="CourierNew"/>
          <w:sz w:val="24"/>
        </w:rPr>
      </w:pPr>
    </w:p>
    <w:tbl>
      <w:tblPr>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62" w:type="dxa"/>
          <w:top w:w="102" w:type="dxa"/>
          <w:right w:w="62" w:type="dxa"/>
          <w:bottom w:w="102" w:type="dxa"/>
        </w:tblCellMar>
      </w:tblPr>
      <w:tblGrid>
        <w:gridCol w:w="675"/>
        <w:gridCol w:w="4139"/>
        <w:gridCol w:w="4195"/>
      </w:tblGrid>
      <w:tr>
        <w:tc>
          <w:tcPr>
            <w:tcW w:w="67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N п/п</w:t>
            </w:r>
          </w:p>
        </w:tc>
        <w:tc>
          <w:tcPr>
            <w:tcW w:w="4139"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Наименование документа</w:t>
            </w:r>
          </w:p>
        </w:tc>
        <w:tc>
          <w:tcPr>
            <w:tcW w:w="419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соответствует/не соответствует</w:t>
            </w:r>
          </w:p>
        </w:tc>
      </w:tr>
      <w:tr>
        <w:tc>
          <w:tcPr>
            <w:tcW w:w="67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4139"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419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r>
      <w:tr>
        <w:tc>
          <w:tcPr>
            <w:tcW w:w="67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4139"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419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r>
      <w:tr>
        <w:tc>
          <w:tcPr>
            <w:tcW w:w="67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4139"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419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r>
    </w:tbl>
    <w:p>
      <w:pPr>
        <w:pStyle w:val="Style_180"/>
        <w:spacing w:before="0" w:after="0" w:line="240" w:lineRule="auto"/>
        <w:ind w:left="0" w:firstLine="0"/>
        <w:jc w:val="both"/>
        <w:rPr>
          <w:rFonts w:ascii="TimesNewRoman" w:hAnsi="TimesNewRoman" w:eastAsia="TimesNewRoman" w:cs="TimesNewRoman"/>
          <w:sz w:val="24"/>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б) техническое освидетельствование ____________________________ проведено</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(наименование оборудования)</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______________________________________________, по результатам технического</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(наименование организации и дата</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проведения технического освидетельствования)</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освидетельствования составлен 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(наименование и реквизиты документа)</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с выводом о возможности эксплуатации оборудования;</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в) по результатам пусконаладочных испытаний и комплексного опробования</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оборудования, проведенных 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(наименование организации и дата проведения)</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составлен(ы) 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(наименование и реквизиты документа(ов))</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3. При   проведении   проверки   организации   надзора   за   эксплуатацией</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 установлено:</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(наименование оборудования)</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а)  оснащение  оборудования арматурой, контрольно-измерительными приборами,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приборами безопасности и технологическими защитами 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(соответствует/</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не соответствует)</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проекту,  исправность арматуры, контрольно-измерительных приборов, приборов</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безопасности и технологических защит подтверждается</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(наименования и реквизиты подтверждающих документов)</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б) _________________________ установлено 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(наименование оборудования)                 (в соответствии с требованиями/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с нарушением требований)</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промышленной      безопасности,      схема      включения      оборудования</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(соответствует/не соответствует)</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требованиям изготовителя оборудования, указанным в руководстве (инструкции)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по эксплуатации;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в) для обеспечения безопасной эксплуатации оборудования</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 назначены следующие специалисты:</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(наименование и реквизиты документа)</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(должности, фамилии, имена, отчества (если имеются)</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назначенных специалистов, реквизиты протоколов аттестации)</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Обслуживание оборудования осуществляется следующим персоналом:</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(профессия, фактическое количество персонала данной</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профессии, реквизиты документа о допуске</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к самостоятельной работе)</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 требованиям проектной документации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(соответствует/не соответствует)</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руководства (инструкции) по эксплуатации изготовителя  оборудования и  ФНП;</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г) для  ответственных  лиц  и  специалистов,  осуществляющих  эксплуатацию</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оборудования, разработаны должностные инструкции: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(наименования и даты утверждения должностных инструкций)</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д) для обслуживающего персонала разработаны производственные инструкции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 для обеспечения контроля за работой</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(наименования и даты утверждения</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производственных инструкций)</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оборудования разработаны __________________________________________________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(наименования и даты утверждения эксплуатационных</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документов, предусмотренных ФНП ОРПД)</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е) питательные приборы котла _________________________________ проекту 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(соответствуют/не соответствуют)</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находятся в ____________________________ состоянии, что подтверждается</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(исправном/неисправном)</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(наименование и реквизиты документов) (заполняется</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при проведении проверки котла);</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ж) водно-химический режим котла ______________________ требованиям ФНП ОРПД</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(соответствует/не</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соответствует)</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(заполняется при проведении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проверки котла);</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з) дополнительная информация, предусмотренная ФНП ОРПД, инструкциями по</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эксплуатации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4. Особое мнение члена (членов) комиссии (при наличии)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ВЫВОДЫ И РЕКОМЕНДАЦИИ:</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_______________________ _________________________ установленным требованиям</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(наименование оборудования, заводской N)</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(соответствует/не соответствует)</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и _______________________ быть допущено в эксплуатацию.</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(может/не может)</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Рекомендации ______________________________________________________________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Приложение: _______________________________________________________________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(указываются документы, прикладываемые к акту готовности,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с их реквизитами, в том числе особое мнение членов комиссии</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при его наличии)</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Подписи:</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Председатель комиссии: ____________________________________________________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(Ф.И.О., подпись)</w:t>
      </w:r>
    </w:p>
    <w:p>
      <w:pPr>
        <w:pStyle w:val="Style_181"/>
        <w:spacing w:before="0" w:after="0" w:line="240" w:lineRule="auto"/>
        <w:ind w:left="0" w:firstLine="0"/>
        <w:jc w:val="both"/>
        <w:rPr>
          <w:rFonts w:ascii="CourierNew" w:hAnsi="CourierNew" w:eastAsia="CourierNew" w:cs="CourierNew"/>
          <w:sz w:val="20"/>
        </w:rPr>
      </w:pP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Члены комиссии: ________________________________________________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(Ф.И.О., подпись)</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(Ф.И.О., подпись)</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(Ф.И.О., подпись)</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_______________________________________________</w:t>
      </w:r>
    </w:p>
    <w:p>
      <w:pPr>
        <w:pStyle w:val="Style_181"/>
        <w:spacing w:before="0" w:after="0" w:line="240" w:lineRule="auto"/>
        <w:ind w:left="0" w:firstLine="0"/>
        <w:jc w:val="both"/>
        <w:rPr>
          <w:rFonts w:ascii="CourierNew" w:hAnsi="CourierNew" w:eastAsia="CourierNew" w:cs="CourierNew"/>
          <w:sz w:val="20"/>
        </w:rPr>
      </w:pPr>
      <w:r>
        <w:rPr>
          <w:rFonts w:ascii="CourierNew" w:hAnsi="CourierNew" w:eastAsia="CourierNew" w:cs="CourierNew"/>
          <w:sz w:val="20"/>
        </w:rPr>
        <w:t xml:space="preserve">                        (Ф.И.О., подпись)</w:t>
      </w:r>
    </w:p>
    <w:p>
      <w:pPr>
        <w:pStyle w:val="Style_180"/>
        <w:spacing w:before="0" w:after="0" w:line="240" w:lineRule="auto"/>
        <w:ind w:left="0" w:firstLine="0"/>
        <w:jc w:val="both"/>
        <w:rPr>
          <w:rFonts w:ascii="CourierNew" w:hAnsi="CourierNew" w:eastAsia="CourierNew" w:cs="CourierNew"/>
          <w:sz w:val="24"/>
        </w:rPr>
      </w:pPr>
    </w:p>
    <w:p>
      <w:pPr>
        <w:pStyle w:val="Style_180"/>
        <w:spacing w:before="0" w:after="0" w:line="240" w:lineRule="auto"/>
        <w:ind w:left="0" w:firstLine="0"/>
        <w:jc w:val="both"/>
        <w:rPr>
          <w:rFonts w:ascii="CourierNew" w:hAnsi="CourierNew" w:eastAsia="CourierNew" w:cs="CourierNew"/>
          <w:sz w:val="24"/>
        </w:rPr>
      </w:pPr>
    </w:p>
    <w:p>
      <w:pPr>
        <w:pStyle w:val="Style_180"/>
        <w:spacing w:before="0" w:after="0" w:line="240" w:lineRule="auto"/>
        <w:ind w:left="0" w:firstLine="0"/>
        <w:jc w:val="both"/>
        <w:rPr>
          <w:rFonts w:ascii="CourierNew" w:hAnsi="CourierNew" w:eastAsia="CourierNew" w:cs="CourierNew"/>
          <w:sz w:val="24"/>
        </w:rPr>
      </w:pPr>
    </w:p>
    <w:p>
      <w:pPr>
        <w:pStyle w:val="Style_180"/>
        <w:spacing w:before="0" w:after="0" w:line="240" w:lineRule="auto"/>
        <w:ind w:left="0" w:firstLine="0"/>
        <w:jc w:val="both"/>
        <w:rPr>
          <w:rFonts w:ascii="CourierNew" w:hAnsi="CourierNew" w:eastAsia="CourierNew" w:cs="CourierNew"/>
          <w:sz w:val="24"/>
        </w:rPr>
      </w:pPr>
    </w:p>
    <w:p>
      <w:pPr>
        <w:pStyle w:val="Style_180"/>
        <w:spacing w:before="0" w:after="0" w:line="240" w:lineRule="auto"/>
        <w:ind w:left="0" w:firstLine="0"/>
        <w:jc w:val="both"/>
        <w:rPr>
          <w:rFonts w:ascii="CourierNew" w:hAnsi="CourierNew" w:eastAsia="CourierNew" w:cs="CourierNew"/>
          <w:sz w:val="24"/>
        </w:rPr>
      </w:pPr>
    </w:p>
    <w:p>
      <w:pPr>
        <w:pStyle w:val="Style_180"/>
        <w:spacing w:before="0" w:after="0" w:line="240" w:lineRule="auto"/>
        <w:ind w:left="0" w:firstLine="0"/>
        <w:jc w:val="right"/>
        <w:outlineLvl w:val="1"/>
        <w:rPr>
          <w:rFonts w:ascii="TimesNewRoman" w:hAnsi="TimesNewRoman" w:eastAsia="TimesNewRoman" w:cs="TimesNewRoman"/>
          <w:sz w:val="24"/>
        </w:rPr>
      </w:pPr>
      <w:r>
        <w:rPr>
          <w:rFonts w:ascii="TimesNewRoman" w:hAnsi="TimesNewRoman" w:eastAsia="TimesNewRoman" w:cs="TimesNewRoman"/>
          <w:sz w:val="24"/>
        </w:rPr>
        <w:t xml:space="preserve">Приложение N 5</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к федеральным нормам и правилам</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в области промышленной безопасности</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"Правила промышленной безопасности</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при использовании оборудования,</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работающего под избыточным давлением",</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утвержденным приказом Федеральной</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службы по экологическому,</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технологическому и атомному надзору</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от ____________ г. N ____</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center"/>
        <w:rPr>
          <w:rFonts w:ascii="TimesNewRoman" w:hAnsi="TimesNewRoman" w:eastAsia="TimesNewRoman" w:cs="TimesNewRoman"/>
          <w:sz w:val="24"/>
        </w:rPr>
      </w:pPr>
      <w:bookmarkStart w:id="70" w:name="Par3022"/>
      <w:bookmarkEnd w:id="70"/>
      <w:r>
        <w:rPr>
          <w:rFonts w:ascii="TimesNewRoman" w:hAnsi="TimesNewRoman" w:eastAsia="TimesNewRoman" w:cs="TimesNewRoman"/>
          <w:sz w:val="24"/>
        </w:rPr>
        <w:t xml:space="preserve">Рекомендуемые образцы эксплуатационной документации,</w:t>
      </w: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обеспечивающей возможность внесения информации об истории</w:t>
      </w: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эксплуатации оборудования</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center"/>
        <w:outlineLvl w:val="2"/>
        <w:rPr>
          <w:rFonts w:ascii="TimesNewRoman" w:hAnsi="TimesNewRoman" w:eastAsia="TimesNewRoman" w:cs="TimesNewRoman"/>
          <w:sz w:val="24"/>
        </w:rPr>
      </w:pPr>
      <w:r>
        <w:rPr>
          <w:rFonts w:ascii="TimesNewRoman" w:hAnsi="TimesNewRoman" w:eastAsia="TimesNewRoman" w:cs="TimesNewRoman"/>
          <w:sz w:val="24"/>
        </w:rPr>
        <w:t xml:space="preserve">1. Сведения о местонахождении</w:t>
      </w: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___________________________________________________________</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(указывается вид (тип) оборудования под давлением (котел,</w:t>
      </w: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сосуд, трубопровод), дата выпуска (изготовления)/ввода</w:t>
      </w: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в эксплуатацию/срок безопасной эксплуатации</w:t>
      </w:r>
    </w:p>
    <w:p>
      <w:pPr>
        <w:pStyle w:val="Style_180"/>
        <w:spacing w:before="0" w:after="0" w:line="240" w:lineRule="auto"/>
        <w:ind w:left="0" w:firstLine="0"/>
        <w:jc w:val="both"/>
        <w:rPr>
          <w:rFonts w:ascii="TimesNewRoman" w:hAnsi="TimesNewRoman" w:eastAsia="TimesNewRoman" w:cs="TimesNewRoman"/>
          <w:sz w:val="24"/>
        </w:rPr>
      </w:pPr>
    </w:p>
    <w:tbl>
      <w:tblPr>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62" w:type="dxa"/>
          <w:top w:w="102" w:type="dxa"/>
          <w:right w:w="62" w:type="dxa"/>
          <w:bottom w:w="102" w:type="dxa"/>
        </w:tblCellMar>
      </w:tblPr>
      <w:tblGrid>
        <w:gridCol w:w="2036"/>
        <w:gridCol w:w="5046"/>
        <w:gridCol w:w="1928"/>
      </w:tblGrid>
      <w:tr>
        <w:tc>
          <w:tcPr>
            <w:tcW w:w="2036"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Наименование эксплуатирующей организации</w:t>
            </w:r>
          </w:p>
        </w:tc>
        <w:tc>
          <w:tcPr>
            <w:tcW w:w="5046"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Местонахождение оборудования (адрес места установки, наименование ОПО и структурного подразделения (цех, участок)</w:t>
            </w:r>
          </w:p>
        </w:tc>
        <w:tc>
          <w:tcPr>
            <w:tcW w:w="192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Дата установки</w:t>
            </w:r>
          </w:p>
        </w:tc>
      </w:tr>
      <w:tr>
        <w:tc>
          <w:tcPr>
            <w:tcW w:w="2036"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5046"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192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r>
      <w:tr>
        <w:tc>
          <w:tcPr>
            <w:tcW w:w="2036"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5046"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192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r>
      <w:tr>
        <w:tc>
          <w:tcPr>
            <w:tcW w:w="2036"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5046"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192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r>
    </w:tbl>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center"/>
        <w:outlineLvl w:val="2"/>
        <w:rPr>
          <w:rFonts w:ascii="TimesNewRoman" w:hAnsi="TimesNewRoman" w:eastAsia="TimesNewRoman" w:cs="TimesNewRoman"/>
          <w:sz w:val="24"/>
        </w:rPr>
      </w:pPr>
      <w:r>
        <w:rPr>
          <w:rFonts w:ascii="TimesNewRoman" w:hAnsi="TimesNewRoman" w:eastAsia="TimesNewRoman" w:cs="TimesNewRoman"/>
          <w:sz w:val="24"/>
        </w:rPr>
        <w:t xml:space="preserve">2. Лицо, ответственное за исправное состояние</w:t>
      </w: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и безопасную эксплуатацию</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___________________________________________________________</w:t>
      </w: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(указывается вид (тип) оборудования под давлением</w:t>
      </w: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(котел, сосуд, трубопровод)</w:t>
      </w:r>
    </w:p>
    <w:p>
      <w:pPr>
        <w:pStyle w:val="Style_180"/>
        <w:spacing w:before="0" w:after="0" w:line="240" w:lineRule="auto"/>
        <w:ind w:left="0" w:firstLine="0"/>
        <w:jc w:val="both"/>
        <w:rPr>
          <w:rFonts w:ascii="TimesNewRoman" w:hAnsi="TimesNewRoman" w:eastAsia="TimesNewRoman" w:cs="TimesNewRoman"/>
          <w:sz w:val="24"/>
        </w:rPr>
      </w:pPr>
    </w:p>
    <w:tbl>
      <w:tblPr>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62" w:type="dxa"/>
          <w:top w:w="102" w:type="dxa"/>
          <w:right w:w="62" w:type="dxa"/>
          <w:bottom w:w="102" w:type="dxa"/>
        </w:tblCellMar>
      </w:tblPr>
      <w:tblGrid>
        <w:gridCol w:w="2036"/>
        <w:gridCol w:w="3118"/>
        <w:gridCol w:w="2154"/>
        <w:gridCol w:w="1701"/>
      </w:tblGrid>
      <w:tr>
        <w:tc>
          <w:tcPr>
            <w:tcW w:w="2036"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Номер и дата приказа о назначении</w:t>
            </w:r>
          </w:p>
        </w:tc>
        <w:tc>
          <w:tcPr>
            <w:tcW w:w="311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Должность, фамилия, имя, отчество (если имеется)</w:t>
            </w:r>
          </w:p>
        </w:tc>
        <w:tc>
          <w:tcPr>
            <w:tcW w:w="2154"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Дата проверки знаний Правил</w:t>
            </w:r>
          </w:p>
        </w:tc>
        <w:tc>
          <w:tcPr>
            <w:tcW w:w="170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Подпись</w:t>
            </w:r>
          </w:p>
        </w:tc>
      </w:tr>
      <w:tr>
        <w:tc>
          <w:tcPr>
            <w:tcW w:w="2036"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311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2154"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170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r>
      <w:tr>
        <w:tc>
          <w:tcPr>
            <w:tcW w:w="2036"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311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2154"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170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r>
      <w:tr>
        <w:tc>
          <w:tcPr>
            <w:tcW w:w="2036"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311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2154"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170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r>
    </w:tbl>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center"/>
        <w:outlineLvl w:val="2"/>
        <w:rPr>
          <w:rFonts w:ascii="TimesNewRoman" w:hAnsi="TimesNewRoman" w:eastAsia="TimesNewRoman" w:cs="TimesNewRoman"/>
          <w:sz w:val="24"/>
        </w:rPr>
      </w:pPr>
      <w:r>
        <w:rPr>
          <w:rFonts w:ascii="TimesNewRoman" w:hAnsi="TimesNewRoman" w:eastAsia="TimesNewRoman" w:cs="TimesNewRoman"/>
          <w:sz w:val="24"/>
        </w:rPr>
        <w:t xml:space="preserve">3. Сведения об установленной арматуре</w:t>
      </w: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(не указанной в паспорте организацией-изготовителем</w:t>
      </w: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оборудования, в случае если она не входит в комплект</w:t>
      </w: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поставки оборудования, а также в случае ее замены</w:t>
      </w: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при ремонте или реконструкции)</w:t>
      </w:r>
    </w:p>
    <w:p>
      <w:pPr>
        <w:pStyle w:val="Style_180"/>
        <w:spacing w:before="0" w:after="0" w:line="240" w:lineRule="auto"/>
        <w:ind w:left="0" w:firstLine="0"/>
        <w:jc w:val="both"/>
        <w:rPr>
          <w:rFonts w:ascii="TimesNewRoman" w:hAnsi="TimesNewRoman" w:eastAsia="TimesNewRoman" w:cs="TimesNewRoman"/>
          <w:sz w:val="24"/>
        </w:rPr>
      </w:pPr>
    </w:p>
    <w:tbl>
      <w:tblPr>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62" w:type="dxa"/>
          <w:top w:w="102" w:type="dxa"/>
          <w:right w:w="62" w:type="dxa"/>
          <w:bottom w:w="102" w:type="dxa"/>
        </w:tblCellMar>
      </w:tblPr>
      <w:tblGrid>
        <w:gridCol w:w="675"/>
        <w:gridCol w:w="691"/>
        <w:gridCol w:w="768"/>
        <w:gridCol w:w="974"/>
        <w:gridCol w:w="1020"/>
        <w:gridCol w:w="680"/>
        <w:gridCol w:w="794"/>
        <w:gridCol w:w="850"/>
        <w:gridCol w:w="1304"/>
        <w:gridCol w:w="1247"/>
      </w:tblGrid>
      <w:tr>
        <w:tc>
          <w:tcPr>
            <w:tcW w:w="675"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Наименование</w:t>
            </w:r>
          </w:p>
        </w:tc>
        <w:tc>
          <w:tcPr>
            <w:tcW w:w="691"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Дата установки</w:t>
            </w:r>
          </w:p>
        </w:tc>
        <w:tc>
          <w:tcPr>
            <w:tcW w:w="768"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Количество</w:t>
            </w:r>
          </w:p>
        </w:tc>
        <w:tc>
          <w:tcPr>
            <w:tcW w:w="974"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Номинальный диаметр, мм, тип, марка</w:t>
            </w:r>
          </w:p>
        </w:tc>
        <w:tc>
          <w:tcPr>
            <w:tcW w:w="1020"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Номинальное давление, МПа (кгс/см</w:t>
            </w:r>
            <w:r>
              <w:rPr>
                <w:rFonts w:ascii="TimesNewRoman" w:hAnsi="TimesNewRoman" w:eastAsia="TimesNewRoman" w:cs="TimesNewRoman"/>
                <w:sz w:val="24"/>
                <w:vertAlign w:val="superscript"/>
              </w:rPr>
              <w:t xml:space="preserve">2</w:t>
            </w:r>
            <w:r>
              <w:rPr>
                <w:rFonts w:ascii="TimesNewRoman" w:hAnsi="TimesNewRoman" w:eastAsia="TimesNewRoman" w:cs="TimesNewRoman"/>
                <w:sz w:val="24"/>
              </w:rPr>
              <w:t xml:space="preserve">)</w:t>
            </w:r>
          </w:p>
        </w:tc>
        <w:tc>
          <w:tcPr>
            <w:tcW w:w="1474" w:type="dxa"/>
            <w:gridSpan w:val="2"/>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Материал корпуса</w:t>
            </w:r>
          </w:p>
        </w:tc>
        <w:tc>
          <w:tcPr>
            <w:tcW w:w="850"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Место установки</w:t>
            </w:r>
          </w:p>
        </w:tc>
        <w:tc>
          <w:tcPr>
            <w:tcW w:w="1304"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Реквизиты документа, подтверждающего соответствие (сертификат, декларация)</w:t>
            </w:r>
          </w:p>
        </w:tc>
        <w:tc>
          <w:tcPr>
            <w:tcW w:w="1247"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Подпись лица, ответственного за исправное состояние и безопасную эксплуатацию</w:t>
            </w:r>
          </w:p>
        </w:tc>
      </w:tr>
      <w:tr>
        <w:tc>
          <w:tcPr>
            <w:tcW w:w="675"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691"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768"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974"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1020"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680"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Марка</w:t>
            </w:r>
          </w:p>
        </w:tc>
        <w:tc>
          <w:tcPr>
            <w:tcW w:w="794"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ГОСТ или ТУ</w:t>
            </w:r>
          </w:p>
        </w:tc>
        <w:tc>
          <w:tcPr>
            <w:tcW w:w="850"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p>
        </w:tc>
        <w:tc>
          <w:tcPr>
            <w:tcW w:w="1304"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p>
        </w:tc>
        <w:tc>
          <w:tcPr>
            <w:tcW w:w="1247"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p>
        </w:tc>
      </w:tr>
      <w:tr>
        <w:tc>
          <w:tcPr>
            <w:tcW w:w="67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69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76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974"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1020"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680"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794"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850"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1304"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1247"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r>
    </w:tbl>
    <w:p>
      <w:pPr>
        <w:pStyle w:val="Style_180"/>
        <w:spacing w:before="0" w:after="0" w:line="240" w:lineRule="auto"/>
        <w:ind w:left="0" w:firstLine="0"/>
        <w:jc w:val="both"/>
        <w:rPr>
          <w:rFonts w:ascii="TimesNewRoman" w:hAnsi="TimesNewRoman" w:eastAsia="TimesNewRoman" w:cs="TimesNewRoman"/>
          <w:sz w:val="24"/>
        </w:rPr>
      </w:pPr>
    </w:p>
    <w:tbl>
      <w:tblPr>
        <w:tblW w:w="10207"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fill="f4f3f8"/>
        <w:tblLayout w:type="fixed"/>
        <w:tblCellMar>
          <w:left w:w="113" w:type="dxa"/>
          <w:top w:w="113" w:type="dxa"/>
          <w:right w:w="113" w:type="dxa"/>
          <w:bottom w:w="113" w:type="dxa"/>
        </w:tblCellMar>
      </w:tblPr>
      <w:tblGrid>
        <w:gridCol w:w="10207"/>
      </w:tblGrid>
      <w:tr>
        <w:trPr>
          <w:jc w:val="center"/>
        </w:trPr>
        <w:tc>
          <w:tcPr>
            <w:tcW w:w="10207" w:type="dxa"/>
            <w:tcBorders>
              <w:top w:val="none" w:color="000000"/>
              <w:left w:val="single" w:color="CED3F1" w:sz="24"/>
              <w:bottom w:val="none" w:color="000000"/>
              <w:right w:val="single" w:color="F4F3F8" w:sz="24"/>
            </w:tcBorders>
            <w:shd w:val="clear" w:color="f4f3f8" w:fill="f4f3f8"/>
            <w:noWrap w:val="false"/>
            <w:textDirection w:val="lrTb"/>
            <w:vAlign w:val="top"/>
          </w:tcPr>
          <w:p>
            <w:pPr>
              <w:pStyle w:val="Style_180"/>
              <w:spacing w:before="0" w:after="0" w:line="240" w:lineRule="auto"/>
              <w:ind w:left="0" w:firstLine="0"/>
              <w:jc w:val="both"/>
              <w:rPr>
                <w:rFonts w:ascii="TimesNewRoman" w:hAnsi="TimesNewRoman" w:eastAsia="TimesNewRoman" w:cs="TimesNewRoman"/>
                <w:color w:val="392c69"/>
                <w:sz w:val="24"/>
              </w:rPr>
            </w:pPr>
            <w:r>
              <w:rPr>
                <w:rFonts w:ascii="TimesNewRoman" w:hAnsi="TimesNewRoman" w:eastAsia="TimesNewRoman" w:cs="TimesNewRoman"/>
                <w:color w:val="392c69"/>
                <w:sz w:val="24"/>
              </w:rPr>
              <w:t xml:space="preserve">КонсультантПлюс: примечание.</w:t>
            </w:r>
          </w:p>
          <w:p>
            <w:pPr>
              <w:pStyle w:val="Style_180"/>
              <w:spacing w:before="0" w:after="0" w:line="240" w:lineRule="auto"/>
              <w:ind w:left="0" w:firstLine="0"/>
              <w:jc w:val="both"/>
              <w:rPr>
                <w:rFonts w:ascii="TimesNewRoman" w:hAnsi="TimesNewRoman" w:eastAsia="TimesNewRoman" w:cs="TimesNewRoman"/>
                <w:color w:val="392c69"/>
                <w:sz w:val="24"/>
              </w:rPr>
            </w:pPr>
            <w:r>
              <w:rPr>
                <w:rFonts w:ascii="TimesNewRoman" w:hAnsi="TimesNewRoman" w:eastAsia="TimesNewRoman" w:cs="TimesNewRoman"/>
                <w:color w:val="392c69"/>
                <w:sz w:val="24"/>
              </w:rPr>
              <w:t xml:space="preserve">Нумерация пунктов дана в соответствии с официальным текстом документа.</w:t>
            </w:r>
          </w:p>
        </w:tc>
      </w:tr>
    </w:tbl>
    <w:p>
      <w:pPr>
        <w:pStyle w:val="Style_180"/>
        <w:spacing w:before="300" w:after="0" w:line="240" w:lineRule="auto"/>
        <w:ind w:left="0" w:firstLine="0"/>
        <w:jc w:val="center"/>
        <w:outlineLvl w:val="2"/>
        <w:rPr>
          <w:rFonts w:ascii="TimesNewRoman" w:hAnsi="TimesNewRoman" w:eastAsia="TimesNewRoman" w:cs="TimesNewRoman"/>
          <w:sz w:val="24"/>
        </w:rPr>
      </w:pPr>
      <w:r>
        <w:rPr>
          <w:rFonts w:ascii="TimesNewRoman" w:hAnsi="TimesNewRoman" w:eastAsia="TimesNewRoman" w:cs="TimesNewRoman"/>
          <w:sz w:val="24"/>
        </w:rPr>
        <w:t xml:space="preserve">1.4. Сведения о замене и ремонте основных элементов,</w:t>
      </w: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работающих под избыточным давлением, или реконструкции</w:t>
      </w: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___________________________________________________________</w:t>
      </w: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(указывается вид (тип) оборудования под давлением (котел,</w:t>
      </w:r>
    </w:p>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сосуд, трубопровод)</w:t>
      </w:r>
    </w:p>
    <w:p>
      <w:pPr>
        <w:pStyle w:val="Style_180"/>
        <w:spacing w:before="0" w:after="0" w:line="240" w:lineRule="auto"/>
        <w:ind w:left="0" w:firstLine="0"/>
        <w:jc w:val="both"/>
        <w:rPr>
          <w:rFonts w:ascii="TimesNewRoman" w:hAnsi="TimesNewRoman" w:eastAsia="TimesNewRoman" w:cs="TimesNewRoman"/>
          <w:sz w:val="24"/>
        </w:rPr>
      </w:pPr>
    </w:p>
    <w:tbl>
      <w:tblPr>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62" w:type="dxa"/>
          <w:top w:w="102" w:type="dxa"/>
          <w:right w:w="62" w:type="dxa"/>
          <w:bottom w:w="102" w:type="dxa"/>
        </w:tblCellMar>
      </w:tblPr>
      <w:tblGrid>
        <w:gridCol w:w="958"/>
        <w:gridCol w:w="5329"/>
        <w:gridCol w:w="2721"/>
      </w:tblGrid>
      <w:tr>
        <w:tc>
          <w:tcPr>
            <w:tcW w:w="95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Дата внесения записи</w:t>
            </w:r>
          </w:p>
        </w:tc>
        <w:tc>
          <w:tcPr>
            <w:tcW w:w="5329"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Сведения о ремонте оборудования и замене основных элементов</w:t>
            </w:r>
          </w:p>
        </w:tc>
        <w:tc>
          <w:tcPr>
            <w:tcW w:w="272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Подпись лица, ответственного за исправное состояние и безопасную эксплуатацию</w:t>
            </w:r>
          </w:p>
        </w:tc>
      </w:tr>
      <w:tr>
        <w:tc>
          <w:tcPr>
            <w:tcW w:w="95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5329"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даты проведения (начало и завершение) ремонта (реконструкции), перечень проведенных при этом работ, наименование и адрес специализированной организации, выполнившей ремонт (реконструкцию) и неразрушающий контроль его качества, а также реквизиты проектной и технологической документации, ремонтных чертежей (схем) и документов, подтверждающих качество и соответствие вновь установленных (взамен изношенных) элементов и устройств, примененных при ремонте основных и сварочных материалов и сварки, либо реквизитов комплекта ремонтной документации (формуляра), содержащего указанную документацию</w:t>
            </w:r>
          </w:p>
        </w:tc>
        <w:tc>
          <w:tcPr>
            <w:tcW w:w="272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r>
    </w:tbl>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center"/>
        <w:outlineLvl w:val="2"/>
        <w:rPr>
          <w:rFonts w:ascii="TimesNewRoman" w:hAnsi="TimesNewRoman" w:eastAsia="TimesNewRoman" w:cs="TimesNewRoman"/>
          <w:sz w:val="24"/>
        </w:rPr>
      </w:pPr>
      <w:r>
        <w:rPr>
          <w:rFonts w:ascii="TimesNewRoman" w:hAnsi="TimesNewRoman" w:eastAsia="TimesNewRoman" w:cs="TimesNewRoman"/>
          <w:sz w:val="24"/>
        </w:rPr>
        <w:t xml:space="preserve">1.5. Результаты технического освидетельствования</w:t>
      </w:r>
    </w:p>
    <w:p>
      <w:pPr>
        <w:pStyle w:val="Style_180"/>
        <w:spacing w:before="0" w:after="0" w:line="240" w:lineRule="auto"/>
        <w:ind w:left="0" w:firstLine="0"/>
        <w:jc w:val="both"/>
        <w:rPr>
          <w:rFonts w:ascii="TimesNewRoman" w:hAnsi="TimesNewRoman" w:eastAsia="TimesNewRoman" w:cs="TimesNewRoman"/>
          <w:sz w:val="24"/>
        </w:rPr>
      </w:pPr>
    </w:p>
    <w:tbl>
      <w:tblPr>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62" w:type="dxa"/>
          <w:top w:w="102" w:type="dxa"/>
          <w:right w:w="62" w:type="dxa"/>
          <w:bottom w:w="102" w:type="dxa"/>
        </w:tblCellMar>
      </w:tblPr>
      <w:tblGrid>
        <w:gridCol w:w="1299"/>
        <w:gridCol w:w="3231"/>
        <w:gridCol w:w="2211"/>
        <w:gridCol w:w="2268"/>
      </w:tblGrid>
      <w:tr>
        <w:tc>
          <w:tcPr>
            <w:tcW w:w="1299"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Дата освидетельствования</w:t>
            </w:r>
          </w:p>
        </w:tc>
        <w:tc>
          <w:tcPr>
            <w:tcW w:w="323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Результаты освидетельствования и подпись лица, проводившего освидетельствование</w:t>
            </w:r>
          </w:p>
        </w:tc>
        <w:tc>
          <w:tcPr>
            <w:tcW w:w="221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Разрешенные параметры: давление, МПа (кгс/см</w:t>
            </w:r>
            <w:r>
              <w:rPr>
                <w:rFonts w:ascii="TimesNewRoman" w:hAnsi="TimesNewRoman" w:eastAsia="TimesNewRoman" w:cs="TimesNewRoman"/>
                <w:sz w:val="24"/>
                <w:vertAlign w:val="superscript"/>
              </w:rPr>
              <w:t xml:space="preserve">2</w:t>
            </w:r>
            <w:r>
              <w:rPr>
                <w:rFonts w:ascii="TimesNewRoman" w:hAnsi="TimesNewRoman" w:eastAsia="TimesNewRoman" w:cs="TimesNewRoman"/>
                <w:sz w:val="24"/>
              </w:rPr>
              <w:t xml:space="preserve">), температура (при необходимости)</w:t>
            </w:r>
          </w:p>
        </w:tc>
        <w:tc>
          <w:tcPr>
            <w:tcW w:w="226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Срок следующего освидетельствования</w:t>
            </w:r>
          </w:p>
        </w:tc>
      </w:tr>
      <w:tr>
        <w:tc>
          <w:tcPr>
            <w:tcW w:w="1299"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323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виды (методы) проведенных работ и контроля, причины, результаты, подпись</w:t>
            </w:r>
          </w:p>
        </w:tc>
        <w:tc>
          <w:tcPr>
            <w:tcW w:w="221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p>
        </w:tc>
        <w:tc>
          <w:tcPr>
            <w:tcW w:w="2268"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Дата, месяц, год следующего НВО, ГИ, ЭПБ</w:t>
            </w:r>
          </w:p>
        </w:tc>
      </w:tr>
    </w:tbl>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right"/>
        <w:outlineLvl w:val="1"/>
        <w:rPr>
          <w:rFonts w:ascii="TimesNewRoman" w:hAnsi="TimesNewRoman" w:eastAsia="TimesNewRoman" w:cs="TimesNewRoman"/>
          <w:sz w:val="24"/>
        </w:rPr>
      </w:pPr>
      <w:r>
        <w:rPr>
          <w:rFonts w:ascii="TimesNewRoman" w:hAnsi="TimesNewRoman" w:eastAsia="TimesNewRoman" w:cs="TimesNewRoman"/>
          <w:sz w:val="24"/>
        </w:rPr>
        <w:t xml:space="preserve">Приложение N 6</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к федеральным нормам и правилам</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в области промышленной безопасности</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"Правила промышленной безопасности</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при использовании оборудования,</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работающего под избыточным давлением",</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утвержденным приказом Федеральной</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службы по экологическому,</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технологическому и атомному надзору</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от 15.12.2020 г. N 536</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rPr>
          <w:rFonts w:ascii="Arial" w:hAnsi="Arial" w:eastAsia="Arial" w:cs="Arial"/>
          <w:b/>
          <w:sz w:val="24"/>
        </w:rPr>
      </w:pPr>
      <w:bookmarkStart w:id="71" w:name="Par3139"/>
      <w:bookmarkEnd w:id="71"/>
      <w:r>
        <w:rPr>
          <w:rFonts w:ascii="Arial" w:hAnsi="Arial" w:eastAsia="Arial" w:cs="Arial"/>
          <w:b/>
          <w:sz w:val="24"/>
        </w:rPr>
        <w:t xml:space="preserve">ОФОРМЛЕНИЕ</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ДУБЛИКАТА ИЛИ ВОССТАНОВЛЕНИЕ ПАСПОРТА ОБОРУДОВАНИЯ</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ПОД ДАВЛЕНИЕМ</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 В случае утраты, утери или невозможности дальнейшего использования по причине износа паспорта и (или) руководства (инструкции) по эксплуатации оборудования под давлением, находящегося в эксплуатации, их дубликаты должны оформляться организацией-изготовителем данного оборудования, ее правопреемником либо организацией, продолжающей выпуск аналогичного оборудования и обладающей на законном основании комплектом технической (технологической, эксплуатационной, ремонтной) документации организации-изготовителя (далее по тексту настоящего приложения - изготовитель).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 При отсутствии организации-изготовителя восстановление паспорта (оформление эксплуатационного паспорта) оборудования под давлением должно осуществляться организацией, проводящей экспертизу промышленной безопасности технического устройства, применяемого на опасном производственном объекте (далее по тексту настоящего приложения - экспертная организация), в соответствии с настоящим приложением к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 Вместо дубликата руководства (инструкции) по эксплуатации оборудования под давлением допускается использовать копию руководства (инструкции) по эксплуатации идентичного оборудования той же организации-изготовителя, установленного в эксплуатирующей организации, либо эксплуатируемого иной организацией.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 Эксплуатирующая организация должна представить составителю паспорта (изготовителю или экспертной организации) все имеющиеся у нее в наличии документы и сведения, необходимые для составления паспорта. Обращение (запрос) эксплуатирующей организации о представлении (оформлении) дубликата или восстановлении паспорта должно содержать причины, повлекшие такую необходимость, сведения (наименование оборудования, тип, модель, марка, заводской (серийный) номер, дата изготовления) и материалы (фото таблички или маркировки организации-изготовителя на корпусе, копии чертежей (при наличии)), позволяющие идентифицировать конкретную единицу оборудования, в отношении которого запрошен дубликат паспорта или его восстановление, сведения о фактическом техническом состоянии оборудования (в том числе о режимах и циклах его работы, о технических освидетельствованиях, диагностировании и (или) экспертизах промышленной безопасности и их результатах, ремонтах, проведенных в период эксплуатации, об отсутствии либо наличии произведенных (внесенных) при этом изменений конструкции оборудования), а также информацию, подтверждающую законность использования данного оборудования организацией, заказавшей оформление дубликата паспорта или его восстановление.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 При наличии обращения (запроса) эксплуатирующей организации изготовитель может оформить дубликат паспорта на основании хранящегося у него комплекта технической (конструкторской, технологической, эксплуатационной, ремонтной) документации и заверить дубликат паспорта печатью (при наличии) и подписью должностного лица, ответственного за составление паспортов на изготавливаемое оборудование. В случае если оборудование произведено иностранным изготовителем, дубликат паспорта может быть заверен печатью (при наличии) и подписью представителя организации (юридического лица или индивидуального предпринимателя), уполномоченной организацией-изготовителем, при наличии соответствующих документов, подтверждающих наличие у нее предоставленных иностранным изготовителем полномочий по ответственности за его продукцию на территории Российской Федерации.</w:t>
      </w:r>
    </w:p>
    <w:p>
      <w:pPr>
        <w:pStyle w:val="Style_180"/>
        <w:spacing w:before="240" w:after="0" w:line="240" w:lineRule="auto"/>
        <w:ind w:left="0" w:firstLine="540"/>
        <w:jc w:val="both"/>
        <w:rPr>
          <w:rFonts w:ascii="TimesNewRoman" w:hAnsi="TimesNewRoman" w:eastAsia="TimesNewRoman" w:cs="TimesNewRoman"/>
          <w:sz w:val="24"/>
        </w:rPr>
      </w:pPr>
      <w:bookmarkStart w:id="72" w:name="Par3148"/>
      <w:bookmarkEnd w:id="72"/>
      <w:r>
        <w:rPr>
          <w:rFonts w:ascii="TimesNewRoman" w:hAnsi="TimesNewRoman" w:eastAsia="TimesNewRoman" w:cs="TimesNewRoman"/>
          <w:sz w:val="24"/>
        </w:rPr>
        <w:t xml:space="preserve">6. Форма дубликата паспорта и объем указываемых в нем сведений должны соответствовать конструкции оборудования под давлением и требованиям нормативных документов (нормативных правовых актов, стандартов и (или) технических условий и иной нормативно-технической документации (далее по тексту настоящего приложения - нормативных документов), действовавших в отношении данного оборудования в период его выпуска и ввода в эксплуатацию. Для оборудования, на которое распространяется действие ТР ТС 032/2013, изготовленного после вступления его в силу, дубликат паспорта в зависимости от вида оборудования должен соответствовать требованиям пунктов 19, 20, 21, 22, 23 раздела IV ТР ТС 032/2013 либо требованиям стандартов, содержащих формы паспортов на определенные виды оборудования под давлением, включенных в перечень стандартов, в результате применения которых на добровольной основе обеспечивается соблюдение требований ТР ТС 032/2013.</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На титульном листе дубликата паспорта должна указываться информация о том, что он является не оригиналом, а дубликатом паспорта, с кратким указанием причин (оснований) его составления и сведений об организации, выполнившей его оформление (наименование и реквизиты организации (адрес юридического лица, ОГРН) либо индивидуального предпринимателя (фамилия, имя, отчество (если имеется), ИНН), а также реквизиты документа, подтверждающего ее полномочия).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 дубликату паспорта изготовитель, при необходимости, должен прикладывать чертеж общего вида (комплект чертежей), расчеты и иную техническую документацию по запросу эксплуатирующей организации.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Эксплуатирующая организация к составленному организацией-изготовителем дубликату паспорта оборудования под давлением должна прикладывать техническую документацию организации-изготовителя, имеющуюся в наличии либо полученную по запросу от организации-изготовителя в комплекте с дубликатом паспорта, а также эксплуатационную документацию по рекомендуемым образцам согласно  к настоящим ФНП либо в случае ее отсутствия - документы по результатам проведения работ согласно  настоящего приложения.</w:t>
      </w:r>
    </w:p>
    <w:p>
      <w:pPr>
        <w:pStyle w:val="Style_180"/>
        <w:spacing w:before="240" w:after="0" w:line="240" w:lineRule="auto"/>
        <w:ind w:left="0" w:firstLine="540"/>
        <w:jc w:val="both"/>
        <w:rPr>
          <w:rFonts w:ascii="TimesNewRoman" w:hAnsi="TimesNewRoman" w:eastAsia="TimesNewRoman" w:cs="TimesNewRoman"/>
          <w:sz w:val="24"/>
        </w:rPr>
      </w:pPr>
      <w:bookmarkStart w:id="73" w:name="Par3152"/>
      <w:bookmarkEnd w:id="73"/>
      <w:r>
        <w:rPr>
          <w:rFonts w:ascii="TimesNewRoman" w:hAnsi="TimesNewRoman" w:eastAsia="TimesNewRoman" w:cs="TimesNewRoman"/>
          <w:sz w:val="24"/>
        </w:rPr>
        <w:t xml:space="preserve">7. При отсутствии у эксплуатирующей организации сведений о режимах и циклах работы оборудования, о ранее проведенных в период его эксплуатации технических освидетельствованиях, диагностировании и (или) экспертизах промышленной безопасности и их результатах, ремонтах, после получения дубликата паспорта и комплекта чертежей от организации-изготовителя оборудование до пуска его в работу должно быть подвергнуто внеочередному техническому освидетельствованию с проведением в его объеме, при необходимости, диагностирования (в случае, если не истек его расчетный срок службы) либо экспертизе промышленной безопасности с целью проверки его соответствия представленной организацией-изготовителем документации, в части отсутствия либо наличия изменений конструкции оборудования, установления фактического состояния и принятия решения о возможности и сроке дальнейшей эксплуатации оборудования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8. При отсутствии организации-изготовителя восстановление паспорта (оформление эксплуатационного паспорта) должно осуществляться на основании имеющейся (при наличии) в эксплуатирующей организации технической документации организации-изготовителя, эксплуатационной документации и ремонтной документации, ведущейся в эксплуатирующей организации, а также на основании результатов обследования оборудования под давлением, проведенного экспертной организацией для оценки его фактического состояния на момент восстановления паспорта и уточнения сведений, указанных в представленной документации, либо восстановления недостающей информации при отсутствии достаточного объема сведений об оборудовании для восстановления его паспорта.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9. Экспертная организация при восстановлении паспорта должна выполнить следующие основные работы:</w:t>
      </w:r>
    </w:p>
    <w:p>
      <w:pPr>
        <w:pStyle w:val="Style_180"/>
        <w:spacing w:before="240" w:after="0" w:line="240" w:lineRule="auto"/>
        <w:ind w:left="0" w:firstLine="540"/>
        <w:jc w:val="both"/>
        <w:rPr>
          <w:rFonts w:ascii="TimesNewRoman" w:hAnsi="TimesNewRoman" w:eastAsia="TimesNewRoman" w:cs="TimesNewRoman"/>
          <w:sz w:val="24"/>
        </w:rPr>
      </w:pPr>
      <w:bookmarkStart w:id="74" w:name="Par3155"/>
      <w:bookmarkEnd w:id="74"/>
      <w:r>
        <w:rPr>
          <w:rFonts w:ascii="TimesNewRoman" w:hAnsi="TimesNewRoman" w:eastAsia="TimesNewRoman" w:cs="TimesNewRoman"/>
          <w:sz w:val="24"/>
        </w:rPr>
        <w:t xml:space="preserve">9.1. Провести анализ (изучение) представленных эксплуатирующей организацией материалов, проверку полноты и достаточности приведенной в них информации для составления (восстановления) паспорта.</w:t>
      </w:r>
    </w:p>
    <w:p>
      <w:pPr>
        <w:pStyle w:val="Style_180"/>
        <w:spacing w:before="240" w:after="0" w:line="240" w:lineRule="auto"/>
        <w:ind w:left="0" w:firstLine="540"/>
        <w:jc w:val="both"/>
        <w:rPr>
          <w:rFonts w:ascii="TimesNewRoman" w:hAnsi="TimesNewRoman" w:eastAsia="TimesNewRoman" w:cs="TimesNewRoman"/>
          <w:sz w:val="24"/>
        </w:rPr>
      </w:pPr>
      <w:bookmarkStart w:id="75" w:name="Par3156"/>
      <w:bookmarkEnd w:id="75"/>
      <w:r>
        <w:rPr>
          <w:rFonts w:ascii="TimesNewRoman" w:hAnsi="TimesNewRoman" w:eastAsia="TimesNewRoman" w:cs="TimesNewRoman"/>
          <w:sz w:val="24"/>
        </w:rPr>
        <w:t xml:space="preserve">9.2. Выполнить обследование (диагностирование) оборудования с применением методов неразрушающего и, при необходимости, разрушающего контроля для установления фактического состояния оборудования, подтверждения или уточнения представленных о нем сведений, а также восстановления недостающей информации об оборудовании. Объем и виды применяемых при обследовании методов определяются экспертной организацией в зависимости от полноты представленных сведений (выборочно при наличии информации о марках и характеристиках примененных материалов или, в случае ее отсутствия, поэлементно в полном объеме в отношении каждого элемента, в том числе сварных соединений и присоединенных к нему деталей, арматуры и иных устройств, входящих в состав оборудования), в том числе: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наличии у эксплуатирующей организации чертежей и иных документов организации-изготовителя, отражающих сведения о конструкции оборудования и его элементов, об основных и сварочных материалах, примененных при изготовлении, а также о методах и объемах проведенного контроля и проведенных испытаний, объем обследования, выполняемого экспертной организацией при восстановлении паспорта, должен определяться, исходя из необходимости установления фактического состояния оборудования и подтверждения (уточнения) данных, указанных в представленной документации;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при отсутствии технической документации, содержащей необходимые сведения об оборудовании, в ходе обследования должны быть проведены необходимые измерения и исследования с применением методов неразрушающего и разрушающего контроля, позволяющие, помимо указанного выше, определить марку и характеристики (химический состав и механические свойства) примененных материалов.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9.3. По результатам работ, указанных в  и  настоящего приложения к ФНП необходимо:</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составить чертежи общего вида оборудования и его основных элементов (в случае их отсутствия);</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выполнить расчет на прочность оборудования с учетом его фактического состояния, установленного по результатам обследования (при наличии расчета на прочность в комплекте технической документации организации-изготовителя необходимость проведения контрольного расчета на прочность оборудования либо отдельных его элементов определяется в зависимости от его фактического состояния экспертной организацией);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выполнить, при необходимости, расчет пропускной способности предохранительных клапанов с учетом требований, установленных настоящими ФНП;</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провести анализ конструкции оборудования в целом и его основных элементов, а также прочностных характеристик основных и сварочных материалов (в том числе сопоставление данных, указанных в представленной технической документации (при наличии), с фактическими результатами обследования, а также сравнение материалов оборудования иностранного производства с отечественными аналогами) с целью установления их соответствия требованиям нормативных документов, действовавших в период выпуска и ввода в эксплуатацию оборудования, а также сравнение их с требованиями нормативных документов, действующих на момент восстановления паспорта;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составить паспорт по рекомендуемому образцу и с указанием в нем необходимых сведений об оборудовании и его элементах в объеме согласно  настоящего приложения, в том числе: наименование, заводской (серийный) номер, дата изготовления, технические характеристики оборудования, наименование и геометрические размеры элементов, тип, марка и характеристики основных и сварочных материалов, объем и методы контроля и испытаний, и другие сведения в разделах, относящихся к ведению организации-изготовителя, а также информации об арматуре, предохранительных, контрольно-измерительных и иных устройствах, фактически установленных на оборудовании на момент составления (восстановления) паспорта. При отсутствии технической документации изготовителя, содержащей необходимые для внесения в паспорт сведения, в соответствующие разделы паспорта вносятся данные, полученные по результатам измерений, контроля и испытаний, проведенных экспертной организацией. При внесении в соответствующие разделы паспорта сведений об оборудовании и его элементах должен указываться источник их установления (реквизиты чертежа или иного документа изготовителя, а при их отсутствии - реквизиты документа по результатам измерений, контроля и испытаний, проведенных экспертной организацией).</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10. Восстановленный паспорт должен подписываться руководителем экспертной организации и техническим руководителем эксплуатирующей организации с приложением к нему заключения экспертизы промышленной безопасности, чертежей и расчетов, выполненных экспертной организацией, руководства (инструкции) по эксплуатации и прочей технической документации организации-изготовителя, а также эксплуатационной документации (содержащей сведения о ранее проведенных технических освидетельствованиях, диагностировании и ремонтах) при наличии их у эксплуатирующей организации. На титульном листе паспорта должна указываться информация о том, что паспорт не является подлинником, а восстановлен в процессе эксплуатации, с кратким указанием причин восстановления и сведений об организации, выполнившей указанные работы (наименование и реквизиты лицензии на право проведения экспертизы промышленной безопасности).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11. Не допускается оформление дубликата или восстановление паспорта оборудования под давлением при отсутствии на оборудовании маркировки, позволяющей осуществить его идентификацию, а также сведений об изготовителе оборудования, дате его изготовления и ввода в эксплуатацию.</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12. О факте оформления дубликата или восстановления паспорта оборудования под давлением, подлежащего учету в территориальном органе Ростехнадзора или ином федеральном органе исполнительной власти в области промышленной безопасности, организация, эксплуатирующая оборудование, должна письменно уведомить Ростехнадзор или иной федеральный орган исполнительной власти в области промышленной безопасности с указанием причин, вызвавших необходимость оформления дубликата или восстановления паспорта, с указанием сведений об организации, выполнившей работы, с приложением копии документа, подтверждающего право на выполнение функций организации-изготовителя оборудования (в случае если дубликат паспорта оформлен организацией-изготовителем) либо на осуществление деятельности по экспертизе промышленной безопасности технических устройств, применяемых на ОПО, информации о фактическом состоянии оборудования (в т.ч. каким образом (освидетельствование, диагностирование, экспертиза) и кем оно было установлено (наименование и реквизиты организации (адрес юридического лица, ОГРН) либо индивидуального предпринимателя (фамилия, имя, отчество (если имеется), ИНН)), а также реквизитов заключения экспертизы промышленной безопасности (регистрационный номер, дата регистрации в реестре заключений экспертизы промышленной безопасности в случае ее проведения) оборудования под давлением, в отношении которого осуществлялось составление дубликата или восстановление паспорта.</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right"/>
        <w:outlineLvl w:val="1"/>
        <w:rPr>
          <w:rFonts w:ascii="TimesNewRoman" w:hAnsi="TimesNewRoman" w:eastAsia="TimesNewRoman" w:cs="TimesNewRoman"/>
          <w:sz w:val="24"/>
        </w:rPr>
      </w:pPr>
      <w:r>
        <w:rPr>
          <w:rFonts w:ascii="TimesNewRoman" w:hAnsi="TimesNewRoman" w:eastAsia="TimesNewRoman" w:cs="TimesNewRoman"/>
          <w:sz w:val="24"/>
        </w:rPr>
        <w:t xml:space="preserve">Приложение N 8</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к федеральным нормам и правилам</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в области промышленной безопасности</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"Правила промышленной безопасности</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при использовании оборудования,</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работающего под избыточным давлением",</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утвержденным приказом Федеральной</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службы по экологическому,</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технологическому и атомному надзору</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от 15.12.2020 г. N 536</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rPr>
          <w:rFonts w:ascii="Arial" w:hAnsi="Arial" w:eastAsia="Arial" w:cs="Arial"/>
          <w:b/>
          <w:sz w:val="24"/>
        </w:rPr>
      </w:pPr>
      <w:bookmarkStart w:id="76" w:name="Par3649"/>
      <w:bookmarkEnd w:id="76"/>
      <w:r>
        <w:rPr>
          <w:rFonts w:ascii="Arial" w:hAnsi="Arial" w:eastAsia="Arial" w:cs="Arial"/>
          <w:b/>
          <w:sz w:val="24"/>
        </w:rPr>
        <w:t xml:space="preserve">КРИТЕРИИ</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ПРЕДЕЛЬНОГО СОСТОЯНИЯ ОБОРУДОВАНИЯ, РАБОТАЮЩЕГО</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ПОД ИЗБЫТОЧНЫМ ДАВЛЕНИЕМ, ПРИ ДОСТИЖЕНИИ КОТОРОГО</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ПРИНИМАЕТСЯ РЕШЕНИЕ О ЕГО ВЫВОДЕ ИЗ ЭКСПЛУАТАЦИИ</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ДЛЯ РЕМОНТА ИЛИ УТИЛИЗАЦИИ</w:t>
      </w:r>
    </w:p>
    <w:p>
      <w:pPr>
        <w:pStyle w:val="Style_180"/>
        <w:spacing w:before="0" w:after="0" w:line="240" w:lineRule="auto"/>
        <w:ind w:left="0" w:firstLine="0"/>
        <w:jc w:val="both"/>
        <w:rPr>
          <w:rFonts w:ascii="Arial" w:hAnsi="Arial" w:eastAsia="Arial" w:cs="Arial"/>
          <w:sz w:val="24"/>
        </w:rPr>
      </w:pPr>
    </w:p>
    <w:p>
      <w:pPr>
        <w:pStyle w:val="Style_180"/>
        <w:spacing w:before="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1. Уменьшение толщины стенки оборудования под давлением вследствие коррозионного или эрозионного износа сверх минимального значения, установленного расчетом на прочность.</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2. Наличие отложений на обогреваемых элементах оборудования под давлением, приводящих к перегреву (пережогу) металла элементов, толщина которых превышает допустимое значение, установленное при разработке (проектировании) оборудования. Выявление данного дефекта осуществляется при проведении осмотров оборудования под давлением, а также косвенно о его наличии могут свидетельствовать увеличение гидравлического сопротивления в тракте оборудования под давлением, снижение температуры рабочей среды на выходе из оборудования под давлением вследствие ухудшения теплообмена.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3. Наличие трещин всех видов и направлений (усталостных, термических, коррозионных), а также иных эксплуатационных дефектов в основном металле, сварных, вальцовочных, разъемных и заклепочных соединениях оборудования под давлением, величина которых превышает установленные разработчиком проекта (организацией-изготовителем) значения, указанные в технической и нормативной документации для конкретного типа оборудования, в том числе: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надрывы, расслоения, отдулины, выпучины, вмятины на внутренних и наружных поверхностях стенок оборудования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овальность элементов оборудования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отклонение от прямолинейности (прогиб) трубных и цилиндрических элементов оборудования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выход труб поверхностей нагрева из ранжира;</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трещины, разрывы, неплотности (течи, слезки, потение, следы пропаривания и пропусков), следы коррозии, расслоения, плены, подрезы или закаты, вмятины в сварных, вальцовочных, разъемных и заклепочных соединениях;</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уменьшение длины выступающих концов труб в вальцовочных соединениях ("колокольчиков");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наличие остаточной деформации металла элементов оборудования под давлением, работающих в условиях ползучести.</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дефекты сварных соединений, превышающие допустимую величину, установленную нормативными документами по сварке;</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коррозионное растрескивание металла оборудования под давлением в зоне сварных швов, а также в местах коррозионных язв и питтингов.</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4. Наличие повреждений обмуровки оборудования под давлением, которые могут вызвать опасность перегрева металла его элементов, а также создают угрозу травмирования обслуживающего персонала, в том числе сквозные трещины, полное или частичное разрушение (обрушение) обмуровки топки котла, огнезащитной обмуровки (торкрета) и футеровки обогреваемых элементов оборудования под давлением.</w:t>
      </w:r>
    </w:p>
    <w:p>
      <w:pPr>
        <w:pStyle w:val="Style_180"/>
        <w:spacing w:before="240" w:after="0" w:line="240" w:lineRule="auto"/>
        <w:ind w:left="0" w:firstLine="540"/>
        <w:jc w:val="both"/>
        <w:rPr>
          <w:rFonts w:ascii="TimesNewRoman" w:hAnsi="TimesNewRoman" w:eastAsia="TimesNewRoman" w:cs="TimesNewRoman"/>
          <w:sz w:val="24"/>
        </w:rPr>
      </w:pPr>
      <w:r>
        <w:rPr>
          <w:rFonts w:ascii="TimesNewRoman" w:hAnsi="TimesNewRoman" w:eastAsia="TimesNewRoman" w:cs="TimesNewRoman"/>
          <w:sz w:val="24"/>
        </w:rPr>
        <w:t xml:space="preserve">5. Наличие повреждений (трещин, деформаций) опорных металлоконструкций (каркаса) оборудования под давлением, влияющих на их несущую способность.</w:t>
      </w: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both"/>
        <w:rPr>
          <w:rFonts w:ascii="TimesNewRoman" w:hAnsi="TimesNewRoman" w:eastAsia="TimesNewRoman" w:cs="TimesNewRoman"/>
          <w:sz w:val="24"/>
        </w:rPr>
      </w:pPr>
    </w:p>
    <w:p>
      <w:pPr>
        <w:pStyle w:val="Style_180"/>
        <w:spacing w:before="0" w:after="0" w:line="240" w:lineRule="auto"/>
        <w:ind w:left="0" w:firstLine="0"/>
        <w:jc w:val="right"/>
        <w:outlineLvl w:val="1"/>
        <w:rPr>
          <w:rFonts w:ascii="TimesNewRoman" w:hAnsi="TimesNewRoman" w:eastAsia="TimesNewRoman" w:cs="TimesNewRoman"/>
          <w:sz w:val="24"/>
        </w:rPr>
      </w:pPr>
      <w:r>
        <w:rPr>
          <w:rFonts w:ascii="TimesNewRoman" w:hAnsi="TimesNewRoman" w:eastAsia="TimesNewRoman" w:cs="TimesNewRoman"/>
          <w:sz w:val="24"/>
        </w:rPr>
        <w:t xml:space="preserve">Приложение N 10</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к федеральным нормам и правилам</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в области промышленной безопасности</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"Правила промышленной безопасности</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при использовании оборудования,</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работающего под избыточным давлением",</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утвержденным приказом Федеральной</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службы по экологическому,</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технологическому и атомному надзору</w:t>
      </w:r>
    </w:p>
    <w:p>
      <w:pPr>
        <w:pStyle w:val="Style_180"/>
        <w:spacing w:before="0" w:after="0" w:line="240" w:lineRule="auto"/>
        <w:ind w:left="0" w:firstLine="0"/>
        <w:jc w:val="right"/>
        <w:rPr>
          <w:rFonts w:ascii="TimesNewRoman" w:hAnsi="TimesNewRoman" w:eastAsia="TimesNewRoman" w:cs="TimesNewRoman"/>
          <w:sz w:val="24"/>
        </w:rPr>
      </w:pPr>
      <w:r>
        <w:rPr>
          <w:rFonts w:ascii="TimesNewRoman" w:hAnsi="TimesNewRoman" w:eastAsia="TimesNewRoman" w:cs="TimesNewRoman"/>
          <w:sz w:val="24"/>
        </w:rPr>
        <w:t xml:space="preserve">от 15.12.2020 г. N 536</w:t>
      </w:r>
    </w:p>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rPr>
          <w:rFonts w:ascii="Arial" w:hAnsi="Arial" w:eastAsia="Arial" w:cs="Arial"/>
          <w:b/>
          <w:sz w:val="24"/>
        </w:rPr>
      </w:pPr>
      <w:bookmarkStart w:id="77" w:name="Par4196"/>
      <w:bookmarkEnd w:id="77"/>
      <w:r>
        <w:rPr>
          <w:rFonts w:ascii="Arial" w:hAnsi="Arial" w:eastAsia="Arial" w:cs="Arial"/>
          <w:b/>
          <w:sz w:val="24"/>
        </w:rPr>
        <w:t xml:space="preserve">ПЕРИОДИЧНОСТЬ</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ПРОВЕДЕНИЯ ТЕХНИЧЕСКОГО ОСВИДЕТЕЛЬСТВОВАНИЯ СОСУДОВ</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В СЛУЧАЕ ОТСУТСТВИЯ КОНКРЕТНЫХ УКАЗАНИЙ В РУКОВОДСТВЕ</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(ИНСТРУКЦИИ) ПО ЭКСПЛУАТАЦИИ</w:t>
      </w:r>
    </w:p>
    <w:p>
      <w:pPr>
        <w:pStyle w:val="Style_180"/>
        <w:spacing w:before="0" w:after="0" w:line="240" w:lineRule="auto"/>
        <w:ind w:left="0" w:firstLine="0"/>
        <w:jc w:val="both"/>
        <w:rPr>
          <w:rFonts w:ascii="Arial" w:hAnsi="Arial" w:eastAsia="Arial" w:cs="Arial"/>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Периодичность технических освидетельствований сосудов,</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находящихся в эксплуатации и не подлежащих учету в органах</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Ростехнадзора или иных федеральных органах исполнительной</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власти в области промышленной безопасности</w:t>
      </w:r>
    </w:p>
    <w:p>
      <w:pPr>
        <w:pStyle w:val="Style_180"/>
        <w:spacing w:before="0" w:after="0" w:line="240" w:lineRule="auto"/>
        <w:ind w:left="0" w:firstLine="0"/>
        <w:jc w:val="both"/>
        <w:rPr>
          <w:rFonts w:ascii="Arial" w:hAnsi="Arial" w:eastAsia="Arial" w:cs="Arial"/>
          <w:sz w:val="24"/>
        </w:rPr>
      </w:pPr>
    </w:p>
    <w:tbl>
      <w:tblPr>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62" w:type="dxa"/>
          <w:top w:w="102" w:type="dxa"/>
          <w:right w:w="62" w:type="dxa"/>
          <w:bottom w:w="102" w:type="dxa"/>
        </w:tblCellMar>
      </w:tblPr>
      <w:tblGrid>
        <w:gridCol w:w="562"/>
        <w:gridCol w:w="5102"/>
        <w:gridCol w:w="1701"/>
        <w:gridCol w:w="1644"/>
      </w:tblGrid>
      <w:tr>
        <w:tc>
          <w:tcPr>
            <w:tcW w:w="562"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N п/п</w:t>
            </w:r>
          </w:p>
        </w:tc>
        <w:tc>
          <w:tcPr>
            <w:tcW w:w="5102"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Наименование</w:t>
            </w:r>
          </w:p>
        </w:tc>
        <w:tc>
          <w:tcPr>
            <w:tcW w:w="170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Наружный и внутренний осмотры</w:t>
            </w:r>
          </w:p>
        </w:tc>
        <w:tc>
          <w:tcPr>
            <w:tcW w:w="1644"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Гидравлическое испытание пробным давлением</w:t>
            </w:r>
          </w:p>
        </w:tc>
      </w:tr>
      <w:tr>
        <w:tc>
          <w:tcPr>
            <w:tcW w:w="56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w:t>
            </w:r>
          </w:p>
        </w:tc>
        <w:tc>
          <w:tcPr>
            <w:tcW w:w="510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Сосуды, работающие со средой, вызывающей разрушение и физико-химическое превращение материала со скоростью не более 0,1 мм/год</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2 года</w:t>
            </w:r>
          </w:p>
        </w:tc>
        <w:tc>
          <w:tcPr>
            <w:tcW w:w="164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8 лет</w:t>
            </w:r>
          </w:p>
        </w:tc>
      </w:tr>
      <w:tr>
        <w:tc>
          <w:tcPr>
            <w:tcW w:w="56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2</w:t>
            </w:r>
          </w:p>
        </w:tc>
        <w:tc>
          <w:tcPr>
            <w:tcW w:w="510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Сосуды, работающие со средой, вызывающей разрушение и физико-химическое превращение материала со скоростью более 0,1 мм/год</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12 месяцев</w:t>
            </w:r>
          </w:p>
        </w:tc>
        <w:tc>
          <w:tcPr>
            <w:tcW w:w="164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8 лет</w:t>
            </w:r>
          </w:p>
        </w:tc>
      </w:tr>
      <w:tr>
        <w:tc>
          <w:tcPr>
            <w:tcW w:w="56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3</w:t>
            </w:r>
          </w:p>
        </w:tc>
        <w:tc>
          <w:tcPr>
            <w:tcW w:w="510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Сосуды нефтехимических предприятий, работающие со средой, вызывающей разрушение и физико-химическое превращение не более 0,1 мм/год</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6 лет</w:t>
            </w:r>
          </w:p>
        </w:tc>
        <w:tc>
          <w:tcPr>
            <w:tcW w:w="164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12 лет</w:t>
            </w:r>
          </w:p>
        </w:tc>
      </w:tr>
      <w:tr>
        <w:tc>
          <w:tcPr>
            <w:tcW w:w="56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4</w:t>
            </w:r>
          </w:p>
        </w:tc>
        <w:tc>
          <w:tcPr>
            <w:tcW w:w="510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Сосуды нефтехимических предприятий, работающие со средой, вызывающей разрушение и физико-химическое превращение более 0,1 мм/год до 0,3 мм/год</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2 года</w:t>
            </w:r>
          </w:p>
        </w:tc>
        <w:tc>
          <w:tcPr>
            <w:tcW w:w="164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8 лет</w:t>
            </w:r>
          </w:p>
        </w:tc>
      </w:tr>
      <w:tr>
        <w:tc>
          <w:tcPr>
            <w:tcW w:w="56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5</w:t>
            </w:r>
          </w:p>
        </w:tc>
        <w:tc>
          <w:tcPr>
            <w:tcW w:w="510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Сосуды нефтехимических предприятий, работающие со средой, вызывающей разрушение и физико-химическое превращение более 0,3 мм/год</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12 месяцев</w:t>
            </w:r>
          </w:p>
        </w:tc>
        <w:tc>
          <w:tcPr>
            <w:tcW w:w="164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8 лет</w:t>
            </w:r>
          </w:p>
        </w:tc>
      </w:tr>
    </w:tbl>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Периодичность технических освидетельствований</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сосудов, подлежащих учету в органах Ростехнадзора или иных</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федеральных органах исполнительной власти в области</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промышленной безопасности</w:t>
      </w:r>
    </w:p>
    <w:p>
      <w:pPr>
        <w:pStyle w:val="Style_180"/>
        <w:spacing w:before="0" w:after="0" w:line="240" w:lineRule="auto"/>
        <w:ind w:left="0" w:firstLine="0"/>
        <w:jc w:val="both"/>
        <w:rPr>
          <w:rFonts w:ascii="Arial" w:hAnsi="Arial" w:eastAsia="Arial" w:cs="Arial"/>
          <w:sz w:val="24"/>
        </w:rPr>
      </w:pPr>
    </w:p>
    <w:tbl>
      <w:tblPr>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62" w:type="dxa"/>
          <w:top w:w="102" w:type="dxa"/>
          <w:right w:w="62" w:type="dxa"/>
          <w:bottom w:w="102" w:type="dxa"/>
        </w:tblCellMar>
      </w:tblPr>
      <w:tblGrid>
        <w:gridCol w:w="505"/>
        <w:gridCol w:w="3264"/>
        <w:gridCol w:w="1843"/>
        <w:gridCol w:w="1701"/>
        <w:gridCol w:w="1701"/>
      </w:tblGrid>
      <w:tr>
        <w:tc>
          <w:tcPr>
            <w:tcW w:w="505"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N п/п</w:t>
            </w:r>
          </w:p>
        </w:tc>
        <w:tc>
          <w:tcPr>
            <w:tcW w:w="3264"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Наименование</w:t>
            </w:r>
          </w:p>
        </w:tc>
        <w:tc>
          <w:tcPr>
            <w:tcW w:w="184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Ответственными лицами</w:t>
            </w:r>
          </w:p>
        </w:tc>
        <w:tc>
          <w:tcPr>
            <w:tcW w:w="3402" w:type="dxa"/>
            <w:gridSpan w:val="2"/>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Специалистом уполномоченной организации</w:t>
            </w:r>
          </w:p>
        </w:tc>
      </w:tr>
      <w:tr>
        <w:tc>
          <w:tcPr>
            <w:tcW w:w="505"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3264"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184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Наружный и внутренний осмотры</w:t>
            </w:r>
          </w:p>
        </w:tc>
        <w:tc>
          <w:tcPr>
            <w:tcW w:w="170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Наружный и внутренний осмотры</w:t>
            </w:r>
          </w:p>
        </w:tc>
        <w:tc>
          <w:tcPr>
            <w:tcW w:w="170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Гидравлическое испытание пробным давлением</w:t>
            </w:r>
          </w:p>
        </w:tc>
      </w:tr>
      <w:tr>
        <w:tc>
          <w:tcPr>
            <w:tcW w:w="505"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w:t>
            </w:r>
          </w:p>
        </w:tc>
        <w:tc>
          <w:tcPr>
            <w:tcW w:w="326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Сосуды, работающие со средой, вызывающей разрушение и физико-химическое превращение материала со скоростью не более 0,1 мм/год</w:t>
            </w:r>
          </w:p>
        </w:tc>
        <w:tc>
          <w:tcPr>
            <w:tcW w:w="1843"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2 года</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4 года</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8 лет</w:t>
            </w:r>
          </w:p>
        </w:tc>
      </w:tr>
      <w:tr>
        <w:tc>
          <w:tcPr>
            <w:tcW w:w="505"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2</w:t>
            </w:r>
          </w:p>
        </w:tc>
        <w:tc>
          <w:tcPr>
            <w:tcW w:w="326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Сосуды, работающие со средой, вызывающей разрушение и физико-химическое превращение материала со скоростью более 0,1 мм/год</w:t>
            </w:r>
          </w:p>
        </w:tc>
        <w:tc>
          <w:tcPr>
            <w:tcW w:w="1843"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12 месяцев</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4 года</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8 лет</w:t>
            </w:r>
          </w:p>
        </w:tc>
      </w:tr>
      <w:tr>
        <w:tc>
          <w:tcPr>
            <w:tcW w:w="505"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3</w:t>
            </w:r>
          </w:p>
        </w:tc>
        <w:tc>
          <w:tcPr>
            <w:tcW w:w="326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Сосуды, зарытые в грунт, предназначенные для хранения сжиженного углеводородного газа с содержанием сероводорода не более 5 г на 100 м</w:t>
            </w:r>
            <w:r>
              <w:rPr>
                <w:rFonts w:ascii="TimesNewRoman" w:hAnsi="TimesNewRoman" w:eastAsia="TimesNewRoman" w:cs="TimesNewRoman"/>
                <w:sz w:val="24"/>
                <w:vertAlign w:val="superscript"/>
              </w:rPr>
              <w:t xml:space="preserve">3</w:t>
            </w:r>
            <w:r>
              <w:rPr>
                <w:rFonts w:ascii="TimesNewRoman" w:hAnsi="TimesNewRoman" w:eastAsia="TimesNewRoman" w:cs="TimesNewRoman"/>
                <w:sz w:val="24"/>
              </w:rPr>
              <w:t xml:space="preserve">, и сосуды, изолированные на основе вакуума и предназначенные для транспортирования и хранения сжиженных кислорода, азота и других некоррозионных криогенных жидкостей</w:t>
            </w:r>
          </w:p>
        </w:tc>
        <w:tc>
          <w:tcPr>
            <w:tcW w:w="1843"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10 лет</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10 лет</w:t>
            </w:r>
          </w:p>
        </w:tc>
      </w:tr>
      <w:tr>
        <w:tc>
          <w:tcPr>
            <w:tcW w:w="505"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5</w:t>
            </w:r>
          </w:p>
        </w:tc>
        <w:tc>
          <w:tcPr>
            <w:tcW w:w="326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Многослойные сосуды для аккумулирования газа, установленные на автомобильных газонаполнительных компрессорных станциях</w:t>
            </w:r>
          </w:p>
        </w:tc>
        <w:tc>
          <w:tcPr>
            <w:tcW w:w="1843"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10 лет</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10 лет</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10 лет</w:t>
            </w:r>
          </w:p>
        </w:tc>
      </w:tr>
      <w:tr>
        <w:tc>
          <w:tcPr>
            <w:tcW w:w="505"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6</w:t>
            </w:r>
          </w:p>
        </w:tc>
        <w:tc>
          <w:tcPr>
            <w:tcW w:w="326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Регенеративные подогреватели высокого и низкого давления, бойлеры, деаэраторы, ресиверы и расширители продувки электростанций</w:t>
            </w:r>
          </w:p>
        </w:tc>
        <w:tc>
          <w:tcPr>
            <w:tcW w:w="1843"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После каждого капитального ремонта, но не реже одного раза в 6 лет</w:t>
            </w:r>
          </w:p>
        </w:tc>
        <w:tc>
          <w:tcPr>
            <w:tcW w:w="3402" w:type="dxa"/>
            <w:gridSpan w:val="2"/>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Внутренний осмотр и гидравлическое испытание после двух капитальных ремонтов, но не реже одного раза в 12 лет</w:t>
            </w:r>
          </w:p>
        </w:tc>
      </w:tr>
      <w:tr>
        <w:tc>
          <w:tcPr>
            <w:tcW w:w="505"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7</w:t>
            </w:r>
          </w:p>
        </w:tc>
        <w:tc>
          <w:tcPr>
            <w:tcW w:w="326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Сосуды в производствах аммиака и метанола, вызывающих разрушение и физико-химическое превращение материала со скоростью не более 0,5 мм/год</w:t>
            </w:r>
          </w:p>
        </w:tc>
        <w:tc>
          <w:tcPr>
            <w:tcW w:w="1843"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12 месяцев</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8 лет</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8 лет</w:t>
            </w:r>
          </w:p>
        </w:tc>
      </w:tr>
      <w:tr>
        <w:tc>
          <w:tcPr>
            <w:tcW w:w="505"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8</w:t>
            </w:r>
          </w:p>
        </w:tc>
        <w:tc>
          <w:tcPr>
            <w:tcW w:w="326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Теплообменники с выдвижной трубной системой нефтехимических предприятий, работающие с давлением выше 0,07 до 100 МПа, со средой, вызывающей разрушение и физико-химическое превращение материала, со скоростью не более 0,1 мм/год</w:t>
            </w:r>
          </w:p>
        </w:tc>
        <w:tc>
          <w:tcPr>
            <w:tcW w:w="1843"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После каждой выемки трубной системы</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12 лет</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12 лет</w:t>
            </w:r>
          </w:p>
        </w:tc>
      </w:tr>
      <w:tr>
        <w:tc>
          <w:tcPr>
            <w:tcW w:w="505"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9</w:t>
            </w:r>
          </w:p>
        </w:tc>
        <w:tc>
          <w:tcPr>
            <w:tcW w:w="326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Теплообменники с выдвижной трубной системой нефтехимических предприятий, работающие с давлением выше 0,07 до 100 МПа, со средой, вызывающей разрушение и физико-химическое превращение материала со скоростью более 0,1 до 0,3 мм/год</w:t>
            </w:r>
          </w:p>
        </w:tc>
        <w:tc>
          <w:tcPr>
            <w:tcW w:w="1843"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После каждой выемки трубной системы</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8 лет</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8 лет</w:t>
            </w:r>
          </w:p>
        </w:tc>
      </w:tr>
      <w:tr>
        <w:tc>
          <w:tcPr>
            <w:tcW w:w="505"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10</w:t>
            </w:r>
          </w:p>
        </w:tc>
        <w:tc>
          <w:tcPr>
            <w:tcW w:w="326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Сосуды нефтехимических предприятий, работающие со средой, вызывающей разрушение и физико-химическое превращение материала со скоростью не более 0,1 мм/год</w:t>
            </w:r>
          </w:p>
        </w:tc>
        <w:tc>
          <w:tcPr>
            <w:tcW w:w="1843"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6 лет</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6 лет</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12 лет</w:t>
            </w:r>
          </w:p>
        </w:tc>
      </w:tr>
      <w:tr>
        <w:tc>
          <w:tcPr>
            <w:tcW w:w="505"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11</w:t>
            </w:r>
          </w:p>
        </w:tc>
        <w:tc>
          <w:tcPr>
            <w:tcW w:w="326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Сосуды нефтехимических предприятий, работающие со средой, вызывающей разрушение и физико-химическое превращение материала со скоростью более 0,1 до 0,3 мм/год</w:t>
            </w:r>
          </w:p>
        </w:tc>
        <w:tc>
          <w:tcPr>
            <w:tcW w:w="1843"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2 года</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4 года</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8 лет</w:t>
            </w:r>
          </w:p>
        </w:tc>
      </w:tr>
      <w:tr>
        <w:tc>
          <w:tcPr>
            <w:tcW w:w="505"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12</w:t>
            </w:r>
          </w:p>
        </w:tc>
        <w:tc>
          <w:tcPr>
            <w:tcW w:w="326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Сосуды нефтехимических предприятий, работающие со средой, вызывающей разрушение и физико-химическое превращение материала со скоростью более 0,3 мм/год</w:t>
            </w:r>
          </w:p>
        </w:tc>
        <w:tc>
          <w:tcPr>
            <w:tcW w:w="1843"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12 месяцев</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4 года</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8 лет</w:t>
            </w:r>
          </w:p>
        </w:tc>
      </w:tr>
      <w:tr>
        <w:tc>
          <w:tcPr>
            <w:tcW w:w="9014" w:type="dxa"/>
            <w:gridSpan w:val="5"/>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283"/>
              <w:jc w:val="both"/>
              <w:rPr>
                <w:rFonts w:ascii="TimesNewRoman" w:hAnsi="TimesNewRoman" w:eastAsia="TimesNewRoman" w:cs="TimesNewRoman"/>
                <w:sz w:val="24"/>
              </w:rPr>
            </w:pPr>
            <w:r>
              <w:rPr>
                <w:rFonts w:ascii="TimesNewRoman" w:hAnsi="TimesNewRoman" w:eastAsia="TimesNewRoman" w:cs="TimesNewRoman"/>
                <w:sz w:val="24"/>
              </w:rPr>
              <w:t xml:space="preserve">Техническое освидетельствование зарытых в грунт сосудов с некоррозионной средой, а также со сжиженным углеводородным газом с содержанием сероводорода не более 5 г/100 м</w:t>
            </w:r>
            <w:r>
              <w:rPr>
                <w:rFonts w:ascii="TimesNewRoman" w:hAnsi="TimesNewRoman" w:eastAsia="TimesNewRoman" w:cs="TimesNewRoman"/>
                <w:sz w:val="24"/>
                <w:vertAlign w:val="superscript"/>
              </w:rPr>
              <w:t xml:space="preserve">3</w:t>
            </w:r>
            <w:r>
              <w:rPr>
                <w:rFonts w:ascii="TimesNewRoman" w:hAnsi="TimesNewRoman" w:eastAsia="TimesNewRoman" w:cs="TimesNewRoman"/>
                <w:sz w:val="24"/>
              </w:rPr>
              <w:t xml:space="preserve"> можно производить без освобождения их от грунта и снятия наружной изоляции при условии отсутствия нарушений антикоррозионной защиты и проведения контроля толщины стенок сосудов неразрушающим методом. Замеры толщины стенок должны быть произведены по специально составленным для этого инструкциям.</w:t>
            </w:r>
          </w:p>
          <w:p>
            <w:pPr>
              <w:pStyle w:val="Style_180"/>
              <w:spacing w:before="0" w:after="0" w:line="240" w:lineRule="auto"/>
              <w:ind w:left="0" w:firstLine="283"/>
              <w:jc w:val="both"/>
              <w:rPr>
                <w:rFonts w:ascii="TimesNewRoman" w:hAnsi="TimesNewRoman" w:eastAsia="TimesNewRoman" w:cs="TimesNewRoman"/>
                <w:sz w:val="24"/>
              </w:rPr>
            </w:pPr>
            <w:r>
              <w:rPr>
                <w:rFonts w:ascii="TimesNewRoman" w:hAnsi="TimesNewRoman" w:eastAsia="TimesNewRoman" w:cs="TimesNewRoman"/>
                <w:sz w:val="24"/>
              </w:rPr>
              <w:t xml:space="preserve">Ультразвуковая дефектоскопия должна быть произведена в период их капитального ремонта, но не реже одного раза в пять лет по инструкции в объеме не менее 50% поверхности металла корпуса и не менее 50% длины швов, с тем чтобы 100% ультразвуковой контроль осуществлялся не реже чем через каждые 10 лет.</w:t>
            </w:r>
          </w:p>
          <w:p>
            <w:pPr>
              <w:pStyle w:val="Style_180"/>
              <w:spacing w:before="0" w:after="0" w:line="240" w:lineRule="auto"/>
              <w:ind w:left="0" w:firstLine="283"/>
              <w:jc w:val="both"/>
              <w:rPr>
                <w:rFonts w:ascii="TimesNewRoman" w:hAnsi="TimesNewRoman" w:eastAsia="TimesNewRoman" w:cs="TimesNewRoman"/>
                <w:sz w:val="24"/>
              </w:rPr>
            </w:pPr>
            <w:r>
              <w:rPr>
                <w:rFonts w:ascii="TimesNewRoman" w:hAnsi="TimesNewRoman" w:eastAsia="TimesNewRoman" w:cs="TimesNewRoman"/>
                <w:sz w:val="24"/>
              </w:rPr>
              <w:t xml:space="preserve">Сосуды, изготовляемые с применением композиционных материалов, зарытые в грунт, осматривают и испытывают по методике разработчика проекта и (или) организации-изготовителя сосуда.</w:t>
            </w:r>
          </w:p>
        </w:tc>
      </w:tr>
    </w:tbl>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Периодичность технических освидетельствований баллонов,</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находящихся в эксплуатации и не подлежащих учету в органах</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Ростехнадзора или иных федеральных органах исполнительной</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власти в области промышленной безопасности</w:t>
      </w:r>
    </w:p>
    <w:p>
      <w:pPr>
        <w:pStyle w:val="Style_180"/>
        <w:spacing w:before="0" w:after="0" w:line="240" w:lineRule="auto"/>
        <w:ind w:left="0" w:firstLine="0"/>
        <w:jc w:val="both"/>
        <w:rPr>
          <w:rFonts w:ascii="Arial" w:hAnsi="Arial" w:eastAsia="Arial" w:cs="Arial"/>
          <w:sz w:val="24"/>
        </w:rPr>
      </w:pPr>
    </w:p>
    <w:tbl>
      <w:tblPr>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62" w:type="dxa"/>
          <w:top w:w="102" w:type="dxa"/>
          <w:right w:w="62" w:type="dxa"/>
          <w:bottom w:w="102" w:type="dxa"/>
        </w:tblCellMar>
      </w:tblPr>
      <w:tblGrid>
        <w:gridCol w:w="562"/>
        <w:gridCol w:w="5102"/>
        <w:gridCol w:w="1701"/>
        <w:gridCol w:w="1644"/>
      </w:tblGrid>
      <w:tr>
        <w:tc>
          <w:tcPr>
            <w:tcW w:w="562"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N п/п</w:t>
            </w:r>
          </w:p>
        </w:tc>
        <w:tc>
          <w:tcPr>
            <w:tcW w:w="5102"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Наименование</w:t>
            </w:r>
          </w:p>
        </w:tc>
        <w:tc>
          <w:tcPr>
            <w:tcW w:w="170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Наружный и внутренний осмотры</w:t>
            </w:r>
          </w:p>
        </w:tc>
        <w:tc>
          <w:tcPr>
            <w:tcW w:w="1644"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Гидравлическое испытание или пневматическое испытание пробным давлением</w:t>
            </w:r>
          </w:p>
        </w:tc>
      </w:tr>
      <w:tr>
        <w:tc>
          <w:tcPr>
            <w:tcW w:w="562" w:type="dxa"/>
            <w:vMerge w:val="restart"/>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w:t>
            </w:r>
          </w:p>
        </w:tc>
        <w:tc>
          <w:tcPr>
            <w:tcW w:w="510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Баллоны, находящиеся в эксплуатации для наполнения газами, вызывающими разрушение и физико-химическое превращение материала:</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p>
        </w:tc>
        <w:tc>
          <w:tcPr>
            <w:tcW w:w="164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p>
        </w:tc>
      </w:tr>
      <w:tr>
        <w:tc>
          <w:tcPr>
            <w:tcW w:w="562"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510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со скоростью не более 0,1 мм/год</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5 лет</w:t>
            </w:r>
          </w:p>
        </w:tc>
        <w:tc>
          <w:tcPr>
            <w:tcW w:w="164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5 лет</w:t>
            </w:r>
          </w:p>
        </w:tc>
      </w:tr>
      <w:tr>
        <w:tc>
          <w:tcPr>
            <w:tcW w:w="562"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510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со скоростью более 0,1 мм/год</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2 года</w:t>
            </w:r>
          </w:p>
        </w:tc>
        <w:tc>
          <w:tcPr>
            <w:tcW w:w="164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2 года</w:t>
            </w:r>
          </w:p>
        </w:tc>
      </w:tr>
      <w:tr>
        <w:tc>
          <w:tcPr>
            <w:tcW w:w="562" w:type="dxa"/>
            <w:vMerge w:val="restart"/>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2</w:t>
            </w:r>
          </w:p>
        </w:tc>
        <w:tc>
          <w:tcPr>
            <w:tcW w:w="510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Баллоны, предназначенные для обеспечения топливом двигателей транспортных средств, на которых они установлены:</w:t>
            </w:r>
          </w:p>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а) для сжатого природного газа (компримированного):</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p>
        </w:tc>
        <w:tc>
          <w:tcPr>
            <w:tcW w:w="164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p>
        </w:tc>
      </w:tr>
      <w:tr>
        <w:tc>
          <w:tcPr>
            <w:tcW w:w="562"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510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изготовленные из легированных сталей</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5 лет</w:t>
            </w:r>
          </w:p>
        </w:tc>
        <w:tc>
          <w:tcPr>
            <w:tcW w:w="164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5 лет</w:t>
            </w:r>
          </w:p>
        </w:tc>
      </w:tr>
      <w:tr>
        <w:tc>
          <w:tcPr>
            <w:tcW w:w="562"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510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изготовленные из углеродистых сталей</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3 года</w:t>
            </w:r>
          </w:p>
        </w:tc>
        <w:tc>
          <w:tcPr>
            <w:tcW w:w="164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3 года</w:t>
            </w:r>
          </w:p>
        </w:tc>
      </w:tr>
      <w:tr>
        <w:tc>
          <w:tcPr>
            <w:tcW w:w="562"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510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металлокомпозитные со стальными или алюминиевыми лейнерами</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3 года</w:t>
            </w:r>
          </w:p>
        </w:tc>
        <w:tc>
          <w:tcPr>
            <w:tcW w:w="164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3 года</w:t>
            </w:r>
          </w:p>
        </w:tc>
      </w:tr>
      <w:tr>
        <w:tc>
          <w:tcPr>
            <w:tcW w:w="562"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510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композитные (изготовленные из неметаллических материалов)</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3 года</w:t>
            </w:r>
          </w:p>
        </w:tc>
        <w:tc>
          <w:tcPr>
            <w:tcW w:w="164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3 года</w:t>
            </w:r>
          </w:p>
        </w:tc>
      </w:tr>
      <w:tr>
        <w:tc>
          <w:tcPr>
            <w:tcW w:w="562"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510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б) для сжиженного газа</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2 года</w:t>
            </w:r>
          </w:p>
        </w:tc>
        <w:tc>
          <w:tcPr>
            <w:tcW w:w="164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2 года</w:t>
            </w:r>
          </w:p>
        </w:tc>
      </w:tr>
      <w:tr>
        <w:tc>
          <w:tcPr>
            <w:tcW w:w="56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3</w:t>
            </w:r>
          </w:p>
        </w:tc>
        <w:tc>
          <w:tcPr>
            <w:tcW w:w="510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Баллоны со средой, вызывающей разрушение и физико-химическое превращение материалов со скоростью менее 0,1 мм/год, в которых давление выше 0,07 МПа создается периодически для их опорожнения</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10 лет</w:t>
            </w:r>
          </w:p>
        </w:tc>
        <w:tc>
          <w:tcPr>
            <w:tcW w:w="164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10 лет</w:t>
            </w:r>
          </w:p>
        </w:tc>
      </w:tr>
      <w:tr>
        <w:tc>
          <w:tcPr>
            <w:tcW w:w="56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4</w:t>
            </w:r>
          </w:p>
        </w:tc>
        <w:tc>
          <w:tcPr>
            <w:tcW w:w="510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Баллоны, установленные стационарно, а также установленные постоянно на передвижных средствах, в которых хранятся сжатый воздух, кислород, аргон, азот, гелий с температурой точки росы минус 35 °C и ниже, определенной при давлении 15 МПа (150 кгс/см</w:t>
            </w:r>
            <w:r>
              <w:rPr>
                <w:rFonts w:ascii="TimesNewRoman" w:hAnsi="TimesNewRoman" w:eastAsia="TimesNewRoman" w:cs="TimesNewRoman"/>
                <w:sz w:val="24"/>
                <w:vertAlign w:val="superscript"/>
              </w:rPr>
              <w:t xml:space="preserve">2</w:t>
            </w:r>
            <w:r>
              <w:rPr>
                <w:rFonts w:ascii="TimesNewRoman" w:hAnsi="TimesNewRoman" w:eastAsia="TimesNewRoman" w:cs="TimesNewRoman"/>
                <w:sz w:val="24"/>
              </w:rPr>
              <w:t xml:space="preserve">) и выше, а также баллоны с обезвоженной углекислотой</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10 лет</w:t>
            </w:r>
          </w:p>
        </w:tc>
        <w:tc>
          <w:tcPr>
            <w:tcW w:w="164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10 лет</w:t>
            </w:r>
          </w:p>
        </w:tc>
      </w:tr>
      <w:tr>
        <w:tc>
          <w:tcPr>
            <w:tcW w:w="56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5</w:t>
            </w:r>
          </w:p>
        </w:tc>
        <w:tc>
          <w:tcPr>
            <w:tcW w:w="5102"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Все остальные баллоны:</w:t>
            </w:r>
          </w:p>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металлокомпозитные и композитные</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5 лет</w:t>
            </w:r>
          </w:p>
        </w:tc>
        <w:tc>
          <w:tcPr>
            <w:tcW w:w="164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5 лет</w:t>
            </w:r>
          </w:p>
        </w:tc>
      </w:tr>
    </w:tbl>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Периодичность технических освидетельствований баллонов,</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находящихся в эксплуатации и подлежащих учету в органах</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Ростехнадзора или иных федеральных органах исполнительной</w:t>
      </w:r>
    </w:p>
    <w:p>
      <w:pPr>
        <w:pStyle w:val="Style_182"/>
        <w:spacing w:before="0" w:after="0" w:line="240" w:lineRule="auto"/>
        <w:ind w:left="0" w:firstLine="0"/>
        <w:jc w:val="center"/>
        <w:rPr>
          <w:rFonts w:ascii="Arial" w:hAnsi="Arial" w:eastAsia="Arial" w:cs="Arial"/>
          <w:b/>
          <w:sz w:val="24"/>
        </w:rPr>
      </w:pPr>
      <w:r>
        <w:rPr>
          <w:rFonts w:ascii="Arial" w:hAnsi="Arial" w:eastAsia="Arial" w:cs="Arial"/>
          <w:b/>
          <w:sz w:val="24"/>
        </w:rPr>
        <w:t xml:space="preserve">власти в области промышленной безопасности</w:t>
      </w:r>
    </w:p>
    <w:p>
      <w:pPr>
        <w:pStyle w:val="Style_180"/>
        <w:spacing w:before="0" w:after="0" w:line="240" w:lineRule="auto"/>
        <w:ind w:left="0" w:firstLine="0"/>
        <w:jc w:val="both"/>
        <w:rPr>
          <w:rFonts w:ascii="Arial" w:hAnsi="Arial" w:eastAsia="Arial" w:cs="Arial"/>
          <w:sz w:val="24"/>
        </w:rPr>
      </w:pPr>
    </w:p>
    <w:tbl>
      <w:tblPr>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62" w:type="dxa"/>
          <w:top w:w="102" w:type="dxa"/>
          <w:right w:w="62" w:type="dxa"/>
          <w:bottom w:w="102" w:type="dxa"/>
        </w:tblCellMar>
      </w:tblPr>
      <w:tblGrid>
        <w:gridCol w:w="505"/>
        <w:gridCol w:w="3264"/>
        <w:gridCol w:w="1843"/>
        <w:gridCol w:w="1701"/>
        <w:gridCol w:w="1701"/>
      </w:tblGrid>
      <w:tr>
        <w:tc>
          <w:tcPr>
            <w:tcW w:w="505"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N п/п</w:t>
            </w:r>
          </w:p>
        </w:tc>
        <w:tc>
          <w:tcPr>
            <w:tcW w:w="3264"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Наименование</w:t>
            </w:r>
          </w:p>
        </w:tc>
        <w:tc>
          <w:tcPr>
            <w:tcW w:w="184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Ответственными лицами</w:t>
            </w:r>
          </w:p>
        </w:tc>
        <w:tc>
          <w:tcPr>
            <w:tcW w:w="3402" w:type="dxa"/>
            <w:gridSpan w:val="2"/>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Специалистом уполномоченной организации</w:t>
            </w:r>
          </w:p>
        </w:tc>
      </w:tr>
      <w:tr>
        <w:tc>
          <w:tcPr>
            <w:tcW w:w="505"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3264"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184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наружный и внутренний осмотры</w:t>
            </w:r>
          </w:p>
        </w:tc>
        <w:tc>
          <w:tcPr>
            <w:tcW w:w="170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наружный и внутренний осмотры</w:t>
            </w:r>
          </w:p>
        </w:tc>
        <w:tc>
          <w:tcPr>
            <w:tcW w:w="170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гидравлическое испытание пробным давлением</w:t>
            </w:r>
          </w:p>
        </w:tc>
      </w:tr>
      <w:tr>
        <w:tc>
          <w:tcPr>
            <w:tcW w:w="505" w:type="dxa"/>
            <w:vMerge w:val="restart"/>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w:t>
            </w:r>
          </w:p>
        </w:tc>
        <w:tc>
          <w:tcPr>
            <w:tcW w:w="326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Баллоны, установленные стационарно, а также установленные постоянно на передвижных средствах, в которых хранятся сжатый воздух, кислород, азот, аргон и гелий с температурой точки росы минус 35 °C и ниже, измеренной при давлении 15 МПа (150 кгс/см</w:t>
            </w:r>
            <w:r>
              <w:rPr>
                <w:rFonts w:ascii="TimesNewRoman" w:hAnsi="TimesNewRoman" w:eastAsia="TimesNewRoman" w:cs="TimesNewRoman"/>
                <w:sz w:val="24"/>
                <w:vertAlign w:val="superscript"/>
              </w:rPr>
              <w:t xml:space="preserve">2</w:t>
            </w:r>
            <w:r>
              <w:rPr>
                <w:rFonts w:ascii="TimesNewRoman" w:hAnsi="TimesNewRoman" w:eastAsia="TimesNewRoman" w:cs="TimesNewRoman"/>
                <w:sz w:val="24"/>
              </w:rPr>
              <w:t xml:space="preserve">) и выше, а также баллоны с обезвоженной углекислотой:</w:t>
            </w:r>
          </w:p>
        </w:tc>
        <w:tc>
          <w:tcPr>
            <w:tcW w:w="1843"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Наружный осмотр перед каждой заправкой</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w:t>
            </w:r>
          </w:p>
        </w:tc>
      </w:tr>
      <w:tr>
        <w:tc>
          <w:tcPr>
            <w:tcW w:w="505"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326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металлические</w:t>
            </w:r>
          </w:p>
        </w:tc>
        <w:tc>
          <w:tcPr>
            <w:tcW w:w="1843"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10 лет</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10 лет</w:t>
            </w:r>
          </w:p>
        </w:tc>
      </w:tr>
      <w:tr>
        <w:tc>
          <w:tcPr>
            <w:tcW w:w="505"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326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металлокомпозитные</w:t>
            </w:r>
          </w:p>
        </w:tc>
        <w:tc>
          <w:tcPr>
            <w:tcW w:w="1843"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5 лет</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5 лет</w:t>
            </w:r>
          </w:p>
        </w:tc>
      </w:tr>
      <w:tr>
        <w:tc>
          <w:tcPr>
            <w:tcW w:w="505"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326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композитные</w:t>
            </w:r>
          </w:p>
        </w:tc>
        <w:tc>
          <w:tcPr>
            <w:tcW w:w="1843"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5 лет</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5 лет</w:t>
            </w:r>
          </w:p>
        </w:tc>
      </w:tr>
      <w:tr>
        <w:tc>
          <w:tcPr>
            <w:tcW w:w="505" w:type="dxa"/>
            <w:vMerge w:val="restart"/>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2</w:t>
            </w:r>
          </w:p>
        </w:tc>
        <w:tc>
          <w:tcPr>
            <w:tcW w:w="326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Баллоны, установленные стационарно, а также установленные постоянно на передвижных средствах, в которых хранится сжатый природный газ (компримированный):</w:t>
            </w:r>
          </w:p>
        </w:tc>
        <w:tc>
          <w:tcPr>
            <w:tcW w:w="1843"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Наружный осмотр перед каждой заправкой</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w:t>
            </w:r>
          </w:p>
        </w:tc>
      </w:tr>
      <w:tr>
        <w:tc>
          <w:tcPr>
            <w:tcW w:w="505"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326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металлические</w:t>
            </w:r>
          </w:p>
        </w:tc>
        <w:tc>
          <w:tcPr>
            <w:tcW w:w="1843"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5 лет</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5 лет</w:t>
            </w:r>
          </w:p>
        </w:tc>
      </w:tr>
      <w:tr>
        <w:tc>
          <w:tcPr>
            <w:tcW w:w="505"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326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металлокомпозитные</w:t>
            </w:r>
          </w:p>
        </w:tc>
        <w:tc>
          <w:tcPr>
            <w:tcW w:w="1843"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5 лет</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5 лет</w:t>
            </w:r>
          </w:p>
        </w:tc>
      </w:tr>
      <w:tr>
        <w:tc>
          <w:tcPr>
            <w:tcW w:w="505"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326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композитные</w:t>
            </w:r>
          </w:p>
        </w:tc>
        <w:tc>
          <w:tcPr>
            <w:tcW w:w="1843"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3 года</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3 года</w:t>
            </w:r>
          </w:p>
        </w:tc>
      </w:tr>
      <w:tr>
        <w:tc>
          <w:tcPr>
            <w:tcW w:w="505" w:type="dxa"/>
            <w:vMerge w:val="restart"/>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3</w:t>
            </w:r>
          </w:p>
        </w:tc>
        <w:tc>
          <w:tcPr>
            <w:tcW w:w="8509" w:type="dxa"/>
            <w:gridSpan w:val="4"/>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Все остальные баллоны:</w:t>
            </w:r>
          </w:p>
        </w:tc>
      </w:tr>
      <w:tr>
        <w:tc>
          <w:tcPr>
            <w:tcW w:w="505"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326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со средой, вызывающей разрушение и физико-химическое превращение материалов со скоростью не более 0,1 мм/год;</w:t>
            </w:r>
          </w:p>
        </w:tc>
        <w:tc>
          <w:tcPr>
            <w:tcW w:w="1843"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2 года</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4 года</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8 лет</w:t>
            </w:r>
          </w:p>
        </w:tc>
      </w:tr>
      <w:tr>
        <w:tc>
          <w:tcPr>
            <w:tcW w:w="505"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3264"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со средой, вызывающей разрушение и физико-химическое превращение материалов со скоростью более 0,1 мм/год</w:t>
            </w:r>
          </w:p>
        </w:tc>
        <w:tc>
          <w:tcPr>
            <w:tcW w:w="1843"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12 месяцев</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4 года</w:t>
            </w:r>
          </w:p>
        </w:tc>
        <w:tc>
          <w:tcPr>
            <w:tcW w:w="1701" w:type="dxa"/>
            <w:tcBorders>
              <w:top w:val="single" w:color="000000" w:sz="4"/>
              <w:left w:val="single" w:color="000000" w:sz="4"/>
              <w:bottom w:val="single" w:color="000000" w:sz="4"/>
              <w:right w:val="single" w:color="000000" w:sz="4"/>
            </w:tcBorders>
            <w:noWrap w:val="false"/>
            <w:textDirection w:val="lrTb"/>
            <w:vAlign w:val="center"/>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8 лет</w:t>
            </w:r>
          </w:p>
        </w:tc>
      </w:tr>
    </w:tbl>
    <w:p>
      <w:pPr>
        <w:pStyle w:val="Style_180"/>
        <w:spacing w:before="0" w:after="0" w:line="240" w:lineRule="auto"/>
        <w:ind w:left="0" w:firstLine="0"/>
        <w:jc w:val="both"/>
        <w:rPr>
          <w:rFonts w:ascii="TimesNewRoman" w:hAnsi="TimesNewRoman" w:eastAsia="TimesNewRoman" w:cs="TimesNewRoman"/>
          <w:sz w:val="24"/>
        </w:rPr>
      </w:pPr>
    </w:p>
    <w:p>
      <w:pPr>
        <w:pStyle w:val="Style_182"/>
        <w:spacing w:before="0" w:after="0" w:line="240" w:lineRule="auto"/>
        <w:ind w:left="0" w:firstLine="0"/>
        <w:jc w:val="center"/>
        <w:outlineLvl w:val="2"/>
        <w:rPr>
          <w:rFonts w:ascii="Arial" w:hAnsi="Arial" w:eastAsia="Arial" w:cs="Arial"/>
          <w:b/>
          <w:sz w:val="24"/>
        </w:rPr>
      </w:pPr>
      <w:r>
        <w:rPr>
          <w:rFonts w:ascii="Arial" w:hAnsi="Arial" w:eastAsia="Arial" w:cs="Arial"/>
          <w:b/>
          <w:sz w:val="24"/>
        </w:rPr>
        <w:t xml:space="preserve">НОРМЫ НАПОЛНЕНИЯ БАЛЛОНОВ СЖИЖЕННЫМИ ГАЗАМИ</w:t>
      </w:r>
    </w:p>
    <w:p>
      <w:pPr>
        <w:pStyle w:val="Style_180"/>
        <w:spacing w:before="0" w:after="0" w:line="240" w:lineRule="auto"/>
        <w:ind w:left="0" w:firstLine="0"/>
        <w:jc w:val="both"/>
        <w:rPr>
          <w:rFonts w:ascii="Arial" w:hAnsi="Arial" w:eastAsia="Arial" w:cs="Arial"/>
          <w:sz w:val="24"/>
        </w:rPr>
      </w:pPr>
    </w:p>
    <w:tbl>
      <w:tblPr>
        <w:tblW w:w="0" w:type="auto"/>
        <w:tblInd w:w="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62" w:type="dxa"/>
          <w:top w:w="102" w:type="dxa"/>
          <w:right w:w="62" w:type="dxa"/>
          <w:bottom w:w="102" w:type="dxa"/>
        </w:tblCellMar>
      </w:tblPr>
      <w:tblGrid>
        <w:gridCol w:w="2773"/>
        <w:gridCol w:w="3005"/>
        <w:gridCol w:w="3231"/>
      </w:tblGrid>
      <w:tr>
        <w:tc>
          <w:tcPr>
            <w:tcW w:w="277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Наименование газа</w:t>
            </w:r>
          </w:p>
        </w:tc>
        <w:tc>
          <w:tcPr>
            <w:tcW w:w="300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Масса газа на 1 л вместимости баллона, кг, не более</w:t>
            </w:r>
          </w:p>
        </w:tc>
        <w:tc>
          <w:tcPr>
            <w:tcW w:w="323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Вместимость баллона, приходящегося на 1 кг газа, л, не менее</w:t>
            </w:r>
          </w:p>
        </w:tc>
      </w:tr>
      <w:tr>
        <w:tc>
          <w:tcPr>
            <w:tcW w:w="277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Аммиак</w:t>
            </w:r>
          </w:p>
        </w:tc>
        <w:tc>
          <w:tcPr>
            <w:tcW w:w="300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0,570</w:t>
            </w:r>
          </w:p>
        </w:tc>
        <w:tc>
          <w:tcPr>
            <w:tcW w:w="323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1,76</w:t>
            </w:r>
          </w:p>
        </w:tc>
      </w:tr>
      <w:tr>
        <w:tc>
          <w:tcPr>
            <w:tcW w:w="277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Бутан</w:t>
            </w:r>
          </w:p>
        </w:tc>
        <w:tc>
          <w:tcPr>
            <w:tcW w:w="300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0,488</w:t>
            </w:r>
          </w:p>
        </w:tc>
        <w:tc>
          <w:tcPr>
            <w:tcW w:w="323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2,05</w:t>
            </w:r>
          </w:p>
        </w:tc>
      </w:tr>
      <w:tr>
        <w:tc>
          <w:tcPr>
            <w:tcW w:w="277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Бутилен, изобутилен</w:t>
            </w:r>
          </w:p>
        </w:tc>
        <w:tc>
          <w:tcPr>
            <w:tcW w:w="300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0,526</w:t>
            </w:r>
          </w:p>
        </w:tc>
        <w:tc>
          <w:tcPr>
            <w:tcW w:w="323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1,90</w:t>
            </w:r>
          </w:p>
        </w:tc>
      </w:tr>
      <w:tr>
        <w:tc>
          <w:tcPr>
            <w:tcW w:w="277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Окись этилена</w:t>
            </w:r>
          </w:p>
        </w:tc>
        <w:tc>
          <w:tcPr>
            <w:tcW w:w="300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0,716</w:t>
            </w:r>
          </w:p>
        </w:tc>
        <w:tc>
          <w:tcPr>
            <w:tcW w:w="323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1,40</w:t>
            </w:r>
          </w:p>
        </w:tc>
      </w:tr>
      <w:tr>
        <w:tc>
          <w:tcPr>
            <w:tcW w:w="277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Пропан</w:t>
            </w:r>
          </w:p>
        </w:tc>
        <w:tc>
          <w:tcPr>
            <w:tcW w:w="300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0,425</w:t>
            </w:r>
          </w:p>
        </w:tc>
        <w:tc>
          <w:tcPr>
            <w:tcW w:w="323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2,35</w:t>
            </w:r>
          </w:p>
        </w:tc>
      </w:tr>
      <w:tr>
        <w:tc>
          <w:tcPr>
            <w:tcW w:w="277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Пропилен</w:t>
            </w:r>
          </w:p>
        </w:tc>
        <w:tc>
          <w:tcPr>
            <w:tcW w:w="300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0,445</w:t>
            </w:r>
          </w:p>
        </w:tc>
        <w:tc>
          <w:tcPr>
            <w:tcW w:w="323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2,25</w:t>
            </w:r>
          </w:p>
        </w:tc>
      </w:tr>
      <w:tr>
        <w:tc>
          <w:tcPr>
            <w:tcW w:w="277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Сероводород, фосген, хлор</w:t>
            </w:r>
          </w:p>
        </w:tc>
        <w:tc>
          <w:tcPr>
            <w:tcW w:w="300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1,250</w:t>
            </w:r>
          </w:p>
        </w:tc>
        <w:tc>
          <w:tcPr>
            <w:tcW w:w="323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0,80</w:t>
            </w:r>
          </w:p>
        </w:tc>
      </w:tr>
      <w:tr>
        <w:tc>
          <w:tcPr>
            <w:tcW w:w="2773" w:type="dxa"/>
            <w:vMerge w:val="restart"/>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Углекислота</w:t>
            </w:r>
          </w:p>
        </w:tc>
        <w:tc>
          <w:tcPr>
            <w:tcW w:w="6236" w:type="dxa"/>
            <w:gridSpan w:val="2"/>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норма наполнения при рабочем давлении в баллоне 20,0 МПа</w:t>
            </w:r>
          </w:p>
        </w:tc>
      </w:tr>
      <w:tr>
        <w:tc>
          <w:tcPr>
            <w:tcW w:w="2773"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300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0,720</w:t>
            </w:r>
          </w:p>
        </w:tc>
        <w:tc>
          <w:tcPr>
            <w:tcW w:w="323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1,34</w:t>
            </w:r>
          </w:p>
        </w:tc>
      </w:tr>
      <w:tr>
        <w:tc>
          <w:tcPr>
            <w:tcW w:w="2773" w:type="dxa"/>
            <w:vMerge w:val="continue"/>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p>
        </w:tc>
        <w:tc>
          <w:tcPr>
            <w:tcW w:w="6236" w:type="dxa"/>
            <w:gridSpan w:val="2"/>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Для баллонов с другим рабочим давлением коэффициент заполнения не должен превышать:</w:t>
            </w:r>
          </w:p>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при рабочем давлении 10,0 МПа - 0,29 кг/л;</w:t>
            </w:r>
          </w:p>
          <w:p>
            <w:pPr>
              <w:pStyle w:val="Style_180"/>
              <w:spacing w:before="0" w:after="0" w:line="240" w:lineRule="auto"/>
              <w:ind w:left="0" w:firstLine="0"/>
              <w:jc w:val="both"/>
              <w:rPr>
                <w:rFonts w:ascii="TimesNewRoman" w:hAnsi="TimesNewRoman" w:eastAsia="TimesNewRoman" w:cs="TimesNewRoman"/>
                <w:sz w:val="24"/>
              </w:rPr>
            </w:pPr>
            <w:r>
              <w:rPr>
                <w:rFonts w:ascii="TimesNewRoman" w:hAnsi="TimesNewRoman" w:eastAsia="TimesNewRoman" w:cs="TimesNewRoman"/>
                <w:sz w:val="24"/>
              </w:rPr>
              <w:t xml:space="preserve">12,5 МПа - 0,47 кг/л; 15,0 МПа - 0,60 кг/л.</w:t>
            </w:r>
          </w:p>
        </w:tc>
      </w:tr>
      <w:tr>
        <w:tc>
          <w:tcPr>
            <w:tcW w:w="277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Хладагент R-11</w:t>
            </w:r>
          </w:p>
        </w:tc>
        <w:tc>
          <w:tcPr>
            <w:tcW w:w="300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1,200</w:t>
            </w:r>
          </w:p>
        </w:tc>
        <w:tc>
          <w:tcPr>
            <w:tcW w:w="323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0,83</w:t>
            </w:r>
          </w:p>
        </w:tc>
      </w:tr>
      <w:tr>
        <w:tc>
          <w:tcPr>
            <w:tcW w:w="277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Хладагент R-12</w:t>
            </w:r>
          </w:p>
        </w:tc>
        <w:tc>
          <w:tcPr>
            <w:tcW w:w="300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1,100</w:t>
            </w:r>
          </w:p>
        </w:tc>
        <w:tc>
          <w:tcPr>
            <w:tcW w:w="323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0,90</w:t>
            </w:r>
          </w:p>
        </w:tc>
      </w:tr>
      <w:tr>
        <w:tc>
          <w:tcPr>
            <w:tcW w:w="277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Хладагент R-13</w:t>
            </w:r>
          </w:p>
        </w:tc>
        <w:tc>
          <w:tcPr>
            <w:tcW w:w="300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0,600</w:t>
            </w:r>
          </w:p>
        </w:tc>
        <w:tc>
          <w:tcPr>
            <w:tcW w:w="323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1,67</w:t>
            </w:r>
          </w:p>
        </w:tc>
      </w:tr>
      <w:tr>
        <w:tc>
          <w:tcPr>
            <w:tcW w:w="277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Хладагент R-22</w:t>
            </w:r>
          </w:p>
        </w:tc>
        <w:tc>
          <w:tcPr>
            <w:tcW w:w="300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1,000</w:t>
            </w:r>
          </w:p>
        </w:tc>
        <w:tc>
          <w:tcPr>
            <w:tcW w:w="323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1,00</w:t>
            </w:r>
          </w:p>
        </w:tc>
      </w:tr>
      <w:tr>
        <w:tc>
          <w:tcPr>
            <w:tcW w:w="277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Хлористый метил, хлористый этил</w:t>
            </w:r>
          </w:p>
        </w:tc>
        <w:tc>
          <w:tcPr>
            <w:tcW w:w="300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0,800</w:t>
            </w:r>
          </w:p>
        </w:tc>
        <w:tc>
          <w:tcPr>
            <w:tcW w:w="323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1,25</w:t>
            </w:r>
          </w:p>
        </w:tc>
      </w:tr>
      <w:tr>
        <w:tc>
          <w:tcPr>
            <w:tcW w:w="2773"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left"/>
              <w:rPr>
                <w:rFonts w:ascii="TimesNewRoman" w:hAnsi="TimesNewRoman" w:eastAsia="TimesNewRoman" w:cs="TimesNewRoman"/>
                <w:sz w:val="24"/>
              </w:rPr>
            </w:pPr>
            <w:r>
              <w:rPr>
                <w:rFonts w:ascii="TimesNewRoman" w:hAnsi="TimesNewRoman" w:eastAsia="TimesNewRoman" w:cs="TimesNewRoman"/>
                <w:sz w:val="24"/>
              </w:rPr>
              <w:t xml:space="preserve">Этилен</w:t>
            </w:r>
          </w:p>
        </w:tc>
        <w:tc>
          <w:tcPr>
            <w:tcW w:w="3005"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0,286</w:t>
            </w:r>
          </w:p>
        </w:tc>
        <w:tc>
          <w:tcPr>
            <w:tcW w:w="3231" w:type="dxa"/>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0"/>
              <w:jc w:val="center"/>
              <w:rPr>
                <w:rFonts w:ascii="TimesNewRoman" w:hAnsi="TimesNewRoman" w:eastAsia="TimesNewRoman" w:cs="TimesNewRoman"/>
                <w:sz w:val="24"/>
              </w:rPr>
            </w:pPr>
            <w:r>
              <w:rPr>
                <w:rFonts w:ascii="TimesNewRoman" w:hAnsi="TimesNewRoman" w:eastAsia="TimesNewRoman" w:cs="TimesNewRoman"/>
                <w:sz w:val="24"/>
              </w:rPr>
              <w:t xml:space="preserve">3,50</w:t>
            </w:r>
          </w:p>
        </w:tc>
      </w:tr>
      <w:tr>
        <w:tc>
          <w:tcPr>
            <w:tcW w:w="9009" w:type="dxa"/>
            <w:gridSpan w:val="3"/>
            <w:tcBorders>
              <w:top w:val="single" w:color="000000" w:sz="4"/>
              <w:left w:val="single" w:color="000000" w:sz="4"/>
              <w:bottom w:val="single" w:color="000000" w:sz="4"/>
              <w:right w:val="single" w:color="000000" w:sz="4"/>
            </w:tcBorders>
            <w:noWrap w:val="false"/>
            <w:textDirection w:val="lrTb"/>
            <w:vAlign w:val="top"/>
          </w:tcPr>
          <w:p>
            <w:pPr>
              <w:pStyle w:val="Style_180"/>
              <w:spacing w:before="0" w:after="0" w:line="240" w:lineRule="auto"/>
              <w:ind w:left="0" w:firstLine="283"/>
              <w:jc w:val="both"/>
              <w:rPr>
                <w:rFonts w:ascii="TimesNewRoman" w:hAnsi="TimesNewRoman" w:eastAsia="TimesNewRoman" w:cs="TimesNewRoman"/>
                <w:sz w:val="24"/>
              </w:rPr>
            </w:pPr>
            <w:r>
              <w:rPr>
                <w:rFonts w:ascii="TimesNewRoman" w:hAnsi="TimesNewRoman" w:eastAsia="TimesNewRoman" w:cs="TimesNewRoman"/>
                <w:sz w:val="24"/>
              </w:rPr>
              <w:t xml:space="preserve">Для газов, не указанных в данной таблице, норма наполнения устанавливается производственными инструкциями наполнительных станций в соответствии с техническими условиями организации-изготовителя газа.</w:t>
            </w:r>
          </w:p>
        </w:tc>
      </w:tr>
    </w:tbl>
    <w:p>
      <w:pPr>
        <w:pStyle w:val="Style_180"/>
        <w:spacing w:before="0" w:after="0" w:line="240" w:lineRule="auto"/>
        <w:ind w:left="0" w:firstLine="0"/>
        <w:jc w:val="both"/>
        <w:rPr>
          <w:rFonts w:ascii="TimesNewRoman" w:hAnsi="TimesNewRoman" w:eastAsia="TimesNewRoman" w:cs="TimesNewRoman"/>
          <w:sz w:val="24"/>
        </w:rPr>
      </w:pPr>
    </w:p>
    <w:sectPr>
      <w:headerReference w:type="default" r:id="rId8"/>
      <w:footerReference w:type="default" r:id="rId9"/>
      <w:footnotePr>
        <w:pos w:val="pageBottom"/>
      </w:footnotePr>
      <w:type w:val="nextPage"/>
      <w:pgSz w:w="11906" w:h="16838"/>
      <w:pgMar w:top="993" w:right="566" w:bottom="851" w:left="1133" w:header="0" w:footer="0" w:gutter="0"/>
      <w:cols w:num="1"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0">
    <w:p>
      <w:pPr>
        <w:pStyle w:val="Style_177"/>
        <w:spacing w:before="0" w:after="0" w:line="240" w:lineRule="auto"/>
        <w:ind w:left="0" w:firstLine="0"/>
        <w:jc w:val="left"/>
        <w:rPr>
          <w:rFonts w:ascii="Calibri" w:hAnsi="Calibri" w:eastAsia="Calibri" w:cs="Calibri"/>
          <w:sz w:val="22"/>
        </w:rPr>
      </w:pPr>
      <w:r>
        <w:rPr>
          <w:rFonts w:ascii="Calibri" w:hAnsi="Calibri" w:eastAsia="Calibri" w:cs="Calibri"/>
          <w:sz w:val="22"/>
        </w:rPr>
        <w:separator/>
      </w:r>
    </w:p>
  </w:endnote>
  <w:endnote w:type="continuationSeparator" w:id="1">
    <w:p>
      <w:pPr>
        <w:pStyle w:val="Style_177"/>
        <w:spacing w:before="0" w:after="0" w:line="240" w:lineRule="auto"/>
        <w:ind w:left="0" w:firstLine="0"/>
        <w:jc w:val="left"/>
        <w:rPr>
          <w:rFonts w:ascii="Calibri" w:hAnsi="Calibri" w:eastAsia="Calibri" w:cs="Calibri"/>
          <w:sz w:val="22"/>
        </w:rPr>
      </w:pPr>
      <w:r>
        <w:rPr>
          <w:rFonts w:ascii="Calibri" w:hAnsi="Calibri" w:eastAsia="Calibri" w:cs="Calibri"/>
          <w:sz w:val="22"/>
        </w:rPr>
        <w: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6040504020204"/>
  </w:font>
  <w:font w:name="CourierNew">
    <w:panose1 w:val="02000603000000000000"/>
  </w:font>
  <w:font w:name="TimesNewRoman">
    <w:panose1 w:val="02000603000000000000"/>
  </w:font>
  <w:font w:name="SegoeUI">
    <w:panose1 w:val="02000603000000000000"/>
  </w:font>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Style_180"/>
      <w:spacing w:before="0" w:after="0" w:line="240" w:lineRule="auto"/>
      <w:ind w:left="0" w:firstLine="0"/>
      <w:jc w:val="left"/>
      <w:rPr>
        <w:rFonts w:ascii="TimesNewRoman" w:hAnsi="TimesNewRoman" w:eastAsia="TimesNewRoman" w:cs="TimesNewRoman"/>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0">
    <w:p>
      <w:pPr>
        <w:pStyle w:val="Style_177"/>
        <w:spacing w:before="0" w:after="0" w:line="240" w:lineRule="auto"/>
        <w:ind w:left="0" w:firstLine="0"/>
        <w:jc w:val="left"/>
        <w:rPr>
          <w:rFonts w:ascii="Calibri" w:hAnsi="Calibri" w:eastAsia="Calibri" w:cs="Calibri"/>
          <w:sz w:val="22"/>
        </w:rPr>
      </w:pPr>
      <w:r>
        <w:rPr>
          <w:rFonts w:ascii="Calibri" w:hAnsi="Calibri" w:eastAsia="Calibri" w:cs="Calibri"/>
          <w:sz w:val="22"/>
        </w:rPr>
        <w:separator/>
      </w:r>
    </w:p>
  </w:footnote>
  <w:footnote w:type="continuationSeparator" w:id="1">
    <w:p>
      <w:pPr>
        <w:pStyle w:val="Style_177"/>
        <w:spacing w:before="0" w:after="0" w:line="240" w:lineRule="auto"/>
        <w:ind w:left="0" w:firstLine="0"/>
        <w:jc w:val="left"/>
        <w:rPr>
          <w:rFonts w:ascii="Calibri" w:hAnsi="Calibri" w:eastAsia="Calibri" w:cs="Calibri"/>
          <w:sz w:val="22"/>
        </w:rPr>
      </w:pPr>
      <w:r>
        <w:rPr>
          <w:rFonts w:ascii="Calibri" w:hAnsi="Calibri" w:eastAsia="Calibri" w:cs="Calibri"/>
          <w:sz w:val="22"/>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Style_191"/>
      <w:tabs>
        <w:tab w:val="center" w:pos="4677"/>
        <w:tab w:val="right" w:pos="9355"/>
      </w:tabs>
      <w:spacing w:before="0" w:after="160" w:line="259" w:lineRule="auto"/>
      <w:ind w:left="0" w:firstLine="0"/>
      <w:jc w:val="left"/>
      <w:rPr>
        <w:rFonts w:ascii="TimesNewRoman" w:hAnsi="TimesNewRoman" w:eastAsia="TimesNewRoman" w:cs="TimesNewRoman"/>
        <w:sz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pos w:val="beneathText"/>
    <w:numStart w:val="1"/>
    <w:numRestart w:val="continuous"/>
    <w:footnote w:id="0"/>
    <w:footnote w:id="1"/>
  </w:footnotePr>
  <w:endnotePr>
    <w:pos w:val="sectEnd"/>
    <w:numStart w:val="1"/>
    <w:numRestart w:val="eachSect"/>
    <w:endnote w:id="0"/>
    <w:endnote w:id="1"/>
  </w:endnotePr>
  <w:compat>
    <w:forgetLastTabAlignment w:val="true"/>
    <w:compatSetting w:name="compatibilityMode" w:uri="http://schemas.microsoft.com/office/word" w:val="11"/>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rPr>
    </w:rPrDefault>
    <w:pPrDefault>
      <w:pPr>
        <w:spacing w:before="0" w:after="160" w:line="259" w:lineRule="auto"/>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Style_1">
    <w:name w:val="Heading 1"/>
    <w:basedOn w:val="Style_177"/>
    <w:qFormat/>
    <w:personalCompose/>
    <w:pPr>
      <w:keepNext/>
      <w:keepLines/>
      <w:spacing w:before="480" w:after="200" w:line="240" w:lineRule="auto"/>
      <w:jc w:val="left"/>
      <w:outlineLvl w:val="0"/>
    </w:pPr>
    <w:rPr>
      <w:rFonts w:ascii="Arial" w:hAnsi="Arial" w:eastAsia="Arial" w:cs="Arial"/>
      <w:sz w:val="40"/>
    </w:rPr>
  </w:style>
  <w:style w:type="character" w:styleId="Style_2">
    <w:name w:val="Heading 1 Char"/>
    <w:basedOn w:val="Style_178"/>
    <w:personalCompose/>
    <w:rPr>
      <w:rFonts w:ascii="Arial" w:hAnsi="Arial" w:eastAsia="Arial" w:cs="Arial"/>
      <w:sz w:val="40"/>
    </w:rPr>
  </w:style>
  <w:style w:type="paragraph" w:styleId="Style_3">
    <w:name w:val="Heading 2"/>
    <w:basedOn w:val="Style_177"/>
    <w:unhideWhenUsed/>
    <w:qFormat/>
    <w:personalCompose/>
    <w:pPr>
      <w:keepNext/>
      <w:keepLines/>
      <w:spacing w:before="360" w:after="200" w:line="240" w:lineRule="auto"/>
      <w:jc w:val="left"/>
      <w:outlineLvl w:val="1"/>
    </w:pPr>
    <w:rPr>
      <w:rFonts w:ascii="Arial" w:hAnsi="Arial" w:eastAsia="Arial" w:cs="Arial"/>
      <w:sz w:val="34"/>
    </w:rPr>
  </w:style>
  <w:style w:type="character" w:styleId="Style_4">
    <w:name w:val="Heading 2 Char"/>
    <w:basedOn w:val="Style_178"/>
    <w:personalCompose/>
    <w:rPr>
      <w:rFonts w:ascii="Arial" w:hAnsi="Arial" w:eastAsia="Arial" w:cs="Arial"/>
      <w:sz w:val="34"/>
    </w:rPr>
  </w:style>
  <w:style w:type="paragraph" w:styleId="Style_5">
    <w:name w:val="Heading 3"/>
    <w:basedOn w:val="Style_177"/>
    <w:unhideWhenUsed/>
    <w:qFormat/>
    <w:personalCompose/>
    <w:pPr>
      <w:keepNext/>
      <w:keepLines/>
      <w:spacing w:before="320" w:after="200" w:line="240" w:lineRule="auto"/>
      <w:jc w:val="left"/>
      <w:outlineLvl w:val="2"/>
    </w:pPr>
    <w:rPr>
      <w:rFonts w:ascii="Arial" w:hAnsi="Arial" w:eastAsia="Arial" w:cs="Arial"/>
      <w:sz w:val="30"/>
    </w:rPr>
  </w:style>
  <w:style w:type="character" w:styleId="Style_6">
    <w:name w:val="Heading 3 Char"/>
    <w:basedOn w:val="Style_178"/>
    <w:personalCompose/>
    <w:rPr>
      <w:rFonts w:ascii="Arial" w:hAnsi="Arial" w:eastAsia="Arial" w:cs="Arial"/>
      <w:sz w:val="30"/>
    </w:rPr>
  </w:style>
  <w:style w:type="paragraph" w:styleId="Style_7">
    <w:name w:val="Heading 4"/>
    <w:basedOn w:val="Style_177"/>
    <w:unhideWhenUsed/>
    <w:qFormat/>
    <w:personalCompose/>
    <w:pPr>
      <w:keepNext/>
      <w:keepLines/>
      <w:spacing w:before="320" w:after="200" w:line="240" w:lineRule="auto"/>
      <w:jc w:val="left"/>
      <w:outlineLvl w:val="3"/>
    </w:pPr>
    <w:rPr>
      <w:rFonts w:ascii="Arial" w:hAnsi="Arial" w:eastAsia="Arial" w:cs="Arial"/>
      <w:b/>
      <w:sz w:val="26"/>
    </w:rPr>
  </w:style>
  <w:style w:type="character" w:styleId="Style_8">
    <w:name w:val="Heading 4 Char"/>
    <w:basedOn w:val="Style_178"/>
    <w:personalCompose/>
    <w:rPr>
      <w:rFonts w:ascii="Arial" w:hAnsi="Arial" w:eastAsia="Arial" w:cs="Arial"/>
      <w:b/>
      <w:sz w:val="26"/>
    </w:rPr>
  </w:style>
  <w:style w:type="paragraph" w:styleId="Style_9">
    <w:name w:val="Heading 5"/>
    <w:basedOn w:val="Style_177"/>
    <w:unhideWhenUsed/>
    <w:qFormat/>
    <w:personalCompose/>
    <w:pPr>
      <w:keepNext/>
      <w:keepLines/>
      <w:spacing w:before="320" w:after="200" w:line="240" w:lineRule="auto"/>
      <w:jc w:val="left"/>
      <w:outlineLvl w:val="4"/>
    </w:pPr>
    <w:rPr>
      <w:rFonts w:ascii="Arial" w:hAnsi="Arial" w:eastAsia="Arial" w:cs="Arial"/>
      <w:b/>
      <w:sz w:val="24"/>
    </w:rPr>
  </w:style>
  <w:style w:type="character" w:styleId="Style_10">
    <w:name w:val="Heading 5 Char"/>
    <w:basedOn w:val="Style_178"/>
    <w:personalCompose/>
    <w:rPr>
      <w:rFonts w:ascii="Arial" w:hAnsi="Arial" w:eastAsia="Arial" w:cs="Arial"/>
      <w:b/>
      <w:sz w:val="24"/>
    </w:rPr>
  </w:style>
  <w:style w:type="paragraph" w:styleId="Style_11">
    <w:name w:val="Heading 6"/>
    <w:basedOn w:val="Style_177"/>
    <w:unhideWhenUsed/>
    <w:qFormat/>
    <w:personalCompose/>
    <w:pPr>
      <w:keepNext/>
      <w:keepLines/>
      <w:spacing w:before="320" w:after="200" w:line="240" w:lineRule="auto"/>
      <w:jc w:val="left"/>
      <w:outlineLvl w:val="5"/>
    </w:pPr>
    <w:rPr>
      <w:rFonts w:ascii="Arial" w:hAnsi="Arial" w:eastAsia="Arial" w:cs="Arial"/>
      <w:b/>
      <w:sz w:val="22"/>
    </w:rPr>
  </w:style>
  <w:style w:type="character" w:styleId="Style_12">
    <w:name w:val="Heading 6 Char"/>
    <w:basedOn w:val="Style_178"/>
    <w:personalCompose/>
    <w:rPr>
      <w:rFonts w:ascii="Arial" w:hAnsi="Arial" w:eastAsia="Arial" w:cs="Arial"/>
      <w:b/>
      <w:sz w:val="22"/>
    </w:rPr>
  </w:style>
  <w:style w:type="paragraph" w:styleId="Style_13">
    <w:name w:val="Heading 7"/>
    <w:basedOn w:val="Style_177"/>
    <w:unhideWhenUsed/>
    <w:qFormat/>
    <w:personalCompose/>
    <w:pPr>
      <w:keepNext/>
      <w:keepLines/>
      <w:spacing w:before="320" w:after="200" w:line="240" w:lineRule="auto"/>
      <w:jc w:val="left"/>
      <w:outlineLvl w:val="6"/>
    </w:pPr>
    <w:rPr>
      <w:rFonts w:ascii="Arial" w:hAnsi="Arial" w:eastAsia="Arial" w:cs="Arial"/>
      <w:b/>
      <w:i/>
      <w:sz w:val="22"/>
    </w:rPr>
  </w:style>
  <w:style w:type="character" w:styleId="Style_14">
    <w:name w:val="Heading 7 Char"/>
    <w:basedOn w:val="Style_178"/>
    <w:personalCompose/>
    <w:rPr>
      <w:rFonts w:ascii="Arial" w:hAnsi="Arial" w:eastAsia="Arial" w:cs="Arial"/>
      <w:b/>
      <w:i/>
      <w:sz w:val="22"/>
    </w:rPr>
  </w:style>
  <w:style w:type="paragraph" w:styleId="Style_15">
    <w:name w:val="Heading 8"/>
    <w:basedOn w:val="Style_177"/>
    <w:unhideWhenUsed/>
    <w:qFormat/>
    <w:personalCompose/>
    <w:pPr>
      <w:keepNext/>
      <w:keepLines/>
      <w:spacing w:before="320" w:after="200" w:line="240" w:lineRule="auto"/>
      <w:jc w:val="left"/>
      <w:outlineLvl w:val="7"/>
    </w:pPr>
    <w:rPr>
      <w:rFonts w:ascii="Arial" w:hAnsi="Arial" w:eastAsia="Arial" w:cs="Arial"/>
      <w:i/>
      <w:sz w:val="22"/>
    </w:rPr>
  </w:style>
  <w:style w:type="character" w:styleId="Style_16">
    <w:name w:val="Heading 8 Char"/>
    <w:basedOn w:val="Style_178"/>
    <w:personalCompose/>
    <w:rPr>
      <w:rFonts w:ascii="Arial" w:hAnsi="Arial" w:eastAsia="Arial" w:cs="Arial"/>
      <w:i/>
      <w:sz w:val="22"/>
    </w:rPr>
  </w:style>
  <w:style w:type="paragraph" w:styleId="Style_17">
    <w:name w:val="Heading 9"/>
    <w:basedOn w:val="Style_177"/>
    <w:unhideWhenUsed/>
    <w:qFormat/>
    <w:personalCompose/>
    <w:pPr>
      <w:keepNext/>
      <w:keepLines/>
      <w:spacing w:before="320" w:after="200" w:line="240" w:lineRule="auto"/>
      <w:jc w:val="left"/>
      <w:outlineLvl w:val="8"/>
    </w:pPr>
    <w:rPr>
      <w:rFonts w:ascii="Arial" w:hAnsi="Arial" w:eastAsia="Arial" w:cs="Arial"/>
      <w:i/>
      <w:sz w:val="21"/>
    </w:rPr>
  </w:style>
  <w:style w:type="character" w:styleId="Style_18">
    <w:name w:val="Heading 9 Char"/>
    <w:basedOn w:val="Style_178"/>
    <w:personalCompose/>
    <w:rPr>
      <w:rFonts w:ascii="Arial" w:hAnsi="Arial" w:eastAsia="Arial" w:cs="Arial"/>
      <w:i/>
      <w:sz w:val="21"/>
    </w:rPr>
  </w:style>
  <w:style w:type="paragraph" w:styleId="Style_19">
    <w:name w:val="List Paragraph"/>
    <w:basedOn w:val="Style_177"/>
    <w:qFormat/>
    <w:personalCompose/>
    <w:pPr>
      <w:spacing w:before="0" w:after="0" w:line="240" w:lineRule="auto"/>
      <w:ind w:left="720"/>
      <w:contextualSpacing/>
      <w:jc w:val="left"/>
    </w:pPr>
    <w:rPr>
      <w:rFonts w:ascii="Arial" w:hAnsi="Arial" w:eastAsia="Arial" w:cs="Arial"/>
      <w:sz w:val="24"/>
    </w:rPr>
  </w:style>
  <w:style w:type="paragraph" w:styleId="Style_20">
    <w:name w:val="No Spacing"/>
    <w:qFormat/>
    <w:personalCompose/>
    <w:pPr>
      <w:spacing w:before="0" w:after="0" w:line="240" w:lineRule="auto"/>
      <w:jc w:val="left"/>
    </w:pPr>
    <w:rPr>
      <w:rFonts w:ascii="Arial" w:hAnsi="Arial" w:eastAsia="Arial" w:cs="Arial"/>
      <w:sz w:val="24"/>
    </w:rPr>
  </w:style>
  <w:style w:type="paragraph" w:styleId="Style_21">
    <w:name w:val="Title"/>
    <w:basedOn w:val="Style_177"/>
    <w:qFormat/>
    <w:personalCompose/>
    <w:pPr>
      <w:spacing w:before="300" w:after="200" w:line="240" w:lineRule="auto"/>
      <w:contextualSpacing/>
      <w:jc w:val="left"/>
    </w:pPr>
    <w:rPr>
      <w:rFonts w:ascii="Arial" w:hAnsi="Arial" w:eastAsia="Arial" w:cs="Arial"/>
      <w:sz w:val="48"/>
    </w:rPr>
  </w:style>
  <w:style w:type="character" w:styleId="Style_22">
    <w:name w:val="Title Char"/>
    <w:basedOn w:val="Style_178"/>
    <w:personalCompose/>
    <w:rPr>
      <w:rFonts w:ascii="Arial" w:hAnsi="Arial" w:eastAsia="Arial" w:cs="Arial"/>
      <w:sz w:val="48"/>
    </w:rPr>
  </w:style>
  <w:style w:type="paragraph" w:styleId="Style_23">
    <w:name w:val="Subtitle"/>
    <w:basedOn w:val="Style_177"/>
    <w:qFormat/>
    <w:personalCompose/>
    <w:pPr>
      <w:spacing w:before="200" w:after="200" w:line="240" w:lineRule="auto"/>
      <w:jc w:val="left"/>
    </w:pPr>
    <w:rPr>
      <w:rFonts w:ascii="Arial" w:hAnsi="Arial" w:eastAsia="Arial" w:cs="Arial"/>
      <w:sz w:val="24"/>
    </w:rPr>
  </w:style>
  <w:style w:type="character" w:styleId="Style_24">
    <w:name w:val="Subtitle Char"/>
    <w:basedOn w:val="Style_178"/>
    <w:personalCompose/>
    <w:rPr>
      <w:rFonts w:ascii="Arial" w:hAnsi="Arial" w:eastAsia="Arial" w:cs="Arial"/>
      <w:sz w:val="24"/>
    </w:rPr>
  </w:style>
  <w:style w:type="paragraph" w:styleId="Style_25">
    <w:name w:val="Quote"/>
    <w:basedOn w:val="Style_177"/>
    <w:qFormat/>
    <w:personalCompose/>
    <w:pPr>
      <w:spacing w:before="0" w:after="0" w:line="240" w:lineRule="auto"/>
      <w:ind w:left="720"/>
      <w:jc w:val="left"/>
    </w:pPr>
    <w:rPr>
      <w:rFonts w:ascii="Arial" w:hAnsi="Arial" w:eastAsia="Arial" w:cs="Arial"/>
      <w:i/>
      <w:sz w:val="24"/>
    </w:rPr>
  </w:style>
  <w:style w:type="character" w:styleId="Style_26">
    <w:name w:val="Quote Char"/>
    <w:personalCompose/>
    <w:rPr>
      <w:rFonts w:ascii="Arial" w:hAnsi="Arial" w:eastAsia="Arial" w:cs="Arial"/>
      <w:i/>
      <w:sz w:val="24"/>
    </w:rPr>
  </w:style>
  <w:style w:type="paragraph" w:styleId="Style_27">
    <w:name w:val="Intense Quote"/>
    <w:basedOn w:val="Style_177"/>
    <w:qFormat/>
    <w:personalCompose/>
    <w:pPr>
      <w:pBdr>
        <w:top w:val="single" w:color="FFFFFF" w:sz="4" w:space="5"/>
        <w:left w:val="single" w:color="FFFFFF" w:sz="4" w:space="10"/>
        <w:bottom w:val="single" w:color="FFFFFF" w:sz="4" w:space="5"/>
        <w:right w:val="single" w:color="FFFFFF" w:sz="4" w:space="10"/>
      </w:pBdr>
      <w:shd w:val="clear" w:fill="f2f2f2"/>
      <w:spacing w:before="0" w:after="0" w:line="240" w:lineRule="auto"/>
      <w:ind w:left="720"/>
      <w:contextualSpacing w:val="0"/>
      <w:jc w:val="left"/>
    </w:pPr>
    <w:rPr>
      <w:rFonts w:ascii="Arial" w:hAnsi="Arial" w:eastAsia="Arial" w:cs="Arial"/>
      <w:i/>
      <w:sz w:val="24"/>
    </w:rPr>
  </w:style>
  <w:style w:type="character" w:styleId="Style_28">
    <w:name w:val="Intense Quote Char"/>
    <w:personalCompose/>
    <w:rPr>
      <w:rFonts w:ascii="Arial" w:hAnsi="Arial" w:eastAsia="Arial" w:cs="Arial"/>
      <w:i/>
      <w:sz w:val="24"/>
    </w:rPr>
  </w:style>
  <w:style w:type="character" w:styleId="Style_29">
    <w:name w:val="Header Char"/>
    <w:basedOn w:val="Style_178"/>
    <w:personalCompose/>
    <w:rPr>
      <w:rFonts w:ascii="Arial" w:hAnsi="Arial" w:eastAsia="Arial" w:cs="Arial"/>
      <w:sz w:val="24"/>
    </w:rPr>
  </w:style>
  <w:style w:type="character" w:styleId="Style_30">
    <w:name w:val="Footer Char"/>
    <w:basedOn w:val="Style_178"/>
    <w:personalCompose/>
    <w:rPr>
      <w:rFonts w:ascii="Arial" w:hAnsi="Arial" w:eastAsia="Arial" w:cs="Arial"/>
      <w:sz w:val="24"/>
    </w:rPr>
  </w:style>
  <w:style w:type="paragraph" w:styleId="Style_31">
    <w:name w:val="Caption"/>
    <w:basedOn w:val="Style_177"/>
    <w:semiHidden/>
    <w:unhideWhenUsed/>
    <w:qFormat/>
    <w:personalCompose/>
    <w:pPr>
      <w:spacing w:before="0" w:after="0" w:line="276" w:lineRule="auto"/>
      <w:jc w:val="left"/>
    </w:pPr>
    <w:rPr>
      <w:rFonts w:ascii="Arial" w:hAnsi="Arial" w:eastAsia="Arial" w:cs="Arial"/>
      <w:b/>
      <w:color w:val="4f81bd"/>
      <w:sz w:val="18"/>
    </w:rPr>
  </w:style>
  <w:style w:type="character" w:styleId="Style_32">
    <w:name w:val="Caption Char"/>
    <w:basedOn w:val="Style_178"/>
    <w:personalCompose/>
    <w:rPr>
      <w:rFonts w:ascii="Arial" w:hAnsi="Arial" w:eastAsia="Arial" w:cs="Arial"/>
      <w:b/>
      <w:color w:val="4f81bd"/>
      <w:sz w:val="18"/>
    </w:rPr>
  </w:style>
  <w:style w:type="table" w:styleId="Style_33">
    <w:name w:val="Table Grid"/>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top w:w="0" w:type="dxa"/>
        <w:right w:w="108" w:type="dxa"/>
        <w:bottom w:w="0" w:type="dxa"/>
      </w:tblCellMar>
    </w:tblPr>
  </w:style>
  <w:style w:type="table" w:styleId="Style_34">
    <w:name w:val="Table Grid Light"/>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top w:w="0" w:type="dxa"/>
        <w:right w:w="108" w:type="dxa"/>
        <w:bottom w:w="0" w:type="dxa"/>
      </w:tblCellMar>
    </w:tblPr>
  </w:style>
  <w:style w:type="table" w:styleId="Style_35">
    <w:name w:val="Plain Table 1"/>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top w:w="0" w:type="dxa"/>
        <w:right w:w="108" w:type="dxa"/>
        <w:bottom w:w="0" w:type="dxa"/>
      </w:tblCellMar>
    </w:tblPr>
  </w:style>
  <w:style w:type="table" w:styleId="Style_36">
    <w:name w:val="Plain Table 2"/>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0" w:space="0"/>
        <w:insideV w:val="none" w:color="auto" w:sz="0" w:space="0"/>
      </w:tblBorders>
      <w:tblLayout w:type="autofit"/>
      <w:tblCellMar>
        <w:left w:w="108" w:type="dxa"/>
        <w:top w:w="0" w:type="dxa"/>
        <w:right w:w="108" w:type="dxa"/>
        <w:bottom w:w="0" w:type="dxa"/>
      </w:tblCellMar>
    </w:tblPr>
  </w:style>
  <w:style w:type="table" w:styleId="Style_37">
    <w:name w:val="Plain Table 3"/>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0" w:type="dxa"/>
        <w:right w:w="0" w:type="dxa"/>
      </w:tblCellMar>
    </w:tblPr>
  </w:style>
  <w:style w:type="table" w:styleId="Style_38">
    <w:name w:val="Plain Table 4"/>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0" w:type="dxa"/>
        <w:right w:w="0" w:type="dxa"/>
      </w:tblCellMar>
    </w:tblPr>
  </w:style>
  <w:style w:type="table" w:styleId="Style_39">
    <w:name w:val="Plain Table 5"/>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0" w:type="dxa"/>
        <w:right w:w="0" w:type="dxa"/>
      </w:tblCellMar>
    </w:tblPr>
  </w:style>
  <w:style w:type="table" w:styleId="Style_40">
    <w:name w:val="Grid Table 1 Light"/>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41">
    <w:name w:val="Grid Table 1 Light - Accent 1"/>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42">
    <w:name w:val="Grid Table 1 Light - Accent 2"/>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43">
    <w:name w:val="Grid Table 1 Light - Accent 3"/>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44">
    <w:name w:val="Grid Table 1 Light - Accent 4"/>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45">
    <w:name w:val="Grid Table 1 Light - Accent 5"/>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46">
    <w:name w:val="Grid Table 1 Light - Accent 6"/>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47">
    <w:name w:val="Grid Table 2"/>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4" w:space="0"/>
        <w:right w:val="none" w:color="auto" w:sz="0" w:space="0"/>
        <w:insideH w:val="none" w:color="auto" w:sz="4" w:space="0"/>
        <w:insideV w:val="none" w:color="auto" w:sz="4" w:space="0"/>
      </w:tblBorders>
      <w:tblLayout w:type="autofit"/>
      <w:tblCellMar>
        <w:left w:w="0" w:type="dxa"/>
        <w:right w:w="0" w:type="dxa"/>
      </w:tblCellMar>
    </w:tblPr>
  </w:style>
  <w:style w:type="table" w:styleId="Style_48">
    <w:name w:val="Grid Table 2 - Accent 1"/>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4" w:space="0"/>
        <w:right w:val="none" w:color="auto" w:sz="0" w:space="0"/>
        <w:insideH w:val="none" w:color="auto" w:sz="4" w:space="0"/>
        <w:insideV w:val="none" w:color="auto" w:sz="4" w:space="0"/>
      </w:tblBorders>
      <w:tblLayout w:type="autofit"/>
      <w:tblCellMar>
        <w:left w:w="0" w:type="dxa"/>
        <w:right w:w="0" w:type="dxa"/>
      </w:tblCellMar>
    </w:tblPr>
  </w:style>
  <w:style w:type="table" w:styleId="Style_49">
    <w:name w:val="Grid Table 2 - Accent 2"/>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4" w:space="0"/>
        <w:right w:val="none" w:color="auto" w:sz="0" w:space="0"/>
        <w:insideH w:val="none" w:color="auto" w:sz="4" w:space="0"/>
        <w:insideV w:val="none" w:color="auto" w:sz="4" w:space="0"/>
      </w:tblBorders>
      <w:tblLayout w:type="autofit"/>
      <w:tblCellMar>
        <w:left w:w="0" w:type="dxa"/>
        <w:right w:w="0" w:type="dxa"/>
      </w:tblCellMar>
    </w:tblPr>
  </w:style>
  <w:style w:type="table" w:styleId="Style_50">
    <w:name w:val="Grid Table 2 - Accent 3"/>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4" w:space="0"/>
        <w:right w:val="none" w:color="auto" w:sz="0" w:space="0"/>
        <w:insideH w:val="none" w:color="auto" w:sz="4" w:space="0"/>
        <w:insideV w:val="none" w:color="auto" w:sz="4" w:space="0"/>
      </w:tblBorders>
      <w:tblLayout w:type="autofit"/>
      <w:tblCellMar>
        <w:left w:w="0" w:type="dxa"/>
        <w:right w:w="0" w:type="dxa"/>
      </w:tblCellMar>
    </w:tblPr>
  </w:style>
  <w:style w:type="table" w:styleId="Style_51">
    <w:name w:val="Grid Table 2 - Accent 4"/>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4" w:space="0"/>
        <w:right w:val="none" w:color="auto" w:sz="0" w:space="0"/>
        <w:insideH w:val="none" w:color="auto" w:sz="4" w:space="0"/>
        <w:insideV w:val="none" w:color="auto" w:sz="4" w:space="0"/>
      </w:tblBorders>
      <w:tblLayout w:type="autofit"/>
      <w:tblCellMar>
        <w:left w:w="0" w:type="dxa"/>
        <w:right w:w="0" w:type="dxa"/>
      </w:tblCellMar>
    </w:tblPr>
  </w:style>
  <w:style w:type="table" w:styleId="Style_52">
    <w:name w:val="Grid Table 2 - Accent 5"/>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4" w:space="0"/>
        <w:right w:val="none" w:color="auto" w:sz="0" w:space="0"/>
        <w:insideH w:val="none" w:color="auto" w:sz="4" w:space="0"/>
        <w:insideV w:val="none" w:color="auto" w:sz="4" w:space="0"/>
      </w:tblBorders>
      <w:tblLayout w:type="autofit"/>
      <w:tblCellMar>
        <w:left w:w="0" w:type="dxa"/>
        <w:right w:w="0" w:type="dxa"/>
      </w:tblCellMar>
    </w:tblPr>
  </w:style>
  <w:style w:type="table" w:styleId="Style_53">
    <w:name w:val="Grid Table 2 - Accent 6"/>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4" w:space="0"/>
        <w:right w:val="none" w:color="auto" w:sz="0" w:space="0"/>
        <w:insideH w:val="none" w:color="auto" w:sz="4" w:space="0"/>
        <w:insideV w:val="none" w:color="auto" w:sz="4" w:space="0"/>
      </w:tblBorders>
      <w:tblLayout w:type="autofit"/>
      <w:tblCellMar>
        <w:left w:w="0" w:type="dxa"/>
        <w:right w:w="0" w:type="dxa"/>
      </w:tblCellMar>
    </w:tblPr>
  </w:style>
  <w:style w:type="table" w:styleId="Style_54">
    <w:name w:val="Grid Table 3"/>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4" w:space="0"/>
        <w:right w:val="none" w:color="auto" w:sz="0" w:space="0"/>
        <w:insideH w:val="none" w:color="auto" w:sz="4" w:space="0"/>
        <w:insideV w:val="none" w:color="auto" w:sz="4" w:space="0"/>
      </w:tblBorders>
      <w:tblLayout w:type="autofit"/>
      <w:tblCellMar>
        <w:left w:w="0" w:type="dxa"/>
        <w:right w:w="0" w:type="dxa"/>
      </w:tblCellMar>
    </w:tblPr>
  </w:style>
  <w:style w:type="table" w:styleId="Style_55">
    <w:name w:val="Grid Table 3 - Accent 1"/>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4" w:space="0"/>
        <w:right w:val="none" w:color="auto" w:sz="0" w:space="0"/>
        <w:insideH w:val="none" w:color="auto" w:sz="4" w:space="0"/>
        <w:insideV w:val="none" w:color="auto" w:sz="4" w:space="0"/>
      </w:tblBorders>
      <w:tblLayout w:type="autofit"/>
      <w:tblCellMar>
        <w:left w:w="0" w:type="dxa"/>
        <w:right w:w="0" w:type="dxa"/>
      </w:tblCellMar>
    </w:tblPr>
  </w:style>
  <w:style w:type="table" w:styleId="Style_56">
    <w:name w:val="Grid Table 3 - Accent 2"/>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4" w:space="0"/>
        <w:right w:val="none" w:color="auto" w:sz="0" w:space="0"/>
        <w:insideH w:val="none" w:color="auto" w:sz="4" w:space="0"/>
        <w:insideV w:val="none" w:color="auto" w:sz="4" w:space="0"/>
      </w:tblBorders>
      <w:tblLayout w:type="autofit"/>
      <w:tblCellMar>
        <w:left w:w="0" w:type="dxa"/>
        <w:right w:w="0" w:type="dxa"/>
      </w:tblCellMar>
    </w:tblPr>
  </w:style>
  <w:style w:type="table" w:styleId="Style_57">
    <w:name w:val="Grid Table 3 - Accent 3"/>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4" w:space="0"/>
        <w:right w:val="none" w:color="auto" w:sz="0" w:space="0"/>
        <w:insideH w:val="none" w:color="auto" w:sz="4" w:space="0"/>
        <w:insideV w:val="none" w:color="auto" w:sz="4" w:space="0"/>
      </w:tblBorders>
      <w:tblLayout w:type="autofit"/>
      <w:tblCellMar>
        <w:left w:w="0" w:type="dxa"/>
        <w:right w:w="0" w:type="dxa"/>
      </w:tblCellMar>
    </w:tblPr>
  </w:style>
  <w:style w:type="table" w:styleId="Style_58">
    <w:name w:val="Grid Table 3 - Accent 4"/>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4" w:space="0"/>
        <w:right w:val="none" w:color="auto" w:sz="0" w:space="0"/>
        <w:insideH w:val="none" w:color="auto" w:sz="4" w:space="0"/>
        <w:insideV w:val="none" w:color="auto" w:sz="4" w:space="0"/>
      </w:tblBorders>
      <w:tblLayout w:type="autofit"/>
      <w:tblCellMar>
        <w:left w:w="0" w:type="dxa"/>
        <w:right w:w="0" w:type="dxa"/>
      </w:tblCellMar>
    </w:tblPr>
  </w:style>
  <w:style w:type="table" w:styleId="Style_59">
    <w:name w:val="Grid Table 3 - Accent 5"/>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4" w:space="0"/>
        <w:right w:val="none" w:color="auto" w:sz="0" w:space="0"/>
        <w:insideH w:val="none" w:color="auto" w:sz="4" w:space="0"/>
        <w:insideV w:val="none" w:color="auto" w:sz="4" w:space="0"/>
      </w:tblBorders>
      <w:tblLayout w:type="autofit"/>
      <w:tblCellMar>
        <w:left w:w="0" w:type="dxa"/>
        <w:right w:w="0" w:type="dxa"/>
      </w:tblCellMar>
    </w:tblPr>
  </w:style>
  <w:style w:type="table" w:styleId="Style_60">
    <w:name w:val="Grid Table 3 - Accent 6"/>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4" w:space="0"/>
        <w:right w:val="none" w:color="auto" w:sz="0" w:space="0"/>
        <w:insideH w:val="none" w:color="auto" w:sz="4" w:space="0"/>
        <w:insideV w:val="none" w:color="auto" w:sz="4" w:space="0"/>
      </w:tblBorders>
      <w:tblLayout w:type="autofit"/>
      <w:tblCellMar>
        <w:left w:w="0" w:type="dxa"/>
        <w:right w:w="0" w:type="dxa"/>
      </w:tblCellMar>
    </w:tblPr>
  </w:style>
  <w:style w:type="table" w:styleId="Style_61">
    <w:name w:val="Grid Table 4"/>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62">
    <w:name w:val="Grid Table 4 - Accent 1"/>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63">
    <w:name w:val="Grid Table 4 - Accent 2"/>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64">
    <w:name w:val="Grid Table 4 - Accent 3"/>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65">
    <w:name w:val="Grid Table 4 - Accent 4"/>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66">
    <w:name w:val="Grid Table 4 - Accent 5"/>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67">
    <w:name w:val="Grid Table 4 - Accent 6"/>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68">
    <w:name w:val="Grid Table 5 Dark"/>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ffffff" w:fill="bfbfbf"/>
      <w:tblLayout w:type="autofit"/>
      <w:tblCellMar>
        <w:left w:w="0" w:type="dxa"/>
        <w:right w:w="0" w:type="dxa"/>
      </w:tblCellMar>
    </w:tblPr>
  </w:style>
  <w:style w:type="table" w:styleId="Style_69">
    <w:name w:val="Grid Table 5 Dark- Accent 1"/>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ffffff" w:fill="ddebf6"/>
      <w:tblLayout w:type="autofit"/>
      <w:tblCellMar>
        <w:left w:w="0" w:type="dxa"/>
        <w:right w:w="0" w:type="dxa"/>
      </w:tblCellMar>
    </w:tblPr>
  </w:style>
  <w:style w:type="table" w:styleId="Style_70">
    <w:name w:val="Grid Table 5 Dark - Accent 2"/>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ffffff" w:fill="fbe5d6"/>
      <w:tblLayout w:type="autofit"/>
      <w:tblCellMar>
        <w:left w:w="0" w:type="dxa"/>
        <w:right w:w="0" w:type="dxa"/>
      </w:tblCellMar>
    </w:tblPr>
  </w:style>
  <w:style w:type="table" w:styleId="Style_71">
    <w:name w:val="Grid Table 5 Dark - Accent 3"/>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ffffff" w:fill="ededed"/>
      <w:tblLayout w:type="autofit"/>
      <w:tblCellMar>
        <w:left w:w="0" w:type="dxa"/>
        <w:right w:w="0" w:type="dxa"/>
      </w:tblCellMar>
    </w:tblPr>
  </w:style>
  <w:style w:type="table" w:styleId="Style_72">
    <w:name w:val="Grid Table 5 Dark- Accent 4"/>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ffffff" w:fill="fef2cb"/>
      <w:tblLayout w:type="autofit"/>
      <w:tblCellMar>
        <w:left w:w="0" w:type="dxa"/>
        <w:right w:w="0" w:type="dxa"/>
      </w:tblCellMar>
    </w:tblPr>
  </w:style>
  <w:style w:type="table" w:styleId="Style_73">
    <w:name w:val="Grid Table 5 Dark - Accent 5"/>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ffffff" w:fill="d9e2f2"/>
      <w:tblLayout w:type="autofit"/>
      <w:tblCellMar>
        <w:left w:w="0" w:type="dxa"/>
        <w:right w:w="0" w:type="dxa"/>
      </w:tblCellMar>
    </w:tblPr>
  </w:style>
  <w:style w:type="table" w:styleId="Style_74">
    <w:name w:val="Grid Table 5 Dark - Accent 6"/>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ffffff" w:fill="e2efd8"/>
      <w:tblLayout w:type="autofit"/>
      <w:tblCellMar>
        <w:left w:w="0" w:type="dxa"/>
        <w:right w:w="0" w:type="dxa"/>
      </w:tblCellMar>
    </w:tblPr>
  </w:style>
  <w:style w:type="table" w:styleId="Style_75">
    <w:name w:val="Grid Table 6 Colorful"/>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76">
    <w:name w:val="Grid Table 6 Colorful - Accent 1"/>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77">
    <w:name w:val="Grid Table 6 Colorful - Accent 2"/>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78">
    <w:name w:val="Grid Table 6 Colorful - Accent 3"/>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79">
    <w:name w:val="Grid Table 6 Colorful - Accent 4"/>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80">
    <w:name w:val="Grid Table 6 Colorful - Accent 5"/>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81">
    <w:name w:val="Grid Table 6 Colorful - Accent 6"/>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82">
    <w:name w:val="Grid Table 7 Colorful"/>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83">
    <w:name w:val="Grid Table 7 Colorful - Accent 1"/>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84">
    <w:name w:val="Grid Table 7 Colorful - Accent 2"/>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85">
    <w:name w:val="Grid Table 7 Colorful - Accent 3"/>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86">
    <w:name w:val="Grid Table 7 Colorful - Accent 4"/>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87">
    <w:name w:val="Grid Table 7 Colorful - Accent 5"/>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88">
    <w:name w:val="Grid Table 7 Colorful - Accent 6"/>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89">
    <w:name w:val="List Table 1 Light"/>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0" w:type="dxa"/>
        <w:right w:w="0" w:type="dxa"/>
      </w:tblCellMar>
    </w:tblPr>
  </w:style>
  <w:style w:type="table" w:styleId="Style_90">
    <w:name w:val="List Table 1 Light - Accent 1"/>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0" w:type="dxa"/>
        <w:right w:w="0" w:type="dxa"/>
      </w:tblCellMar>
    </w:tblPr>
  </w:style>
  <w:style w:type="table" w:styleId="Style_91">
    <w:name w:val="List Table 1 Light - Accent 2"/>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0" w:type="dxa"/>
        <w:right w:w="0" w:type="dxa"/>
      </w:tblCellMar>
    </w:tblPr>
  </w:style>
  <w:style w:type="table" w:styleId="Style_92">
    <w:name w:val="List Table 1 Light - Accent 3"/>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0" w:type="dxa"/>
        <w:right w:w="0" w:type="dxa"/>
      </w:tblCellMar>
    </w:tblPr>
  </w:style>
  <w:style w:type="table" w:styleId="Style_93">
    <w:name w:val="List Table 1 Light - Accent 4"/>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0" w:type="dxa"/>
        <w:right w:w="0" w:type="dxa"/>
      </w:tblCellMar>
    </w:tblPr>
  </w:style>
  <w:style w:type="table" w:styleId="Style_94">
    <w:name w:val="List Table 1 Light - Accent 5"/>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0" w:type="dxa"/>
        <w:right w:w="0" w:type="dxa"/>
      </w:tblCellMar>
    </w:tblPr>
  </w:style>
  <w:style w:type="table" w:styleId="Style_95">
    <w:name w:val="List Table 1 Light - Accent 6"/>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0" w:type="dxa"/>
        <w:right w:w="0" w:type="dxa"/>
      </w:tblCellMar>
    </w:tblPr>
  </w:style>
  <w:style w:type="table" w:styleId="Style_96">
    <w:name w:val="List Table 2"/>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0" w:space="0"/>
        <w:bottom w:val="none" w:color="auto" w:sz="4" w:space="0"/>
        <w:right w:val="none" w:color="auto" w:sz="0" w:space="0"/>
        <w:insideH w:val="none" w:color="auto" w:sz="4" w:space="0"/>
        <w:insideV w:val="none" w:color="auto" w:sz="0" w:space="0"/>
      </w:tblBorders>
      <w:tblLayout w:type="autofit"/>
      <w:tblCellMar>
        <w:left w:w="0" w:type="dxa"/>
        <w:right w:w="0" w:type="dxa"/>
      </w:tblCellMar>
    </w:tblPr>
  </w:style>
  <w:style w:type="table" w:styleId="Style_97">
    <w:name w:val="List Table 2 - Accent 1"/>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0" w:space="0"/>
        <w:bottom w:val="none" w:color="auto" w:sz="4" w:space="0"/>
        <w:right w:val="none" w:color="auto" w:sz="0" w:space="0"/>
        <w:insideH w:val="none" w:color="auto" w:sz="4" w:space="0"/>
        <w:insideV w:val="none" w:color="auto" w:sz="0" w:space="0"/>
      </w:tblBorders>
      <w:tblLayout w:type="autofit"/>
      <w:tblCellMar>
        <w:left w:w="0" w:type="dxa"/>
        <w:right w:w="0" w:type="dxa"/>
      </w:tblCellMar>
    </w:tblPr>
  </w:style>
  <w:style w:type="table" w:styleId="Style_98">
    <w:name w:val="List Table 2 - Accent 2"/>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0" w:space="0"/>
        <w:bottom w:val="none" w:color="auto" w:sz="4" w:space="0"/>
        <w:right w:val="none" w:color="auto" w:sz="0" w:space="0"/>
        <w:insideH w:val="none" w:color="auto" w:sz="4" w:space="0"/>
        <w:insideV w:val="none" w:color="auto" w:sz="0" w:space="0"/>
      </w:tblBorders>
      <w:tblLayout w:type="autofit"/>
      <w:tblCellMar>
        <w:left w:w="0" w:type="dxa"/>
        <w:right w:w="0" w:type="dxa"/>
      </w:tblCellMar>
    </w:tblPr>
  </w:style>
  <w:style w:type="table" w:styleId="Style_99">
    <w:name w:val="List Table 2 - Accent 3"/>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0" w:space="0"/>
        <w:bottom w:val="none" w:color="auto" w:sz="4" w:space="0"/>
        <w:right w:val="none" w:color="auto" w:sz="0" w:space="0"/>
        <w:insideH w:val="none" w:color="auto" w:sz="4" w:space="0"/>
        <w:insideV w:val="none" w:color="auto" w:sz="0" w:space="0"/>
      </w:tblBorders>
      <w:tblLayout w:type="autofit"/>
      <w:tblCellMar>
        <w:left w:w="0" w:type="dxa"/>
        <w:right w:w="0" w:type="dxa"/>
      </w:tblCellMar>
    </w:tblPr>
  </w:style>
  <w:style w:type="table" w:styleId="Style_100">
    <w:name w:val="List Table 2 - Accent 4"/>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0" w:space="0"/>
        <w:bottom w:val="none" w:color="auto" w:sz="4" w:space="0"/>
        <w:right w:val="none" w:color="auto" w:sz="0" w:space="0"/>
        <w:insideH w:val="none" w:color="auto" w:sz="4" w:space="0"/>
        <w:insideV w:val="none" w:color="auto" w:sz="0" w:space="0"/>
      </w:tblBorders>
      <w:tblLayout w:type="autofit"/>
      <w:tblCellMar>
        <w:left w:w="0" w:type="dxa"/>
        <w:right w:w="0" w:type="dxa"/>
      </w:tblCellMar>
    </w:tblPr>
  </w:style>
  <w:style w:type="table" w:styleId="Style_101">
    <w:name w:val="List Table 2 - Accent 5"/>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0" w:space="0"/>
        <w:bottom w:val="none" w:color="auto" w:sz="4" w:space="0"/>
        <w:right w:val="none" w:color="auto" w:sz="0" w:space="0"/>
        <w:insideH w:val="none" w:color="auto" w:sz="4" w:space="0"/>
        <w:insideV w:val="none" w:color="auto" w:sz="0" w:space="0"/>
      </w:tblBorders>
      <w:tblLayout w:type="autofit"/>
      <w:tblCellMar>
        <w:left w:w="0" w:type="dxa"/>
        <w:right w:w="0" w:type="dxa"/>
      </w:tblCellMar>
    </w:tblPr>
  </w:style>
  <w:style w:type="table" w:styleId="Style_102">
    <w:name w:val="List Table 2 - Accent 6"/>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0" w:space="0"/>
        <w:bottom w:val="none" w:color="auto" w:sz="4" w:space="0"/>
        <w:right w:val="none" w:color="auto" w:sz="0" w:space="0"/>
        <w:insideH w:val="none" w:color="auto" w:sz="4" w:space="0"/>
        <w:insideV w:val="none" w:color="auto" w:sz="0" w:space="0"/>
      </w:tblBorders>
      <w:tblLayout w:type="autofit"/>
      <w:tblCellMar>
        <w:left w:w="0" w:type="dxa"/>
        <w:right w:w="0" w:type="dxa"/>
      </w:tblCellMar>
    </w:tblPr>
  </w:style>
  <w:style w:type="table" w:styleId="Style_103">
    <w:name w:val="List Table 3"/>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0" w:space="0"/>
        <w:insideV w:val="none" w:color="auto" w:sz="0" w:space="0"/>
      </w:tblBorders>
      <w:tblLayout w:type="autofit"/>
      <w:tblCellMar>
        <w:left w:w="0" w:type="dxa"/>
        <w:right w:w="0" w:type="dxa"/>
      </w:tblCellMar>
    </w:tblPr>
  </w:style>
  <w:style w:type="table" w:styleId="Style_104">
    <w:name w:val="List Table 3 - Accent 1"/>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0" w:space="0"/>
        <w:insideV w:val="none" w:color="auto" w:sz="0" w:space="0"/>
      </w:tblBorders>
      <w:tblLayout w:type="autofit"/>
      <w:tblCellMar>
        <w:left w:w="0" w:type="dxa"/>
        <w:right w:w="0" w:type="dxa"/>
      </w:tblCellMar>
    </w:tblPr>
  </w:style>
  <w:style w:type="table" w:styleId="Style_105">
    <w:name w:val="List Table 3 - Accent 2"/>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0" w:space="0"/>
        <w:insideV w:val="none" w:color="auto" w:sz="0" w:space="0"/>
      </w:tblBorders>
      <w:tblLayout w:type="autofit"/>
      <w:tblCellMar>
        <w:left w:w="0" w:type="dxa"/>
        <w:right w:w="0" w:type="dxa"/>
      </w:tblCellMar>
    </w:tblPr>
  </w:style>
  <w:style w:type="table" w:styleId="Style_106">
    <w:name w:val="List Table 3 - Accent 3"/>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0" w:space="0"/>
        <w:insideV w:val="none" w:color="auto" w:sz="0" w:space="0"/>
      </w:tblBorders>
      <w:tblLayout w:type="autofit"/>
      <w:tblCellMar>
        <w:left w:w="0" w:type="dxa"/>
        <w:right w:w="0" w:type="dxa"/>
      </w:tblCellMar>
    </w:tblPr>
  </w:style>
  <w:style w:type="table" w:styleId="Style_107">
    <w:name w:val="List Table 3 - Accent 4"/>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0" w:space="0"/>
        <w:insideV w:val="none" w:color="auto" w:sz="0" w:space="0"/>
      </w:tblBorders>
      <w:tblLayout w:type="autofit"/>
      <w:tblCellMar>
        <w:left w:w="0" w:type="dxa"/>
        <w:right w:w="0" w:type="dxa"/>
      </w:tblCellMar>
    </w:tblPr>
  </w:style>
  <w:style w:type="table" w:styleId="Style_108">
    <w:name w:val="List Table 3 - Accent 5"/>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0" w:space="0"/>
        <w:insideV w:val="none" w:color="auto" w:sz="0" w:space="0"/>
      </w:tblBorders>
      <w:tblLayout w:type="autofit"/>
      <w:tblCellMar>
        <w:left w:w="0" w:type="dxa"/>
        <w:right w:w="0" w:type="dxa"/>
      </w:tblCellMar>
    </w:tblPr>
  </w:style>
  <w:style w:type="table" w:styleId="Style_109">
    <w:name w:val="List Table 3 - Accent 6"/>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0" w:space="0"/>
        <w:insideV w:val="none" w:color="auto" w:sz="0" w:space="0"/>
      </w:tblBorders>
      <w:tblLayout w:type="autofit"/>
      <w:tblCellMar>
        <w:left w:w="0" w:type="dxa"/>
        <w:right w:w="0" w:type="dxa"/>
      </w:tblCellMar>
    </w:tblPr>
  </w:style>
  <w:style w:type="table" w:styleId="Style_110">
    <w:name w:val="List Table 4"/>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0" w:space="0"/>
      </w:tblBorders>
      <w:tblLayout w:type="autofit"/>
      <w:tblCellMar>
        <w:left w:w="0" w:type="dxa"/>
        <w:right w:w="0" w:type="dxa"/>
      </w:tblCellMar>
    </w:tblPr>
  </w:style>
  <w:style w:type="table" w:styleId="Style_111">
    <w:name w:val="List Table 4 - Accent 1"/>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0" w:space="0"/>
      </w:tblBorders>
      <w:tblLayout w:type="autofit"/>
      <w:tblCellMar>
        <w:left w:w="0" w:type="dxa"/>
        <w:right w:w="0" w:type="dxa"/>
      </w:tblCellMar>
    </w:tblPr>
  </w:style>
  <w:style w:type="table" w:styleId="Style_112">
    <w:name w:val="List Table 4 - Accent 2"/>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0" w:space="0"/>
      </w:tblBorders>
      <w:tblLayout w:type="autofit"/>
      <w:tblCellMar>
        <w:left w:w="0" w:type="dxa"/>
        <w:right w:w="0" w:type="dxa"/>
      </w:tblCellMar>
    </w:tblPr>
  </w:style>
  <w:style w:type="table" w:styleId="Style_113">
    <w:name w:val="List Table 4 - Accent 3"/>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0" w:space="0"/>
      </w:tblBorders>
      <w:tblLayout w:type="autofit"/>
      <w:tblCellMar>
        <w:left w:w="0" w:type="dxa"/>
        <w:right w:w="0" w:type="dxa"/>
      </w:tblCellMar>
    </w:tblPr>
  </w:style>
  <w:style w:type="table" w:styleId="Style_114">
    <w:name w:val="List Table 4 - Accent 4"/>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0" w:space="0"/>
      </w:tblBorders>
      <w:tblLayout w:type="autofit"/>
      <w:tblCellMar>
        <w:left w:w="0" w:type="dxa"/>
        <w:right w:w="0" w:type="dxa"/>
      </w:tblCellMar>
    </w:tblPr>
  </w:style>
  <w:style w:type="table" w:styleId="Style_115">
    <w:name w:val="List Table 4 - Accent 5"/>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0" w:space="0"/>
      </w:tblBorders>
      <w:tblLayout w:type="autofit"/>
      <w:tblCellMar>
        <w:left w:w="0" w:type="dxa"/>
        <w:right w:w="0" w:type="dxa"/>
      </w:tblCellMar>
    </w:tblPr>
  </w:style>
  <w:style w:type="table" w:styleId="Style_116">
    <w:name w:val="List Table 4 - Accent 6"/>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0" w:space="0"/>
      </w:tblBorders>
      <w:tblLayout w:type="autofit"/>
      <w:tblCellMar>
        <w:left w:w="0" w:type="dxa"/>
        <w:right w:w="0" w:type="dxa"/>
      </w:tblCellMar>
    </w:tblPr>
  </w:style>
  <w:style w:type="table" w:styleId="Style_117">
    <w:name w:val="List Table 5 Dark"/>
    <w:basedOn w:val="Style_179"/>
    <w:personalCompose/>
    <w:pPr>
      <w:spacing w:before="0" w:after="0" w:line="240" w:lineRule="auto"/>
      <w:jc w:val="left"/>
    </w:pPr>
    <w:rPr>
      <w:rFonts w:ascii="Arial" w:hAnsi="Arial" w:eastAsia="Arial" w:cs="Arial"/>
      <w:sz w:val="24"/>
    </w:rPr>
    <w:tblPr>
      <w:tblW w:w="0" w:type="auto"/>
      <w:tblInd w:w="0" w:type="dxa"/>
      <w:tblBorders>
        <w:top w:val="none" w:color="auto" w:sz="32" w:space="0"/>
        <w:left w:val="none" w:color="auto" w:sz="32" w:space="0"/>
        <w:bottom w:val="none" w:color="auto" w:sz="32" w:space="0"/>
        <w:right w:val="none" w:color="auto" w:sz="32" w:space="0"/>
        <w:insideH w:val="none" w:color="auto" w:sz="0" w:space="0"/>
        <w:insideV w:val="none" w:color="auto" w:sz="0" w:space="0"/>
      </w:tblBorders>
      <w:shd w:val="clear" w:color="ffffff" w:fill="7f7f7f"/>
      <w:tblLayout w:type="autofit"/>
      <w:tblCellMar>
        <w:left w:w="0" w:type="dxa"/>
        <w:right w:w="0" w:type="dxa"/>
      </w:tblCellMar>
    </w:tblPr>
  </w:style>
  <w:style w:type="table" w:styleId="Style_118">
    <w:name w:val="List Table 5 Dark - Accent 1"/>
    <w:basedOn w:val="Style_179"/>
    <w:personalCompose/>
    <w:pPr>
      <w:spacing w:before="0" w:after="0" w:line="240" w:lineRule="auto"/>
      <w:jc w:val="left"/>
    </w:pPr>
    <w:rPr>
      <w:rFonts w:ascii="Arial" w:hAnsi="Arial" w:eastAsia="Arial" w:cs="Arial"/>
      <w:sz w:val="24"/>
    </w:rPr>
    <w:tblPr>
      <w:tblW w:w="0" w:type="auto"/>
      <w:tblInd w:w="0" w:type="dxa"/>
      <w:tblBorders>
        <w:top w:val="none" w:color="auto" w:sz="32" w:space="0"/>
        <w:left w:val="none" w:color="auto" w:sz="32" w:space="0"/>
        <w:bottom w:val="none" w:color="auto" w:sz="32" w:space="0"/>
        <w:right w:val="none" w:color="auto" w:sz="32" w:space="0"/>
        <w:insideH w:val="none" w:color="auto" w:sz="0" w:space="0"/>
        <w:insideV w:val="none" w:color="auto" w:sz="0" w:space="0"/>
      </w:tblBorders>
      <w:shd w:val="clear" w:color="ffffff" w:fill="5b9bd5"/>
      <w:tblLayout w:type="autofit"/>
      <w:tblCellMar>
        <w:left w:w="0" w:type="dxa"/>
        <w:right w:w="0" w:type="dxa"/>
      </w:tblCellMar>
    </w:tblPr>
  </w:style>
  <w:style w:type="table" w:styleId="Style_119">
    <w:name w:val="List Table 5 Dark - Accent 2"/>
    <w:basedOn w:val="Style_179"/>
    <w:personalCompose/>
    <w:pPr>
      <w:spacing w:before="0" w:after="0" w:line="240" w:lineRule="auto"/>
      <w:jc w:val="left"/>
    </w:pPr>
    <w:rPr>
      <w:rFonts w:ascii="Arial" w:hAnsi="Arial" w:eastAsia="Arial" w:cs="Arial"/>
      <w:sz w:val="24"/>
    </w:rPr>
    <w:tblPr>
      <w:tblW w:w="0" w:type="auto"/>
      <w:tblInd w:w="0" w:type="dxa"/>
      <w:tblBorders>
        <w:top w:val="none" w:color="auto" w:sz="32" w:space="0"/>
        <w:left w:val="none" w:color="auto" w:sz="32" w:space="0"/>
        <w:bottom w:val="none" w:color="auto" w:sz="32" w:space="0"/>
        <w:right w:val="none" w:color="auto" w:sz="32" w:space="0"/>
        <w:insideH w:val="none" w:color="auto" w:sz="0" w:space="0"/>
        <w:insideV w:val="none" w:color="auto" w:sz="0" w:space="0"/>
      </w:tblBorders>
      <w:shd w:val="clear" w:color="ffffff" w:fill="f4b185"/>
      <w:tblLayout w:type="autofit"/>
      <w:tblCellMar>
        <w:left w:w="0" w:type="dxa"/>
        <w:right w:w="0" w:type="dxa"/>
      </w:tblCellMar>
    </w:tblPr>
  </w:style>
  <w:style w:type="table" w:styleId="Style_120">
    <w:name w:val="List Table 5 Dark - Accent 3"/>
    <w:basedOn w:val="Style_179"/>
    <w:personalCompose/>
    <w:pPr>
      <w:spacing w:before="0" w:after="0" w:line="240" w:lineRule="auto"/>
      <w:jc w:val="left"/>
    </w:pPr>
    <w:rPr>
      <w:rFonts w:ascii="Arial" w:hAnsi="Arial" w:eastAsia="Arial" w:cs="Arial"/>
      <w:sz w:val="24"/>
    </w:rPr>
    <w:tblPr>
      <w:tblW w:w="0" w:type="auto"/>
      <w:tblInd w:w="0" w:type="dxa"/>
      <w:tblBorders>
        <w:top w:val="none" w:color="auto" w:sz="32" w:space="0"/>
        <w:left w:val="none" w:color="auto" w:sz="32" w:space="0"/>
        <w:bottom w:val="none" w:color="auto" w:sz="32" w:space="0"/>
        <w:right w:val="none" w:color="auto" w:sz="32" w:space="0"/>
        <w:insideH w:val="none" w:color="auto" w:sz="0" w:space="0"/>
        <w:insideV w:val="none" w:color="auto" w:sz="0" w:space="0"/>
      </w:tblBorders>
      <w:shd w:val="clear" w:color="ffffff" w:fill="c9c9c9"/>
      <w:tblLayout w:type="autofit"/>
      <w:tblCellMar>
        <w:left w:w="0" w:type="dxa"/>
        <w:right w:w="0" w:type="dxa"/>
      </w:tblCellMar>
    </w:tblPr>
  </w:style>
  <w:style w:type="table" w:styleId="Style_121">
    <w:name w:val="List Table 5 Dark - Accent 4"/>
    <w:basedOn w:val="Style_179"/>
    <w:personalCompose/>
    <w:pPr>
      <w:spacing w:before="0" w:after="0" w:line="240" w:lineRule="auto"/>
      <w:jc w:val="left"/>
    </w:pPr>
    <w:rPr>
      <w:rFonts w:ascii="Arial" w:hAnsi="Arial" w:eastAsia="Arial" w:cs="Arial"/>
      <w:sz w:val="24"/>
    </w:rPr>
    <w:tblPr>
      <w:tblW w:w="0" w:type="auto"/>
      <w:tblInd w:w="0" w:type="dxa"/>
      <w:tblBorders>
        <w:top w:val="none" w:color="auto" w:sz="32" w:space="0"/>
        <w:left w:val="none" w:color="auto" w:sz="32" w:space="0"/>
        <w:bottom w:val="none" w:color="auto" w:sz="32" w:space="0"/>
        <w:right w:val="none" w:color="auto" w:sz="32" w:space="0"/>
        <w:insideH w:val="none" w:color="auto" w:sz="0" w:space="0"/>
        <w:insideV w:val="none" w:color="auto" w:sz="0" w:space="0"/>
      </w:tblBorders>
      <w:shd w:val="clear" w:color="ffffff" w:fill="ffd864"/>
      <w:tblLayout w:type="autofit"/>
      <w:tblCellMar>
        <w:left w:w="0" w:type="dxa"/>
        <w:right w:w="0" w:type="dxa"/>
      </w:tblCellMar>
    </w:tblPr>
  </w:style>
  <w:style w:type="table" w:styleId="Style_122">
    <w:name w:val="List Table 5 Dark - Accent 5"/>
    <w:basedOn w:val="Style_179"/>
    <w:personalCompose/>
    <w:pPr>
      <w:spacing w:before="0" w:after="0" w:line="240" w:lineRule="auto"/>
      <w:jc w:val="left"/>
    </w:pPr>
    <w:rPr>
      <w:rFonts w:ascii="Arial" w:hAnsi="Arial" w:eastAsia="Arial" w:cs="Arial"/>
      <w:sz w:val="24"/>
    </w:rPr>
    <w:tblPr>
      <w:tblW w:w="0" w:type="auto"/>
      <w:tblInd w:w="0" w:type="dxa"/>
      <w:tblBorders>
        <w:top w:val="none" w:color="auto" w:sz="32" w:space="0"/>
        <w:left w:val="none" w:color="auto" w:sz="32" w:space="0"/>
        <w:bottom w:val="none" w:color="auto" w:sz="32" w:space="0"/>
        <w:right w:val="none" w:color="auto" w:sz="32" w:space="0"/>
        <w:insideH w:val="none" w:color="auto" w:sz="0" w:space="0"/>
        <w:insideV w:val="none" w:color="auto" w:sz="0" w:space="0"/>
      </w:tblBorders>
      <w:shd w:val="clear" w:color="ffffff" w:fill="8eabdb"/>
      <w:tblLayout w:type="autofit"/>
      <w:tblCellMar>
        <w:left w:w="0" w:type="dxa"/>
        <w:right w:w="0" w:type="dxa"/>
      </w:tblCellMar>
    </w:tblPr>
  </w:style>
  <w:style w:type="table" w:styleId="Style_123">
    <w:name w:val="List Table 5 Dark - Accent 6"/>
    <w:basedOn w:val="Style_179"/>
    <w:personalCompose/>
    <w:pPr>
      <w:spacing w:before="0" w:after="0" w:line="240" w:lineRule="auto"/>
      <w:jc w:val="left"/>
    </w:pPr>
    <w:rPr>
      <w:rFonts w:ascii="Arial" w:hAnsi="Arial" w:eastAsia="Arial" w:cs="Arial"/>
      <w:sz w:val="24"/>
    </w:rPr>
    <w:tblPr>
      <w:tblW w:w="0" w:type="auto"/>
      <w:tblInd w:w="0" w:type="dxa"/>
      <w:tblBorders>
        <w:top w:val="none" w:color="auto" w:sz="32" w:space="0"/>
        <w:left w:val="none" w:color="auto" w:sz="32" w:space="0"/>
        <w:bottom w:val="none" w:color="auto" w:sz="32" w:space="0"/>
        <w:right w:val="none" w:color="auto" w:sz="32" w:space="0"/>
        <w:insideH w:val="none" w:color="auto" w:sz="0" w:space="0"/>
        <w:insideV w:val="none" w:color="auto" w:sz="0" w:space="0"/>
      </w:tblBorders>
      <w:shd w:val="clear" w:color="ffffff" w:fill="aad08f"/>
      <w:tblLayout w:type="autofit"/>
      <w:tblCellMar>
        <w:left w:w="0" w:type="dxa"/>
        <w:right w:w="0" w:type="dxa"/>
      </w:tblCellMar>
    </w:tblPr>
  </w:style>
  <w:style w:type="table" w:styleId="Style_124">
    <w:name w:val="List Table 6 Colorful"/>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left w:w="0" w:type="dxa"/>
        <w:right w:w="0" w:type="dxa"/>
      </w:tblCellMar>
    </w:tblPr>
  </w:style>
  <w:style w:type="table" w:styleId="Style_125">
    <w:name w:val="List Table 6 Colorful - Accent 1"/>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left w:w="0" w:type="dxa"/>
        <w:right w:w="0" w:type="dxa"/>
      </w:tblCellMar>
    </w:tblPr>
  </w:style>
  <w:style w:type="table" w:styleId="Style_126">
    <w:name w:val="List Table 6 Colorful - Accent 2"/>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left w:w="0" w:type="dxa"/>
        <w:right w:w="0" w:type="dxa"/>
      </w:tblCellMar>
    </w:tblPr>
  </w:style>
  <w:style w:type="table" w:styleId="Style_127">
    <w:name w:val="List Table 6 Colorful - Accent 3"/>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left w:w="0" w:type="dxa"/>
        <w:right w:w="0" w:type="dxa"/>
      </w:tblCellMar>
    </w:tblPr>
  </w:style>
  <w:style w:type="table" w:styleId="Style_128">
    <w:name w:val="List Table 6 Colorful - Accent 4"/>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left w:w="0" w:type="dxa"/>
        <w:right w:w="0" w:type="dxa"/>
      </w:tblCellMar>
    </w:tblPr>
  </w:style>
  <w:style w:type="table" w:styleId="Style_129">
    <w:name w:val="List Table 6 Colorful - Accent 5"/>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left w:w="0" w:type="dxa"/>
        <w:right w:w="0" w:type="dxa"/>
      </w:tblCellMar>
    </w:tblPr>
  </w:style>
  <w:style w:type="table" w:styleId="Style_130">
    <w:name w:val="List Table 6 Colorful - Accent 6"/>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left w:w="0" w:type="dxa"/>
        <w:right w:w="0" w:type="dxa"/>
      </w:tblCellMar>
    </w:tblPr>
  </w:style>
  <w:style w:type="table" w:styleId="Style_131">
    <w:name w:val="List Table 7 Colorful"/>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0" w:space="0"/>
        <w:right w:val="none" w:color="auto" w:sz="4" w:space="0"/>
        <w:insideH w:val="none" w:color="auto" w:sz="0" w:space="0"/>
        <w:insideV w:val="none" w:color="auto" w:sz="0" w:space="0"/>
      </w:tblBorders>
      <w:tblLayout w:type="autofit"/>
      <w:tblCellMar>
        <w:left w:w="0" w:type="dxa"/>
        <w:right w:w="0" w:type="dxa"/>
      </w:tblCellMar>
    </w:tblPr>
  </w:style>
  <w:style w:type="table" w:styleId="Style_132">
    <w:name w:val="List Table 7 Colorful - Accent 1"/>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0" w:space="0"/>
        <w:right w:val="none" w:color="auto" w:sz="4" w:space="0"/>
        <w:insideH w:val="none" w:color="auto" w:sz="0" w:space="0"/>
        <w:insideV w:val="none" w:color="auto" w:sz="0" w:space="0"/>
      </w:tblBorders>
      <w:tblLayout w:type="autofit"/>
      <w:tblCellMar>
        <w:left w:w="0" w:type="dxa"/>
        <w:right w:w="0" w:type="dxa"/>
      </w:tblCellMar>
    </w:tblPr>
  </w:style>
  <w:style w:type="table" w:styleId="Style_133">
    <w:name w:val="List Table 7 Colorful - Accent 2"/>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0" w:space="0"/>
        <w:right w:val="none" w:color="auto" w:sz="4" w:space="0"/>
        <w:insideH w:val="none" w:color="auto" w:sz="0" w:space="0"/>
        <w:insideV w:val="none" w:color="auto" w:sz="0" w:space="0"/>
      </w:tblBorders>
      <w:tblLayout w:type="autofit"/>
      <w:tblCellMar>
        <w:left w:w="0" w:type="dxa"/>
        <w:right w:w="0" w:type="dxa"/>
      </w:tblCellMar>
    </w:tblPr>
  </w:style>
  <w:style w:type="table" w:styleId="Style_134">
    <w:name w:val="List Table 7 Colorful - Accent 3"/>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0" w:space="0"/>
        <w:right w:val="none" w:color="auto" w:sz="4" w:space="0"/>
        <w:insideH w:val="none" w:color="auto" w:sz="0" w:space="0"/>
        <w:insideV w:val="none" w:color="auto" w:sz="0" w:space="0"/>
      </w:tblBorders>
      <w:tblLayout w:type="autofit"/>
      <w:tblCellMar>
        <w:left w:w="0" w:type="dxa"/>
        <w:right w:w="0" w:type="dxa"/>
      </w:tblCellMar>
    </w:tblPr>
  </w:style>
  <w:style w:type="table" w:styleId="Style_135">
    <w:name w:val="List Table 7 Colorful - Accent 4"/>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0" w:space="0"/>
        <w:right w:val="none" w:color="auto" w:sz="4" w:space="0"/>
        <w:insideH w:val="none" w:color="auto" w:sz="0" w:space="0"/>
        <w:insideV w:val="none" w:color="auto" w:sz="0" w:space="0"/>
      </w:tblBorders>
      <w:tblLayout w:type="autofit"/>
      <w:tblCellMar>
        <w:left w:w="0" w:type="dxa"/>
        <w:right w:w="0" w:type="dxa"/>
      </w:tblCellMar>
    </w:tblPr>
  </w:style>
  <w:style w:type="table" w:styleId="Style_136">
    <w:name w:val="List Table 7 Colorful - Accent 5"/>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0" w:space="0"/>
        <w:right w:val="none" w:color="auto" w:sz="4" w:space="0"/>
        <w:insideH w:val="none" w:color="auto" w:sz="0" w:space="0"/>
        <w:insideV w:val="none" w:color="auto" w:sz="0" w:space="0"/>
      </w:tblBorders>
      <w:tblLayout w:type="autofit"/>
      <w:tblCellMar>
        <w:left w:w="0" w:type="dxa"/>
        <w:right w:w="0" w:type="dxa"/>
      </w:tblCellMar>
    </w:tblPr>
  </w:style>
  <w:style w:type="table" w:styleId="Style_137">
    <w:name w:val="List Table 7 Colorful - Accent 6"/>
    <w:basedOn w:val="Style_179"/>
    <w:personalCompose/>
    <w:pPr>
      <w:spacing w:before="0" w:after="0" w:line="240" w:lineRule="auto"/>
      <w:jc w:val="left"/>
    </w:pPr>
    <w:rPr>
      <w:rFonts w:ascii="Arial" w:hAnsi="Arial" w:eastAsia="Arial" w:cs="Arial"/>
      <w:sz w:val="24"/>
    </w:rPr>
    <w:tblPr>
      <w:tblW w:w="0" w:type="auto"/>
      <w:tblInd w:w="0" w:type="dxa"/>
      <w:tblBorders>
        <w:top w:val="none" w:color="auto" w:sz="0" w:space="0"/>
        <w:left w:val="none" w:color="auto" w:sz="0" w:space="0"/>
        <w:bottom w:val="none" w:color="auto" w:sz="0" w:space="0"/>
        <w:right w:val="none" w:color="auto" w:sz="4" w:space="0"/>
        <w:insideH w:val="none" w:color="auto" w:sz="0" w:space="0"/>
        <w:insideV w:val="none" w:color="auto" w:sz="0" w:space="0"/>
      </w:tblBorders>
      <w:tblLayout w:type="autofit"/>
      <w:tblCellMar>
        <w:left w:w="0" w:type="dxa"/>
        <w:right w:w="0" w:type="dxa"/>
      </w:tblCellMar>
    </w:tblPr>
  </w:style>
  <w:style w:type="table" w:styleId="Style_138">
    <w:name w:val="Lined - Accent"/>
    <w:basedOn w:val="Style_179"/>
    <w:personalCompose/>
    <w:pPr>
      <w:spacing w:before="0" w:after="0" w:line="240" w:lineRule="auto"/>
      <w:jc w:val="left"/>
    </w:pPr>
    <w:rPr>
      <w:rFonts w:ascii="Arial" w:hAnsi="Arial" w:eastAsia="Arial" w:cs="Arial"/>
      <w:color w:val="404040"/>
      <w:sz w:val="24"/>
    </w:rPr>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0" w:type="dxa"/>
        <w:right w:w="0" w:type="dxa"/>
      </w:tblCellMar>
    </w:tblPr>
  </w:style>
  <w:style w:type="table" w:styleId="Style_139">
    <w:name w:val="Lined - Accent 1"/>
    <w:basedOn w:val="Style_179"/>
    <w:personalCompose/>
    <w:pPr>
      <w:spacing w:before="0" w:after="0" w:line="240" w:lineRule="auto"/>
      <w:jc w:val="left"/>
    </w:pPr>
    <w:rPr>
      <w:rFonts w:ascii="Arial" w:hAnsi="Arial" w:eastAsia="Arial" w:cs="Arial"/>
      <w:color w:val="404040"/>
      <w:sz w:val="24"/>
    </w:rPr>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0" w:type="dxa"/>
        <w:right w:w="0" w:type="dxa"/>
      </w:tblCellMar>
    </w:tblPr>
  </w:style>
  <w:style w:type="table" w:styleId="Style_140">
    <w:name w:val="Lined - Accent 2"/>
    <w:basedOn w:val="Style_179"/>
    <w:personalCompose/>
    <w:pPr>
      <w:spacing w:before="0" w:after="0" w:line="240" w:lineRule="auto"/>
      <w:jc w:val="left"/>
    </w:pPr>
    <w:rPr>
      <w:rFonts w:ascii="Arial" w:hAnsi="Arial" w:eastAsia="Arial" w:cs="Arial"/>
      <w:color w:val="404040"/>
      <w:sz w:val="24"/>
    </w:rPr>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0" w:type="dxa"/>
        <w:right w:w="0" w:type="dxa"/>
      </w:tblCellMar>
    </w:tblPr>
  </w:style>
  <w:style w:type="table" w:styleId="Style_141">
    <w:name w:val="Lined - Accent 3"/>
    <w:basedOn w:val="Style_179"/>
    <w:personalCompose/>
    <w:pPr>
      <w:spacing w:before="0" w:after="0" w:line="240" w:lineRule="auto"/>
      <w:jc w:val="left"/>
    </w:pPr>
    <w:rPr>
      <w:rFonts w:ascii="Arial" w:hAnsi="Arial" w:eastAsia="Arial" w:cs="Arial"/>
      <w:color w:val="404040"/>
      <w:sz w:val="24"/>
    </w:rPr>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0" w:type="dxa"/>
        <w:right w:w="0" w:type="dxa"/>
      </w:tblCellMar>
    </w:tblPr>
  </w:style>
  <w:style w:type="table" w:styleId="Style_142">
    <w:name w:val="Lined - Accent 4"/>
    <w:basedOn w:val="Style_179"/>
    <w:personalCompose/>
    <w:pPr>
      <w:spacing w:before="0" w:after="0" w:line="240" w:lineRule="auto"/>
      <w:jc w:val="left"/>
    </w:pPr>
    <w:rPr>
      <w:rFonts w:ascii="Arial" w:hAnsi="Arial" w:eastAsia="Arial" w:cs="Arial"/>
      <w:color w:val="404040"/>
      <w:sz w:val="24"/>
    </w:rPr>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0" w:type="dxa"/>
        <w:right w:w="0" w:type="dxa"/>
      </w:tblCellMar>
    </w:tblPr>
  </w:style>
  <w:style w:type="table" w:styleId="Style_143">
    <w:name w:val="Lined - Accent 5"/>
    <w:basedOn w:val="Style_179"/>
    <w:personalCompose/>
    <w:pPr>
      <w:spacing w:before="0" w:after="0" w:line="240" w:lineRule="auto"/>
      <w:jc w:val="left"/>
    </w:pPr>
    <w:rPr>
      <w:rFonts w:ascii="Arial" w:hAnsi="Arial" w:eastAsia="Arial" w:cs="Arial"/>
      <w:color w:val="404040"/>
      <w:sz w:val="24"/>
    </w:rPr>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0" w:type="dxa"/>
        <w:right w:w="0" w:type="dxa"/>
      </w:tblCellMar>
    </w:tblPr>
  </w:style>
  <w:style w:type="table" w:styleId="Style_144">
    <w:name w:val="Lined - Accent 6"/>
    <w:basedOn w:val="Style_179"/>
    <w:personalCompose/>
    <w:pPr>
      <w:spacing w:before="0" w:after="0" w:line="240" w:lineRule="auto"/>
      <w:jc w:val="left"/>
    </w:pPr>
    <w:rPr>
      <w:rFonts w:ascii="Arial" w:hAnsi="Arial" w:eastAsia="Arial" w:cs="Arial"/>
      <w:color w:val="404040"/>
      <w:sz w:val="24"/>
    </w:rPr>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0" w:type="dxa"/>
        <w:right w:w="0" w:type="dxa"/>
      </w:tblCellMar>
    </w:tblPr>
  </w:style>
  <w:style w:type="table" w:styleId="Style_145">
    <w:name w:val="Bordered &amp; Lined - Accent"/>
    <w:basedOn w:val="Style_179"/>
    <w:personalCompose/>
    <w:pPr>
      <w:spacing w:before="0" w:after="0" w:line="240" w:lineRule="auto"/>
      <w:jc w:val="left"/>
    </w:pPr>
    <w:rPr>
      <w:rFonts w:ascii="Arial" w:hAnsi="Arial" w:eastAsia="Arial" w:cs="Arial"/>
      <w:color w:val="404040"/>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146">
    <w:name w:val="Bordered &amp; Lined - Accent 1"/>
    <w:basedOn w:val="Style_179"/>
    <w:personalCompose/>
    <w:pPr>
      <w:spacing w:before="0" w:after="0" w:line="240" w:lineRule="auto"/>
      <w:jc w:val="left"/>
    </w:pPr>
    <w:rPr>
      <w:rFonts w:ascii="Arial" w:hAnsi="Arial" w:eastAsia="Arial" w:cs="Arial"/>
      <w:color w:val="404040"/>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147">
    <w:name w:val="Bordered &amp; Lined - Accent 2"/>
    <w:basedOn w:val="Style_179"/>
    <w:personalCompose/>
    <w:pPr>
      <w:spacing w:before="0" w:after="0" w:line="240" w:lineRule="auto"/>
      <w:jc w:val="left"/>
    </w:pPr>
    <w:rPr>
      <w:rFonts w:ascii="Arial" w:hAnsi="Arial" w:eastAsia="Arial" w:cs="Arial"/>
      <w:color w:val="404040"/>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148">
    <w:name w:val="Bordered &amp; Lined - Accent 3"/>
    <w:basedOn w:val="Style_179"/>
    <w:personalCompose/>
    <w:pPr>
      <w:spacing w:before="0" w:after="0" w:line="240" w:lineRule="auto"/>
      <w:jc w:val="left"/>
    </w:pPr>
    <w:rPr>
      <w:rFonts w:ascii="Arial" w:hAnsi="Arial" w:eastAsia="Arial" w:cs="Arial"/>
      <w:color w:val="404040"/>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149">
    <w:name w:val="Bordered &amp; Lined - Accent 4"/>
    <w:basedOn w:val="Style_179"/>
    <w:personalCompose/>
    <w:pPr>
      <w:spacing w:before="0" w:after="0" w:line="240" w:lineRule="auto"/>
      <w:jc w:val="left"/>
    </w:pPr>
    <w:rPr>
      <w:rFonts w:ascii="Arial" w:hAnsi="Arial" w:eastAsia="Arial" w:cs="Arial"/>
      <w:color w:val="404040"/>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150">
    <w:name w:val="Bordered &amp; Lined - Accent 5"/>
    <w:basedOn w:val="Style_179"/>
    <w:personalCompose/>
    <w:pPr>
      <w:spacing w:before="0" w:after="0" w:line="240" w:lineRule="auto"/>
      <w:jc w:val="left"/>
    </w:pPr>
    <w:rPr>
      <w:rFonts w:ascii="Arial" w:hAnsi="Arial" w:eastAsia="Arial" w:cs="Arial"/>
      <w:color w:val="404040"/>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151">
    <w:name w:val="Bordered &amp; Lined - Accent 6"/>
    <w:basedOn w:val="Style_179"/>
    <w:personalCompose/>
    <w:pPr>
      <w:spacing w:before="0" w:after="0" w:line="240" w:lineRule="auto"/>
      <w:jc w:val="left"/>
    </w:pPr>
    <w:rPr>
      <w:rFonts w:ascii="Arial" w:hAnsi="Arial" w:eastAsia="Arial" w:cs="Arial"/>
      <w:color w:val="404040"/>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152">
    <w:name w:val="Bordered"/>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153">
    <w:name w:val="Bordered - Accent 1"/>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154">
    <w:name w:val="Bordered - Accent 2"/>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155">
    <w:name w:val="Bordered - Accent 3"/>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156">
    <w:name w:val="Bordered - Accent 4"/>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157">
    <w:name w:val="Bordered - Accent 5"/>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table" w:styleId="Style_158">
    <w:name w:val="Bordered - Accent 6"/>
    <w:basedOn w:val="Style_179"/>
    <w:personalCompose/>
    <w:pPr>
      <w:spacing w:before="0" w:after="0" w:line="240" w:lineRule="auto"/>
      <w:jc w:val="left"/>
    </w:pPr>
    <w:rPr>
      <w:rFonts w:ascii="Arial" w:hAnsi="Arial" w:eastAsia="Arial" w:cs="Arial"/>
      <w:sz w:val="24"/>
    </w:rPr>
    <w:tblP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0" w:type="dxa"/>
        <w:right w:w="0" w:type="dxa"/>
      </w:tblCellMar>
    </w:tblPr>
  </w:style>
  <w:style w:type="character" w:styleId="Style_159">
    <w:name w:val="Hyperlink"/>
    <w:unhideWhenUsed/>
    <w:personalCompose/>
    <w:rPr>
      <w:rFonts w:ascii="Arial" w:hAnsi="Arial" w:eastAsia="Arial" w:cs="Arial"/>
      <w:color w:val="0000ff"/>
      <w:sz w:val="24"/>
      <w:u w:val="single"/>
    </w:rPr>
  </w:style>
  <w:style w:type="paragraph" w:styleId="Style_160">
    <w:name w:val="footnote text"/>
    <w:basedOn w:val="Style_177"/>
    <w:semiHidden/>
    <w:unhideWhenUsed/>
    <w:personalCompose/>
    <w:pPr>
      <w:spacing w:before="0" w:after="40" w:line="240" w:lineRule="auto"/>
      <w:jc w:val="left"/>
    </w:pPr>
    <w:rPr>
      <w:rFonts w:ascii="Arial" w:hAnsi="Arial" w:eastAsia="Arial" w:cs="Arial"/>
      <w:sz w:val="18"/>
    </w:rPr>
  </w:style>
  <w:style w:type="character" w:styleId="Style_161">
    <w:name w:val="Footnote Text Char"/>
    <w:personalCompose/>
    <w:rPr>
      <w:rFonts w:ascii="Arial" w:hAnsi="Arial" w:eastAsia="Arial" w:cs="Arial"/>
      <w:sz w:val="18"/>
    </w:rPr>
  </w:style>
  <w:style w:type="character" w:styleId="Style_162">
    <w:name w:val="footnote reference"/>
    <w:basedOn w:val="Style_178"/>
    <w:unhideWhenUsed/>
    <w:personalCompose/>
    <w:rPr>
      <w:rFonts w:ascii="Arial" w:hAnsi="Arial" w:eastAsia="Arial" w:cs="Arial"/>
      <w:sz w:val="24"/>
      <w:vertAlign w:val="superscript"/>
    </w:rPr>
  </w:style>
  <w:style w:type="paragraph" w:styleId="Style_163">
    <w:name w:val="endnote text"/>
    <w:basedOn w:val="Style_177"/>
    <w:semiHidden/>
    <w:unhideWhenUsed/>
    <w:personalCompose/>
    <w:pPr>
      <w:spacing w:before="0" w:after="0" w:line="240" w:lineRule="auto"/>
      <w:jc w:val="left"/>
    </w:pPr>
    <w:rPr>
      <w:rFonts w:ascii="Arial" w:hAnsi="Arial" w:eastAsia="Arial" w:cs="Arial"/>
      <w:sz w:val="20"/>
    </w:rPr>
  </w:style>
  <w:style w:type="character" w:styleId="Style_164">
    <w:name w:val="Endnote Text Char"/>
    <w:personalCompose/>
    <w:rPr>
      <w:rFonts w:ascii="Arial" w:hAnsi="Arial" w:eastAsia="Arial" w:cs="Arial"/>
      <w:sz w:val="20"/>
    </w:rPr>
  </w:style>
  <w:style w:type="character" w:styleId="Style_165">
    <w:name w:val="endnote reference"/>
    <w:basedOn w:val="Style_178"/>
    <w:semiHidden/>
    <w:unhideWhenUsed/>
    <w:personalCompose/>
    <w:rPr>
      <w:rFonts w:ascii="Arial" w:hAnsi="Arial" w:eastAsia="Arial" w:cs="Arial"/>
      <w:sz w:val="24"/>
      <w:vertAlign w:val="superscript"/>
    </w:rPr>
  </w:style>
  <w:style w:type="paragraph" w:styleId="Style_166">
    <w:name w:val="toc 1"/>
    <w:basedOn w:val="Style_177"/>
    <w:unhideWhenUsed/>
    <w:personalCompose/>
    <w:pPr>
      <w:spacing w:before="0" w:after="57" w:line="240" w:lineRule="auto"/>
      <w:ind w:left="0" w:firstLine="0"/>
      <w:jc w:val="left"/>
    </w:pPr>
    <w:rPr>
      <w:rFonts w:ascii="Arial" w:hAnsi="Arial" w:eastAsia="Arial" w:cs="Arial"/>
      <w:sz w:val="24"/>
    </w:rPr>
  </w:style>
  <w:style w:type="paragraph" w:styleId="Style_167">
    <w:name w:val="toc 2"/>
    <w:basedOn w:val="Style_177"/>
    <w:unhideWhenUsed/>
    <w:personalCompose/>
    <w:pPr>
      <w:spacing w:before="0" w:after="57" w:line="240" w:lineRule="auto"/>
      <w:ind w:left="283" w:firstLine="0"/>
      <w:jc w:val="left"/>
    </w:pPr>
    <w:rPr>
      <w:rFonts w:ascii="Arial" w:hAnsi="Arial" w:eastAsia="Arial" w:cs="Arial"/>
      <w:sz w:val="24"/>
    </w:rPr>
  </w:style>
  <w:style w:type="paragraph" w:styleId="Style_168">
    <w:name w:val="toc 3"/>
    <w:basedOn w:val="Style_177"/>
    <w:unhideWhenUsed/>
    <w:personalCompose/>
    <w:pPr>
      <w:spacing w:before="0" w:after="57" w:line="240" w:lineRule="auto"/>
      <w:ind w:left="567" w:firstLine="0"/>
      <w:jc w:val="left"/>
    </w:pPr>
    <w:rPr>
      <w:rFonts w:ascii="Arial" w:hAnsi="Arial" w:eastAsia="Arial" w:cs="Arial"/>
      <w:sz w:val="24"/>
    </w:rPr>
  </w:style>
  <w:style w:type="paragraph" w:styleId="Style_169">
    <w:name w:val="toc 4"/>
    <w:basedOn w:val="Style_177"/>
    <w:unhideWhenUsed/>
    <w:personalCompose/>
    <w:pPr>
      <w:spacing w:before="0" w:after="57" w:line="240" w:lineRule="auto"/>
      <w:ind w:left="850" w:firstLine="0"/>
      <w:jc w:val="left"/>
    </w:pPr>
    <w:rPr>
      <w:rFonts w:ascii="Arial" w:hAnsi="Arial" w:eastAsia="Arial" w:cs="Arial"/>
      <w:sz w:val="24"/>
    </w:rPr>
  </w:style>
  <w:style w:type="paragraph" w:styleId="Style_170">
    <w:name w:val="toc 5"/>
    <w:basedOn w:val="Style_177"/>
    <w:unhideWhenUsed/>
    <w:personalCompose/>
    <w:pPr>
      <w:spacing w:before="0" w:after="57" w:line="240" w:lineRule="auto"/>
      <w:ind w:left="1134" w:firstLine="0"/>
      <w:jc w:val="left"/>
    </w:pPr>
    <w:rPr>
      <w:rFonts w:ascii="Arial" w:hAnsi="Arial" w:eastAsia="Arial" w:cs="Arial"/>
      <w:sz w:val="24"/>
    </w:rPr>
  </w:style>
  <w:style w:type="paragraph" w:styleId="Style_171">
    <w:name w:val="toc 6"/>
    <w:basedOn w:val="Style_177"/>
    <w:unhideWhenUsed/>
    <w:personalCompose/>
    <w:pPr>
      <w:spacing w:before="0" w:after="57" w:line="240" w:lineRule="auto"/>
      <w:ind w:left="1417" w:firstLine="0"/>
      <w:jc w:val="left"/>
    </w:pPr>
    <w:rPr>
      <w:rFonts w:ascii="Arial" w:hAnsi="Arial" w:eastAsia="Arial" w:cs="Arial"/>
      <w:sz w:val="24"/>
    </w:rPr>
  </w:style>
  <w:style w:type="paragraph" w:styleId="Style_172">
    <w:name w:val="toc 7"/>
    <w:basedOn w:val="Style_177"/>
    <w:unhideWhenUsed/>
    <w:personalCompose/>
    <w:pPr>
      <w:spacing w:before="0" w:after="57" w:line="240" w:lineRule="auto"/>
      <w:ind w:left="1701" w:firstLine="0"/>
      <w:jc w:val="left"/>
    </w:pPr>
    <w:rPr>
      <w:rFonts w:ascii="Arial" w:hAnsi="Arial" w:eastAsia="Arial" w:cs="Arial"/>
      <w:sz w:val="24"/>
    </w:rPr>
  </w:style>
  <w:style w:type="paragraph" w:styleId="Style_173">
    <w:name w:val="toc 8"/>
    <w:basedOn w:val="Style_177"/>
    <w:unhideWhenUsed/>
    <w:personalCompose/>
    <w:pPr>
      <w:spacing w:before="0" w:after="57" w:line="240" w:lineRule="auto"/>
      <w:ind w:left="1984" w:firstLine="0"/>
      <w:jc w:val="left"/>
    </w:pPr>
    <w:rPr>
      <w:rFonts w:ascii="Arial" w:hAnsi="Arial" w:eastAsia="Arial" w:cs="Arial"/>
      <w:sz w:val="24"/>
    </w:rPr>
  </w:style>
  <w:style w:type="paragraph" w:styleId="Style_174">
    <w:name w:val="toc 9"/>
    <w:basedOn w:val="Style_177"/>
    <w:unhideWhenUsed/>
    <w:personalCompose/>
    <w:pPr>
      <w:spacing w:before="0" w:after="57" w:line="240" w:lineRule="auto"/>
      <w:ind w:left="2268" w:firstLine="0"/>
      <w:jc w:val="left"/>
    </w:pPr>
    <w:rPr>
      <w:rFonts w:ascii="Arial" w:hAnsi="Arial" w:eastAsia="Arial" w:cs="Arial"/>
      <w:sz w:val="24"/>
    </w:rPr>
  </w:style>
  <w:style w:type="paragraph" w:styleId="Style_175">
    <w:name w:val="TOC Heading"/>
    <w:unhideWhenUsed/>
    <w:personalCompose/>
    <w:pPr>
      <w:spacing w:before="0" w:after="0" w:line="240" w:lineRule="auto"/>
      <w:jc w:val="left"/>
    </w:pPr>
    <w:rPr>
      <w:rFonts w:ascii="Arial" w:hAnsi="Arial" w:eastAsia="Arial" w:cs="Arial"/>
      <w:sz w:val="24"/>
    </w:rPr>
  </w:style>
  <w:style w:type="paragraph" w:styleId="Style_176">
    <w:name w:val="table of figures"/>
    <w:basedOn w:val="Style_177"/>
    <w:unhideWhenUsed/>
    <w:personalCompose/>
    <w:pPr>
      <w:spacing w:before="0" w:after="0" w:line="240" w:lineRule="auto"/>
      <w:jc w:val="left"/>
    </w:pPr>
    <w:rPr>
      <w:rFonts w:ascii="Arial" w:hAnsi="Arial" w:eastAsia="Arial" w:cs="Arial"/>
      <w:sz w:val="24"/>
    </w:rPr>
  </w:style>
  <w:style w:type="paragraph" w:styleId="Style_177">
    <w:name w:val="Normal"/>
    <w:qFormat/>
    <w:pPr>
      <w:spacing w:before="0" w:after="160" w:line="259" w:lineRule="auto"/>
      <w:ind w:left="0"/>
      <w:jc w:val="left"/>
    </w:pPr>
    <w:rPr>
      <w:rFonts w:ascii="Calibri" w:hAnsi="Calibri" w:eastAsia="Calibri" w:cs="Calibri"/>
      <w:sz w:val="22"/>
    </w:rPr>
  </w:style>
  <w:style w:type="character" w:styleId="Style_178">
    <w:name w:val="Default Paragraph Font"/>
    <w:semiHidden/>
    <w:unhideWhenUsed/>
    <w:personalCompose/>
    <w:rPr>
      <w:rFonts w:ascii="TimesNewRoman" w:hAnsi="TimesNewRoman" w:eastAsia="TimesNewRoman" w:cs="TimesNewRoman"/>
      <w:sz w:val="24"/>
    </w:rPr>
  </w:style>
  <w:style w:type="table" w:styleId="Style_179">
    <w:name w:val="Normal Table"/>
    <w:semiHidden/>
    <w:unhideWhenUsed/>
    <w:pPr>
      <w:spacing w:before="0" w:after="160" w:line="259" w:lineRule="auto"/>
      <w:ind w:left="0"/>
      <w:jc w:val="left"/>
    </w:pPr>
    <w:rPr>
      <w:rFonts w:ascii="Calibri" w:hAnsi="Calibri" w:eastAsia="Calibri" w:cs="Calibri"/>
      <w:sz w:val="22"/>
    </w:rPr>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style>
  <w:style w:type="paragraph" w:styleId="Style_180">
    <w:name w:val="ConsPlusNormal"/>
    <w:pPr>
      <w:spacing w:before="0" w:after="0" w:line="240" w:lineRule="auto"/>
      <w:ind w:left="0"/>
      <w:jc w:val="left"/>
    </w:pPr>
    <w:rPr>
      <w:rFonts w:ascii="TimesNewRoman" w:hAnsi="TimesNewRoman" w:eastAsia="TimesNewRoman" w:cs="TimesNewRoman"/>
      <w:sz w:val="24"/>
    </w:rPr>
  </w:style>
  <w:style w:type="paragraph" w:styleId="Style_181">
    <w:name w:val="ConsPlusNonformat"/>
    <w:pPr>
      <w:spacing w:before="0" w:after="0" w:line="240" w:lineRule="auto"/>
      <w:ind w:left="0"/>
      <w:jc w:val="left"/>
    </w:pPr>
    <w:rPr>
      <w:rFonts w:ascii="CourierNew" w:hAnsi="CourierNew" w:eastAsia="CourierNew" w:cs="CourierNew"/>
      <w:sz w:val="20"/>
    </w:rPr>
  </w:style>
  <w:style w:type="paragraph" w:styleId="Style_182">
    <w:name w:val="ConsPlusTitle"/>
    <w:pPr>
      <w:spacing w:before="0" w:after="0" w:line="240" w:lineRule="auto"/>
      <w:ind w:left="0"/>
      <w:jc w:val="left"/>
    </w:pPr>
    <w:rPr>
      <w:rFonts w:ascii="Arial" w:hAnsi="Arial" w:eastAsia="Arial" w:cs="Arial"/>
      <w:b/>
      <w:sz w:val="24"/>
    </w:rPr>
  </w:style>
  <w:style w:type="paragraph" w:styleId="Style_183">
    <w:name w:val="ConsPlusCell"/>
    <w:pPr>
      <w:spacing w:before="0" w:after="0" w:line="240" w:lineRule="auto"/>
      <w:ind w:left="0"/>
      <w:jc w:val="left"/>
    </w:pPr>
    <w:rPr>
      <w:rFonts w:ascii="CourierNew" w:hAnsi="CourierNew" w:eastAsia="CourierNew" w:cs="CourierNew"/>
      <w:sz w:val="20"/>
    </w:rPr>
  </w:style>
  <w:style w:type="paragraph" w:styleId="Style_184">
    <w:name w:val="ConsPlusDocList"/>
    <w:pPr>
      <w:spacing w:before="0" w:after="0" w:line="240" w:lineRule="auto"/>
      <w:ind w:left="0"/>
      <w:jc w:val="left"/>
    </w:pPr>
    <w:rPr>
      <w:rFonts w:ascii="Tahoma" w:hAnsi="Tahoma" w:eastAsia="Tahoma" w:cs="Tahoma"/>
      <w:sz w:val="18"/>
    </w:rPr>
  </w:style>
  <w:style w:type="paragraph" w:styleId="Style_185">
    <w:name w:val="ConsPlusTitlePage"/>
    <w:pPr>
      <w:spacing w:before="0" w:after="0" w:line="240" w:lineRule="auto"/>
      <w:ind w:left="0"/>
      <w:jc w:val="left"/>
    </w:pPr>
    <w:rPr>
      <w:rFonts w:ascii="Tahoma" w:hAnsi="Tahoma" w:eastAsia="Tahoma" w:cs="Tahoma"/>
      <w:sz w:val="24"/>
    </w:rPr>
  </w:style>
  <w:style w:type="paragraph" w:styleId="Style_186">
    <w:name w:val="ConsPlusJurTerm"/>
    <w:pPr>
      <w:spacing w:before="0" w:after="0" w:line="240" w:lineRule="auto"/>
      <w:ind w:left="0"/>
      <w:jc w:val="left"/>
    </w:pPr>
    <w:rPr>
      <w:rFonts w:ascii="TimesNewRoman" w:hAnsi="TimesNewRoman" w:eastAsia="TimesNewRoman" w:cs="TimesNewRoman"/>
      <w:sz w:val="24"/>
    </w:rPr>
  </w:style>
  <w:style w:type="paragraph" w:styleId="Style_187">
    <w:name w:val="ConsPlusTextList"/>
    <w:pPr>
      <w:spacing w:before="0" w:after="0" w:line="240" w:lineRule="auto"/>
      <w:ind w:left="0"/>
      <w:jc w:val="left"/>
    </w:pPr>
    <w:rPr>
      <w:rFonts w:ascii="TimesNewRoman" w:hAnsi="TimesNewRoman" w:eastAsia="TimesNewRoman" w:cs="TimesNewRoman"/>
      <w:sz w:val="24"/>
    </w:rPr>
  </w:style>
  <w:style w:type="paragraph" w:styleId="Style_188">
    <w:name w:val="ConsPlusTextList1"/>
    <w:pPr>
      <w:spacing w:before="0" w:after="0" w:line="240" w:lineRule="auto"/>
      <w:ind w:left="0"/>
      <w:jc w:val="left"/>
    </w:pPr>
    <w:rPr>
      <w:rFonts w:ascii="TimesNewRoman" w:hAnsi="TimesNewRoman" w:eastAsia="TimesNewRoman" w:cs="TimesNewRoman"/>
      <w:sz w:val="24"/>
    </w:rPr>
  </w:style>
  <w:style w:type="paragraph" w:styleId="Style_189">
    <w:name w:val="Balloon Text"/>
    <w:basedOn w:val="Style_177"/>
    <w:semiHidden/>
    <w:unhideWhenUsed/>
    <w:pPr>
      <w:spacing w:before="0" w:after="0" w:line="240" w:lineRule="auto"/>
      <w:ind w:left="0"/>
      <w:jc w:val="left"/>
    </w:pPr>
    <w:rPr>
      <w:rFonts w:ascii="SegoeUI" w:hAnsi="SegoeUI" w:eastAsia="SegoeUI" w:cs="SegoeUI"/>
      <w:sz w:val="18"/>
    </w:rPr>
  </w:style>
  <w:style w:type="character" w:styleId="Style_190">
    <w:name w:val="Текст выноски Знак"/>
    <w:basedOn w:val="Style_178"/>
    <w:semiHidden/>
    <w:rPr>
      <w:rFonts w:ascii="SegoeUI" w:hAnsi="SegoeUI" w:eastAsia="SegoeUI" w:cs="SegoeUI"/>
      <w:sz w:val="18"/>
    </w:rPr>
  </w:style>
  <w:style w:type="paragraph" w:styleId="Style_191">
    <w:name w:val="Header"/>
    <w:basedOn w:val="Style_177"/>
    <w:unhideWhenUsed/>
    <w:pPr>
      <w:tabs>
        <w:tab w:val="center" w:pos="4677"/>
        <w:tab w:val="right" w:pos="9355"/>
      </w:tabs>
      <w:spacing w:before="0" w:after="160" w:line="259" w:lineRule="auto"/>
      <w:ind w:left="0"/>
      <w:jc w:val="left"/>
    </w:pPr>
    <w:rPr>
      <w:rFonts w:ascii="Calibri" w:hAnsi="Calibri" w:eastAsia="Calibri" w:cs="Calibri"/>
      <w:sz w:val="22"/>
    </w:rPr>
  </w:style>
  <w:style w:type="character" w:styleId="Style_192">
    <w:name w:val="Верхний колонтитул Знак"/>
    <w:basedOn w:val="Style_178"/>
    <w:rPr>
      <w:rFonts w:ascii="TimesNewRoman" w:hAnsi="TimesNewRoman" w:eastAsia="TimesNewRoman" w:cs="TimesNewRoman"/>
      <w:sz w:val="24"/>
    </w:rPr>
  </w:style>
  <w:style w:type="paragraph" w:styleId="Style_193">
    <w:name w:val="Footer"/>
    <w:basedOn w:val="Style_177"/>
    <w:unhideWhenUsed/>
    <w:pPr>
      <w:tabs>
        <w:tab w:val="center" w:pos="4677"/>
        <w:tab w:val="right" w:pos="9355"/>
      </w:tabs>
      <w:spacing w:before="0" w:after="160" w:line="259" w:lineRule="auto"/>
      <w:ind w:left="0"/>
      <w:jc w:val="left"/>
    </w:pPr>
    <w:rPr>
      <w:rFonts w:ascii="Calibri" w:hAnsi="Calibri" w:eastAsia="Calibri" w:cs="Calibri"/>
      <w:sz w:val="22"/>
    </w:rPr>
  </w:style>
  <w:style w:type="character" w:styleId="Style_194">
    <w:name w:val="Нижний колонтитул Знак"/>
    <w:basedOn w:val="Style_178"/>
    <w:rPr>
      <w:rFonts w:ascii="TimesNewRoman" w:hAnsi="TimesNewRoman" w:eastAsia="TimesNewRoman" w:cs="TimesNewRoman"/>
      <w:sz w:val="24"/>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footer" Target="footer1.xml" /><Relationship Id="rId10" Type="http://schemas.openxmlformats.org/officeDocument/2006/relationships/image" Target="media/image1.wmf"/><Relationship Id="rId11" Type="http://schemas.openxmlformats.org/officeDocument/2006/relationships/image" Target="media/media1.svg"/><Relationship Id="rId12" Type="http://schemas.openxmlformats.org/officeDocument/2006/relationships/image" Target="media/image2.wmf"/><Relationship Id="rId13" Type="http://schemas.openxmlformats.org/officeDocument/2006/relationships/image" Target="media/media2.svg"/><Relationship Id="rId14" Type="http://schemas.openxmlformats.org/officeDocument/2006/relationships/image" Target="media/image3.wmf"/><Relationship Id="rId15" Type="http://schemas.openxmlformats.org/officeDocument/2006/relationships/image" Target="media/media3.svg"/><Relationship Id="rId16" Type="http://schemas.openxmlformats.org/officeDocument/2006/relationships/image" Target="media/image4.wmf"/><Relationship Id="rId17" Type="http://schemas.openxmlformats.org/officeDocument/2006/relationships/image" Target="media/media4.svg"/><Relationship Id="rId18" Type="http://schemas.openxmlformats.org/officeDocument/2006/relationships/image" Target="media/image5.wmf"/><Relationship Id="rId19" Type="http://schemas.openxmlformats.org/officeDocument/2006/relationships/image" Target="media/media5.svg"/><Relationship Id="rId20" Type="http://schemas.openxmlformats.org/officeDocument/2006/relationships/image" Target="media/image6.wmf"/><Relationship Id="rId21" Type="http://schemas.openxmlformats.org/officeDocument/2006/relationships/image" Target="media/media6.svg"/><Relationship Id="rId22" Type="http://schemas.openxmlformats.org/officeDocument/2006/relationships/image" Target="media/image7.wmf"/><Relationship Id="rId23" Type="http://schemas.openxmlformats.org/officeDocument/2006/relationships/image" Target="media/media7.svg"/><Relationship Id="rId24" Type="http://schemas.openxmlformats.org/officeDocument/2006/relationships/image" Target="media/image8.wmf"/><Relationship Id="rId25" Type="http://schemas.openxmlformats.org/officeDocument/2006/relationships/image" Target="media/media8.svg"/><Relationship Id="rId26" Type="http://schemas.openxmlformats.org/officeDocument/2006/relationships/image" Target="media/image9.wmf"/><Relationship Id="rId27" Type="http://schemas.openxmlformats.org/officeDocument/2006/relationships/image" Target="media/media9.svg"/><Relationship Id="rId28" Type="http://schemas.openxmlformats.org/officeDocument/2006/relationships/image" Target="media/image10.wmf"/><Relationship Id="rId29" Type="http://schemas.openxmlformats.org/officeDocument/2006/relationships/image" Target="media/media10.svg"/><Relationship Id="rId30" Type="http://schemas.openxmlformats.org/officeDocument/2006/relationships/image" Target="media/image11.wmf"/><Relationship Id="rId31" Type="http://schemas.openxmlformats.org/officeDocument/2006/relationships/image" Target="media/media11.svg"/><Relationship Id="rId32" Type="http://schemas.openxmlformats.org/officeDocument/2006/relationships/image" Target="media/image12.wmf"/><Relationship Id="rId33" Type="http://schemas.openxmlformats.org/officeDocument/2006/relationships/image" Target="media/media12.svg"/><Relationship Id="rId34" Type="http://schemas.openxmlformats.org/officeDocument/2006/relationships/image" Target="media/image13.wmf"/><Relationship Id="rId35" Type="http://schemas.openxmlformats.org/officeDocument/2006/relationships/image" Target="media/media13.svg"/><Relationship Id="rId36" Type="http://schemas.openxmlformats.org/officeDocument/2006/relationships/image" Target="media/image14.wmf"/><Relationship Id="rId37" Type="http://schemas.openxmlformats.org/officeDocument/2006/relationships/image" Target="media/media14.sv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Р7-Офис/2025.3.1.923</Application>
  <DocSecurity>0</DocSecurity>
  <HyperlinksChanged>false</HyperlinksChanged>
  <LinksUpToDate>false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Ростехнадзора от 15.12.2020 N 536&amp;amp;quot;Об утверждении федеральных норм и правил в области промышленной безопасности &amp;amp;quot;Правила промышленной безопасности при использовании оборудования, работающего под избыточным давлением&amp;amp;quot;(Зарегистрировано в Минюсте Росси</dc:title>
  <dc:creator>Васильев А.А.</dc:creator>
  <cp:lastModifiedBy>amedvedchikov</cp:lastModifiedBy>
</cp:coreProperties>
</file>