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June 28, 2018 by Dickerson@</w:t>
      </w:r>
    </w:p>
    <w:p w:rsidR="00000000" w:rsidDel="00000000" w:rsidP="00000000" w:rsidRDefault="00000000" w:rsidRPr="00000000" w14:paraId="00000001">
      <w:pPr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gqz5h8nefgc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Contributors Code of Conduct</w:t>
      </w:r>
    </w:p>
    <w:p w:rsidR="00000000" w:rsidDel="00000000" w:rsidP="00000000" w:rsidRDefault="00000000" w:rsidRPr="00000000" w14:paraId="00000003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Data Transfer Project Contributors are committed to preserving and fostering a diverse, welcoming and open community. The Data Transfer Project is open to Contributors from all walks of life and should be a harassment-free experience for everyone, regardless of age, body size, disability, ethnicity, gender identity and expression, level of experience, nationality, personal appearance, race, religion, or sexual identity and orientation.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w6iqj3ozz9zf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Code of Conduct applies to our repositories and organizations, mailing lists, blog content, and any other Data Transfer Project-supported communication group, as well as any private communication initiated in the context of these spaces.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no12kiuowmk5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Standards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Examples of behavior that contributes to creating a positive environment include: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Using welcoming and inclusive language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Being respectful of differing viewpoints and experiences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Gracefully accepting constructive criticism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Focusing on what is best for the community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Showing empathy towards other community members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 of sexualized language or imagery and unwelcome sexual attention or advances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Trolling, insulting/derogatory comments, and personal or political attacks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Public or private harassment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Publishing others' private information, such as a physical or electronic address, without explicit permission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Other conduct which could reasonably be considered inappropriate in a professional setting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yjpbmppzl7kg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Responsibilities</w:t>
      </w:r>
    </w:p>
    <w:p w:rsidR="00000000" w:rsidDel="00000000" w:rsidP="00000000" w:rsidRDefault="00000000" w:rsidRPr="00000000" w14:paraId="00000014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are empowered to politely engage when you feel that you or others are disrespected. The person making you feel uncomfortable may not be aware of what they are doing - politely bringing their behavior to their attention is encouraged. If you are uncomfortable speaking up, or feel that your concerns are not being duly considered, you can email the </w:t>
      </w:r>
      <w:commentRangeStart w:id="0"/>
      <w:r w:rsidDel="00000000" w:rsidR="00000000" w:rsidRPr="00000000">
        <w:rPr>
          <w:color w:val="24292e"/>
          <w:sz w:val="24"/>
          <w:szCs w:val="24"/>
          <w:rtl w:val="0"/>
        </w:rPr>
        <w:t xml:space="preserve">Data Transfer Project mailing list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to request involvement from a DTP C</w:t>
      </w:r>
      <w:commentRangeStart w:id="1"/>
      <w:commentRangeStart w:id="2"/>
      <w:r w:rsidDel="00000000" w:rsidR="00000000" w:rsidRPr="00000000">
        <w:rPr>
          <w:color w:val="24292e"/>
          <w:sz w:val="24"/>
          <w:szCs w:val="24"/>
          <w:rtl w:val="0"/>
        </w:rPr>
        <w:t xml:space="preserve">ommunity Manager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All concerns shared with DTP Community Managers will be kept confidential. </w:t>
      </w:r>
    </w:p>
    <w:p w:rsidR="00000000" w:rsidDel="00000000" w:rsidP="00000000" w:rsidRDefault="00000000" w:rsidRPr="00000000" w14:paraId="00000015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While all reports will be taken seriously, the DTP Community Managers may not act on complaints that they feel are not violations of this code of conduct.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8pni0xh52nj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Enforcement</w:t>
      </w:r>
    </w:p>
    <w:p w:rsidR="00000000" w:rsidDel="00000000" w:rsidP="00000000" w:rsidRDefault="00000000" w:rsidRPr="00000000" w14:paraId="0000001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Consequences for failing to comply with this policy may include, at the sole discretion of the DTP Community Managers: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request for an apology;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private or public warning or reprimand;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temporary ban from the mailing list, blog, DTP repository or organization, or other DTP-supported communication group, including loss of committer status;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permanent ban from any of the above, or from all current and future DTP-supported or Google-supported communities, including loss of committer status. Participants warned to stop any harassing behavior are expected to comply immediately; failure to do so will result in an escalation of consequences. The decisions of the DTP Community Managers may be appealed via DTP mailing list.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qy8mfmx79gs0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Acknowledgements</w:t>
      </w:r>
    </w:p>
    <w:p w:rsidR="00000000" w:rsidDel="00000000" w:rsidP="00000000" w:rsidRDefault="00000000" w:rsidRPr="00000000" w14:paraId="0000001D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Code of Conduct is based on Contributor Covenant, version 1.4, available </w:t>
      </w:r>
      <w:r w:rsidDel="00000000" w:rsidR="00000000" w:rsidRPr="00000000">
        <w:fldChar w:fldCharType="begin"/>
        <w:instrText xml:space="preserve"> HYPERLINK "http://contributor-covenant.org/version/1/4"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wr61ln6ag9ag" w:id="6"/>
      <w:bookmarkEnd w:id="6"/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1F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Code of Conduct is available for reuse under the Creative Commons Zero (CC0) license.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yce Dickerson" w:id="0" w:date="2018-06-28T22:23:00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 specific here</w:t>
      </w:r>
    </w:p>
  </w:comment>
  <w:comment w:author="Joyce Dickerson" w:id="1" w:date="2018-06-28T22:24:0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+willard@google.com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have designated Community Managers?</w:t>
      </w:r>
    </w:p>
  </w:comment>
  <w:comment w:author="Brian Willard" w:id="2" w:date="2018-06-29T00:59:4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 and I? but no not really, we should designate us.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google/data-transfer-project/blob/master/CODE_OF_CONDU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