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Day-by-day</w:t>
      </w:r>
      <w:r>
        <w:t xml:space="preserve"> </w:t>
      </w:r>
      <w:r>
        <w:t xml:space="preserve">Objectives</w:t>
      </w:r>
      <w:r>
        <w:t xml:space="preserve"> </w:t>
      </w:r>
      <w:r>
        <w:t xml:space="preserve">for</w:t>
      </w:r>
      <w:r>
        <w:t xml:space="preserve"> </w:t>
      </w:r>
      <w:r>
        <w:t xml:space="preserve">Math</w:t>
      </w:r>
      <w:r>
        <w:t xml:space="preserve"> </w:t>
      </w:r>
      <w:r>
        <w:t xml:space="preserve">300R</w:t>
      </w:r>
    </w:p>
    <w:p>
      <w:pPr>
        <w:pStyle w:val="Author"/>
      </w:pPr>
      <w:r>
        <w:t xml:space="preserve">Danny</w:t>
      </w:r>
      <w:r>
        <w:t xml:space="preserve"> </w:t>
      </w:r>
      <w:r>
        <w:t xml:space="preserve">Kaplan</w:t>
      </w:r>
    </w:p>
    <w:bookmarkStart w:id="20" w:name="lessons-1-18"/>
    <w:p>
      <w:pPr>
        <w:pStyle w:val="Heading2"/>
      </w:pPr>
      <w:r>
        <w:t xml:space="preserve">Lessons 1-18</w:t>
      </w:r>
    </w:p>
    <w:p>
      <w:pPr>
        <w:pStyle w:val="FirstParagraph"/>
      </w:pPr>
      <w:r>
        <w:t xml:space="preserve">As done in Fall 2020. Possible revisions to those lessons is not a topic of this proposal.</w:t>
      </w:r>
    </w:p>
    <w:bookmarkEnd w:id="20"/>
    <w:bookmarkStart w:id="22" w:name="lesson-19-decisions-with-data-nti"/>
    <w:p>
      <w:pPr>
        <w:pStyle w:val="Heading2"/>
      </w:pPr>
      <w:r>
        <w:t xml:space="preserve">Lesson 19: Decisions with data (</w:t>
      </w:r>
      <w:hyperlink r:id="rId21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Distinguish between the two settings for decision-making: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Prediction</w:t>
      </w:r>
      <w:r>
        <w:t xml:space="preserve">: predict an outcome for an individual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Relationship</w:t>
      </w:r>
      <w:r>
        <w:t xml:space="preserve">: characterize a relationship with an eye toward intervention or a better understanding of how a mechanism works.</w:t>
      </w:r>
    </w:p>
    <w:p>
      <w:pPr>
        <w:numPr>
          <w:ilvl w:val="0"/>
          <w:numId w:val="1001"/>
        </w:numPr>
      </w:pPr>
      <w:r>
        <w:t xml:space="preserve">Given a research question, identify whether it corresponds to a prediction setting or a relationship setting.</w:t>
      </w:r>
    </w:p>
    <w:bookmarkEnd w:id="22"/>
    <w:bookmarkStart w:id="24" w:name="gaming-intro"/>
    <w:p>
      <w:pPr>
        <w:pStyle w:val="Heading2"/>
      </w:pPr>
      <w:r>
        <w:t xml:space="preserve">Lesson 20: Reality versus gaming (</w:t>
      </w:r>
      <w:hyperlink r:id="rId23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t xml:space="preserve">Gaming: Understand that gaming is a way of improving our skills and identifying potential opportunities and problems.</w:t>
      </w:r>
    </w:p>
    <w:p>
      <w:pPr>
        <w:numPr>
          <w:ilvl w:val="0"/>
          <w:numId w:val="1003"/>
        </w:numPr>
      </w:pPr>
      <w:r>
        <w:t xml:space="preserve">Distinguish between a sample, a summary of a sample, and a sample of summaries of samples.</w:t>
      </w:r>
    </w:p>
    <w:bookmarkEnd w:id="24"/>
    <w:bookmarkStart w:id="26" w:name="lesson-21-dags-noise-and-simulation-nti"/>
    <w:p>
      <w:pPr>
        <w:pStyle w:val="Heading2"/>
      </w:pPr>
      <w:r>
        <w:t xml:space="preserve">Lesson 21: DAGs, noise, and simulation (</w:t>
      </w:r>
      <w:hyperlink r:id="rId25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4"/>
        </w:numPr>
      </w:pPr>
      <w:r>
        <w:t xml:space="preserve">Determine whether a proposed graph is directed and acyclic.</w:t>
      </w:r>
    </w:p>
    <w:p>
      <w:pPr>
        <w:numPr>
          <w:ilvl w:val="0"/>
          <w:numId w:val="1004"/>
        </w:numPr>
      </w:pPr>
      <w:r>
        <w:t xml:space="preserve">Read notation to identify response variable, explanatory variable, covariates, and effect sizes.</w:t>
      </w:r>
    </w:p>
    <w:p>
      <w:pPr>
        <w:numPr>
          <w:ilvl w:val="0"/>
          <w:numId w:val="1004"/>
        </w:numPr>
      </w:pPr>
      <w:r>
        <w:t xml:space="preserve">Characterize the magnitude of random noise.</w:t>
      </w:r>
    </w:p>
    <w:p>
      <w:pPr>
        <w:numPr>
          <w:ilvl w:val="0"/>
          <w:numId w:val="1004"/>
        </w:numPr>
      </w:pPr>
      <w:r>
        <w:t xml:space="preserve">Gaming: Generate data from simulations and use the data to model the relationships.</w:t>
      </w:r>
    </w:p>
    <w:bookmarkEnd w:id="26"/>
    <w:bookmarkStart w:id="28" w:name="lesson-22-sampling-variation-nti"/>
    <w:p>
      <w:pPr>
        <w:pStyle w:val="Heading2"/>
      </w:pPr>
      <w:r>
        <w:t xml:space="preserve">Lesson 22: Sampling variation (</w:t>
      </w:r>
      <w:hyperlink r:id="rId27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5"/>
        </w:numPr>
      </w:pPr>
      <w:r>
        <w:t xml:space="preserve">Gaming: Implement on the computer a procedure to generate a sample, calculate a regression model, and produce a summary.</w:t>
      </w:r>
    </w:p>
    <w:p>
      <w:pPr>
        <w:numPr>
          <w:ilvl w:val="0"/>
          <w:numId w:val="1005"/>
        </w:numPr>
      </w:pPr>
      <w:r>
        <w:t xml:space="preserve">Gaming: Iterate the procedure and collect the summaries across iterations. This collection is called the</w:t>
      </w:r>
      <w:r>
        <w:t xml:space="preserve"> </w:t>
      </w:r>
      <w:r>
        <w:t xml:space="preserve">“</w:t>
      </w:r>
      <w:r>
        <w:t xml:space="preserve">sampling distribution.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Graphically display the distribution of summaries and generate a compact numerical description (</w:t>
      </w:r>
      <w:r>
        <w:t xml:space="preserve">“</w:t>
      </w:r>
      <w:r>
        <w:t xml:space="preserve">confidence interval</w:t>
      </w:r>
      <w:r>
        <w:t xml:space="preserve">”</w:t>
      </w:r>
      <w:r>
        <w:t xml:space="preserve">) of the sampling distribution.</w:t>
      </w:r>
    </w:p>
    <w:p>
      <w:pPr>
        <w:numPr>
          <w:ilvl w:val="0"/>
          <w:numId w:val="1005"/>
        </w:numPr>
      </w:pPr>
      <w:r>
        <w:t xml:space="preserve">Understand and use scaling of confidence interval length as a function of</w:t>
      </w:r>
      <w:r>
        <w:t xml:space="preserve"> </w:t>
      </w:r>
      <m:oMath>
        <m:r>
          <m:t>n</m:t>
        </m:r>
      </m:oMath>
      <w:r>
        <w:t xml:space="preserve">.</w:t>
      </w:r>
    </w:p>
    <w:bookmarkEnd w:id="28"/>
    <w:bookmarkStart w:id="30" w:name="Xb74fe85dc06536ae681f195f4cddb0f47349bc0"/>
    <w:p>
      <w:pPr>
        <w:pStyle w:val="Heading2"/>
      </w:pPr>
      <w:r>
        <w:t xml:space="preserve">Lesson 23: Estimate sampling variation from a single sample (</w:t>
      </w:r>
      <w:hyperlink r:id="rId29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Use bootstrapping to estimate sampling variation.</w:t>
      </w:r>
    </w:p>
    <w:p>
      <w:pPr>
        <w:numPr>
          <w:ilvl w:val="0"/>
          <w:numId w:val="1006"/>
        </w:numPr>
      </w:pPr>
      <w:r>
        <w:t xml:space="preserve">Infer sampling variation from a regression table:</w:t>
      </w:r>
      <w:r>
        <w:t xml:space="preserve"> </w:t>
      </w:r>
      <w:r>
        <w:t xml:space="preserve">“</w:t>
      </w:r>
      <w:r>
        <w:t xml:space="preserve">standard error</w:t>
      </w:r>
      <w:r>
        <w:t xml:space="preserve">”</w:t>
      </w:r>
      <w:r>
        <w:t xml:space="preserve"> </w:t>
      </w:r>
      <w:r>
        <w:t xml:space="preserve">of a model coefficient.</w:t>
      </w:r>
    </w:p>
    <w:p>
      <w:pPr>
        <w:numPr>
          <w:ilvl w:val="0"/>
          <w:numId w:val="1006"/>
        </w:numPr>
      </w:pPr>
      <w:r>
        <w:t xml:space="preserve">Construct and interpret confidence intervals on a model coefficient.</w:t>
      </w:r>
    </w:p>
    <w:bookmarkEnd w:id="30"/>
    <w:bookmarkStart w:id="32" w:name="lesson-24-effect-size-nti"/>
    <w:p>
      <w:pPr>
        <w:pStyle w:val="Heading2"/>
      </w:pPr>
      <w:r>
        <w:t xml:space="preserve">Lesson 24: Effect size (</w:t>
      </w:r>
      <w:hyperlink r:id="rId31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7"/>
        </w:numPr>
      </w:pPr>
      <w:r>
        <w:t xml:space="preserve">Estimate an effect size from a regression model of the two variables.</w:t>
      </w:r>
    </w:p>
    <w:p>
      <w:pPr>
        <w:numPr>
          <w:ilvl w:val="0"/>
          <w:numId w:val="1007"/>
        </w:numPr>
      </w:pPr>
      <w:r>
        <w:t xml:space="preserve">Construct a confidence interval on the effect size.</w:t>
      </w:r>
    </w:p>
    <w:p>
      <w:pPr>
        <w:numPr>
          <w:ilvl w:val="0"/>
          <w:numId w:val="1007"/>
        </w:numPr>
      </w:pPr>
      <w:r>
        <w:t xml:space="preserve">Gaming: Evaluate whether confidence interval indicates that estimated effect size is consistent with simulation.</w:t>
      </w:r>
    </w:p>
    <w:bookmarkEnd w:id="32"/>
    <w:bookmarkStart w:id="34" w:name="lesson-25-mechanics-of-prediction-nti"/>
    <w:p>
      <w:pPr>
        <w:pStyle w:val="Heading2"/>
      </w:pPr>
      <w:r>
        <w:t xml:space="preserve">Lesson 25: Mechanics of prediction (</w:t>
      </w:r>
      <w:hyperlink r:id="rId33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8"/>
        </w:numPr>
      </w:pPr>
      <w:r>
        <w:t xml:space="preserve">Given a sample from a DAG simulation, construct a predictor function for a specified response variable.</w:t>
      </w:r>
    </w:p>
    <w:p>
      <w:pPr>
        <w:numPr>
          <w:ilvl w:val="0"/>
          <w:numId w:val="1008"/>
        </w:numPr>
      </w:pPr>
      <w:r>
        <w:t xml:space="preserve">Use the predictor function to estimate prediction error on a given DAG sample and summarize with root mean square (RMS) error.</w:t>
      </w:r>
    </w:p>
    <w:p>
      <w:pPr>
        <w:numPr>
          <w:ilvl w:val="0"/>
          <w:numId w:val="1008"/>
        </w:numPr>
      </w:pPr>
      <w:r>
        <w:t xml:space="preserve">Distinguish between in-sample and out-of-sample prediction estimates of prediction error.</w:t>
      </w:r>
    </w:p>
    <w:bookmarkEnd w:id="34"/>
    <w:bookmarkStart w:id="36" w:name="X9fa0d94d56e74f1a6766957a8bf6a2a1a3ffa62"/>
    <w:p>
      <w:pPr>
        <w:pStyle w:val="Heading2"/>
      </w:pPr>
      <w:r>
        <w:t xml:space="preserve">Lesson 26: Constructing a prediction interval (</w:t>
      </w:r>
      <w:hyperlink r:id="rId35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Identify the two components that make up a prediction error, one that scales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other that doesn’t.</w:t>
      </w:r>
    </w:p>
    <w:bookmarkEnd w:id="36"/>
    <w:bookmarkStart w:id="38" w:name="lesson-27-covariates-nti"/>
    <w:p>
      <w:pPr>
        <w:pStyle w:val="Heading2"/>
      </w:pPr>
      <w:r>
        <w:t xml:space="preserve">Lesson 27: Covariates (</w:t>
      </w:r>
      <w:hyperlink r:id="rId37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0"/>
        </w:numPr>
      </w:pPr>
      <w:r>
        <w:t xml:space="preserve">Show that including covariates in a prediction model always reduces in-sample mean square residual, but may not reduce residuals out-of-sample.</w:t>
      </w:r>
    </w:p>
    <w:p>
      <w:pPr>
        <w:numPr>
          <w:ilvl w:val="0"/>
          <w:numId w:val="1010"/>
        </w:numPr>
      </w:pPr>
      <w:r>
        <w:t xml:space="preserve">Given regression coefficients, calculate model degrees of freedom and residual degrees of freedom.</w:t>
      </w:r>
    </w:p>
    <w:p>
      <w:pPr>
        <w:numPr>
          <w:ilvl w:val="0"/>
          <w:numId w:val="1010"/>
        </w:numPr>
      </w:pPr>
      <w:r>
        <w:t xml:space="preserve">Calculate amount of in-sample mean square error reduction to be expected with a useless (random) covariate. (Residual sum of squares divided by residual degrees of freedom.)</w:t>
      </w:r>
    </w:p>
    <w:bookmarkEnd w:id="38"/>
    <w:bookmarkStart w:id="40" w:name="lesson-28-covariates-eat-variance-nti"/>
    <w:p>
      <w:pPr>
        <w:pStyle w:val="Heading2"/>
      </w:pPr>
      <w:r>
        <w:t xml:space="preserve">Lesson 28: Covariates eat variance (</w:t>
      </w:r>
      <w:hyperlink r:id="rId39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1"/>
        </w:numPr>
      </w:pPr>
      <w:r>
        <w:t xml:space="preserve">Construct F statistic as ratio of incremental increase in model mean square due to model term(s) divided by residual mean square.</w:t>
      </w:r>
    </w:p>
    <w:p>
      <w:pPr>
        <w:numPr>
          <w:ilvl w:val="0"/>
          <w:numId w:val="1011"/>
        </w:numPr>
      </w:pPr>
      <w:r>
        <w:t xml:space="preserve">Use software to construct ANOVA report and correctly interpret F statistics for prediction model term selection.</w:t>
      </w:r>
    </w:p>
    <w:bookmarkEnd w:id="40"/>
    <w:bookmarkStart w:id="42" w:name="lesson-29-confounding-nti"/>
    <w:p>
      <w:pPr>
        <w:pStyle w:val="Heading2"/>
      </w:pPr>
      <w:r>
        <w:t xml:space="preserve">Lesson 29: Confounding (</w:t>
      </w:r>
      <w:hyperlink r:id="rId41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2"/>
        </w:numPr>
      </w:pPr>
      <w:r>
        <w:t xml:space="preserve">Identify confounding in a DAG</w:t>
      </w:r>
    </w:p>
    <w:p>
      <w:pPr>
        <w:numPr>
          <w:ilvl w:val="0"/>
          <w:numId w:val="1012"/>
        </w:numPr>
      </w:pPr>
      <w:r>
        <w:t xml:space="preserve">Choose whether to include covariate depending on form of DAG</w:t>
      </w:r>
    </w:p>
    <w:bookmarkEnd w:id="42"/>
    <w:bookmarkStart w:id="44" w:name="lesson-30-non-causal-correlation-nti"/>
    <w:p>
      <w:pPr>
        <w:pStyle w:val="Heading2"/>
      </w:pPr>
      <w:r>
        <w:t xml:space="preserve">Lesson 30: Non-causal correlation (</w:t>
      </w:r>
      <w:hyperlink r:id="rId43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3"/>
        </w:numPr>
      </w:pPr>
      <w:r>
        <w:t xml:space="preserve">Distinguish</w:t>
      </w:r>
      <w:r>
        <w:t xml:space="preserve"> </w:t>
      </w:r>
      <w:r>
        <w:t xml:space="preserve">“</w:t>
      </w:r>
      <w:r>
        <w:t xml:space="preserve">common cause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collider</w:t>
      </w:r>
      <w:r>
        <w:t xml:space="preserve">”</w:t>
      </w:r>
      <w:r>
        <w:t xml:space="preserve"> </w:t>
      </w:r>
      <w:r>
        <w:t xml:space="preserve">forms of DAG.</w:t>
      </w:r>
    </w:p>
    <w:p>
      <w:pPr>
        <w:numPr>
          <w:ilvl w:val="0"/>
          <w:numId w:val="1013"/>
        </w:numPr>
      </w:pPr>
      <w:r>
        <w:t xml:space="preserve">Construct appropriate DAG to match a narrative hypothesis.</w:t>
      </w:r>
    </w:p>
    <w:bookmarkEnd w:id="44"/>
    <w:bookmarkStart w:id="46" w:name="Xfd6e20f5076d0e4946128b87f91fa621e2c65fc"/>
    <w:p>
      <w:pPr>
        <w:pStyle w:val="Heading2"/>
      </w:pPr>
      <w:r>
        <w:t xml:space="preserve">Lesson 31: Experiment and random assignment (</w:t>
      </w:r>
      <w:hyperlink r:id="rId45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4"/>
        </w:numPr>
      </w:pPr>
      <w:r>
        <w:t xml:space="preserve">Properly use nomenclature of experiment.</w:t>
      </w:r>
    </w:p>
    <w:p>
      <w:pPr>
        <w:numPr>
          <w:ilvl w:val="0"/>
          <w:numId w:val="1014"/>
        </w:numPr>
      </w:pPr>
      <w:r>
        <w:t xml:space="preserve">Correctly re-draw DAG for an ideal experimental intervention.</w:t>
      </w:r>
    </w:p>
    <w:p>
      <w:pPr>
        <w:numPr>
          <w:ilvl w:val="0"/>
          <w:numId w:val="1014"/>
        </w:numPr>
      </w:pPr>
      <w:r>
        <w:t xml:space="preserve">Use blocking to set assignment to treatment or control.</w:t>
      </w:r>
    </w:p>
    <w:bookmarkEnd w:id="46"/>
    <w:bookmarkStart w:id="48" w:name="X8a22180ea6e18cb2df087a2b2ef6fc9a4bb7b9c"/>
    <w:p>
      <w:pPr>
        <w:pStyle w:val="Heading2"/>
      </w:pPr>
      <w:r>
        <w:t xml:space="preserve">Lesson 32: Measuring and accumulating risk (</w:t>
      </w:r>
      <w:hyperlink r:id="rId47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5"/>
        </w:numPr>
      </w:pPr>
      <w:r>
        <w:t xml:space="preserve">Distinguish between absolute and relative risk and identify when a change in risk is being presented as absolute or relative.</w:t>
      </w:r>
    </w:p>
    <w:p>
      <w:pPr>
        <w:numPr>
          <w:ilvl w:val="0"/>
          <w:numId w:val="1015"/>
        </w:numPr>
      </w:pPr>
      <w:r>
        <w:t xml:space="preserve">Calculate and correctly interpret other presentations of differences in risk: population attributable fraction, NTT, odds ratio.</w:t>
      </w:r>
    </w:p>
    <w:p>
      <w:pPr>
        <w:numPr>
          <w:ilvl w:val="0"/>
          <w:numId w:val="1015"/>
        </w:numPr>
      </w:pPr>
      <w:r>
        <w:t xml:space="preserve">Interpret effect size as stated in log odds.</w:t>
      </w:r>
    </w:p>
    <w:bookmarkEnd w:id="48"/>
    <w:bookmarkStart w:id="50" w:name="lesson-33-constructing-a-classifier-nti"/>
    <w:p>
      <w:pPr>
        <w:pStyle w:val="Heading2"/>
      </w:pPr>
      <w:r>
        <w:t xml:space="preserve">Lesson 33: Constructing a classifier (</w:t>
      </w:r>
      <w:hyperlink r:id="rId49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6"/>
        </w:numPr>
      </w:pPr>
      <w:r>
        <w:t xml:space="preserve">Build a classifier from case-control data.</w:t>
      </w:r>
    </w:p>
    <w:p>
      <w:pPr>
        <w:numPr>
          <w:ilvl w:val="0"/>
          <w:numId w:val="1016"/>
        </w:numPr>
      </w:pPr>
      <w:r>
        <w:t xml:space="preserve">Cross-tabulate classifier results versus true state. Evaluate false-positive rate, false-negative rate, accuracy.</w:t>
      </w:r>
    </w:p>
    <w:p>
      <w:pPr>
        <w:numPr>
          <w:ilvl w:val="0"/>
          <w:numId w:val="1016"/>
        </w:numPr>
      </w:pPr>
      <w:r>
        <w:t xml:space="preserve">Calculate different forms of conditional probability: p(A|B) versus p(B|A) and identify which form of conditional probability is useful for prediction of an individual’s outcome.</w:t>
      </w:r>
    </w:p>
    <w:bookmarkEnd w:id="50"/>
    <w:bookmarkStart w:id="52" w:name="lesson-34-accounting-for-prevalence-nti"/>
    <w:p>
      <w:pPr>
        <w:pStyle w:val="Heading2"/>
      </w:pPr>
      <w:r>
        <w:t xml:space="preserve">Lesson 34: Accounting for prevalence (</w:t>
      </w:r>
      <w:hyperlink r:id="rId51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7"/>
        </w:numPr>
      </w:pPr>
      <w:r>
        <w:t xml:space="preserve">Explain why case-control data may not give an proper measure of</w:t>
      </w:r>
      <w:r>
        <w:t xml:space="preserve"> </w:t>
      </w:r>
      <w:r>
        <w:t xml:space="preserve">“</w:t>
      </w:r>
      <w:r>
        <w:t xml:space="preserve">prevalence.</w:t>
      </w:r>
      <w:r>
        <w:t xml:space="preserve">”</w:t>
      </w:r>
    </w:p>
    <w:p>
      <w:pPr>
        <w:numPr>
          <w:ilvl w:val="0"/>
          <w:numId w:val="1017"/>
        </w:numPr>
      </w:pPr>
      <w:r>
        <w:t xml:space="preserve">Understand sensitivity and specificity as conditional probabilities.</w:t>
      </w:r>
    </w:p>
    <w:p>
      <w:pPr>
        <w:numPr>
          <w:ilvl w:val="0"/>
          <w:numId w:val="1017"/>
        </w:numPr>
      </w:pPr>
      <w:r>
        <w:t xml:space="preserve">Calculate false-positive and false-negative rates for a given prevalence.</w:t>
      </w:r>
    </w:p>
    <w:bookmarkEnd w:id="52"/>
    <w:bookmarkStart w:id="54" w:name="lesson-35-hypothesis-testing-nti"/>
    <w:p>
      <w:pPr>
        <w:pStyle w:val="Heading2"/>
      </w:pPr>
      <w:r>
        <w:t xml:space="preserve">Lesson 35: Hypothesis testing (</w:t>
      </w:r>
      <w:hyperlink r:id="rId53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8"/>
        </w:numPr>
      </w:pPr>
      <w:r>
        <w:t xml:space="preserve">Understand and use properly hypothesis testing nomenclature: test statistic, sampling distribution under the null, Type-1 and Type-2 error, rejection threshold, p-value</w:t>
      </w:r>
    </w:p>
    <w:p>
      <w:pPr>
        <w:numPr>
          <w:ilvl w:val="0"/>
          <w:numId w:val="1018"/>
        </w:numPr>
      </w:pPr>
      <w:r>
        <w:t xml:space="preserve">Contrast hypothesis testing versus Bayesian framework.</w:t>
      </w:r>
    </w:p>
    <w:bookmarkEnd w:id="54"/>
    <w:bookmarkStart w:id="56" w:name="lesson-36-calculating-a-p-value-nti"/>
    <w:p>
      <w:pPr>
        <w:pStyle w:val="Heading2"/>
      </w:pPr>
      <w:r>
        <w:t xml:space="preserve">Lesson 36: Calculating a p-value (</w:t>
      </w:r>
      <w:hyperlink r:id="rId55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9"/>
        </w:numPr>
      </w:pPr>
      <w:r>
        <w:t xml:space="preserve">The permutation test</w:t>
      </w:r>
    </w:p>
    <w:p>
      <w:pPr>
        <w:numPr>
          <w:ilvl w:val="0"/>
          <w:numId w:val="1019"/>
        </w:numPr>
      </w:pPr>
      <w:r>
        <w:t xml:space="preserve">Interpret correctly from regression/ANOVA reports</w:t>
      </w:r>
    </w:p>
    <w:p>
      <w:pPr>
        <w:numPr>
          <w:ilvl w:val="0"/>
          <w:numId w:val="1019"/>
        </w:numPr>
      </w:pPr>
      <w:r>
        <w:t xml:space="preserve">Traditional names for hypothesis tests in different</w:t>
      </w:r>
      <w:r>
        <w:t xml:space="preserve"> </w:t>
      </w:r>
      <w:r>
        <w:t xml:space="preserve">“</w:t>
      </w:r>
      <w:r>
        <w:t xml:space="preserve">textbook</w:t>
      </w:r>
      <w:r>
        <w:t xml:space="preserve">”</w:t>
      </w:r>
      <w:r>
        <w:t xml:space="preserve"> </w:t>
      </w:r>
      <w:r>
        <w:t xml:space="preserve">settings.</w:t>
      </w:r>
    </w:p>
    <w:p>
      <w:pPr>
        <w:numPr>
          <w:ilvl w:val="0"/>
          <w:numId w:val="1019"/>
        </w:numPr>
      </w:pPr>
      <w:r>
        <w:t xml:space="preserve">Distinguish between p-value and effect size, that is,</w:t>
      </w:r>
      <w:r>
        <w:t xml:space="preserve"> </w:t>
      </w:r>
      <w:r>
        <w:t xml:space="preserve">“</w:t>
      </w:r>
      <w:r>
        <w:t xml:space="preserve">significance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substance.</w:t>
      </w:r>
      <w:r>
        <w:t xml:space="preserve">”</w:t>
      </w:r>
    </w:p>
    <w:bookmarkEnd w:id="56"/>
    <w:bookmarkStart w:id="58" w:name="X6393f5f16eb24a136e4b117f42f73924dc52228"/>
    <w:p>
      <w:pPr>
        <w:pStyle w:val="Heading2"/>
      </w:pPr>
      <w:r>
        <w:t xml:space="preserve">Lesson 37: False discovery with hypothesis testing (</w:t>
      </w:r>
      <w:hyperlink r:id="rId57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Identify signs of false discovery in a research paper.</w:t>
      </w:r>
    </w:p>
    <w:p>
      <w:pPr>
        <w:numPr>
          <w:ilvl w:val="0"/>
          <w:numId w:val="1020"/>
        </w:numPr>
      </w:pPr>
      <w:r>
        <w:t xml:space="preserve">Estimate how overall p-value should change when study is replicated.</w:t>
      </w:r>
    </w:p>
    <w:bookmarkEnd w:id="58"/>
    <w:bookmarkStart w:id="59" w:name="alternative-1"/>
    <w:p>
      <w:pPr>
        <w:pStyle w:val="Heading2"/>
      </w:pPr>
      <w:r>
        <w:t xml:space="preserve">Alternative 1</w:t>
      </w:r>
    </w:p>
    <w:p>
      <w:pPr>
        <w:pStyle w:val="FirstParagraph"/>
      </w:pPr>
      <w:r>
        <w:t xml:space="preserve">Theme: Classifiers: ROC and loss function</w:t>
      </w:r>
    </w:p>
    <w:bookmarkEnd w:id="59"/>
    <w:bookmarkStart w:id="60" w:name="alternative-2"/>
    <w:p>
      <w:pPr>
        <w:pStyle w:val="Heading2"/>
      </w:pPr>
      <w:r>
        <w:t xml:space="preserve">Alternative 2</w:t>
      </w:r>
    </w:p>
    <w:p>
      <w:pPr>
        <w:pStyle w:val="FirstParagraph"/>
      </w:pPr>
      <w:r>
        <w:t xml:space="preserve">Theme: Accumulating risk: Logistic regression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TI/Math300R-Lesson19.html" TargetMode="External" /><Relationship Type="http://schemas.openxmlformats.org/officeDocument/2006/relationships/hyperlink" Id="rId23" Target="NTI/Math300R-Lesson20.html" TargetMode="External" /><Relationship Type="http://schemas.openxmlformats.org/officeDocument/2006/relationships/hyperlink" Id="rId25" Target="NTI/Math300R-Lesson21.html" TargetMode="External" /><Relationship Type="http://schemas.openxmlformats.org/officeDocument/2006/relationships/hyperlink" Id="rId27" Target="NTI/Math300R-Lesson22.html" TargetMode="External" /><Relationship Type="http://schemas.openxmlformats.org/officeDocument/2006/relationships/hyperlink" Id="rId29" Target="NTI/Math300R-Lesson23.html" TargetMode="External" /><Relationship Type="http://schemas.openxmlformats.org/officeDocument/2006/relationships/hyperlink" Id="rId31" Target="NTI/Math300R-Lesson24.html" TargetMode="External" /><Relationship Type="http://schemas.openxmlformats.org/officeDocument/2006/relationships/hyperlink" Id="rId33" Target="NTI/Math300R-Lesson25.html" TargetMode="External" /><Relationship Type="http://schemas.openxmlformats.org/officeDocument/2006/relationships/hyperlink" Id="rId35" Target="NTI/Math300R-Lesson26.html" TargetMode="External" /><Relationship Type="http://schemas.openxmlformats.org/officeDocument/2006/relationships/hyperlink" Id="rId39" Target="NTI/Math300R-Lesson28.html" TargetMode="External" /><Relationship Type="http://schemas.openxmlformats.org/officeDocument/2006/relationships/hyperlink" Id="rId41" Target="NTI/Math300R-Lesson29.html" TargetMode="External" /><Relationship Type="http://schemas.openxmlformats.org/officeDocument/2006/relationships/hyperlink" Id="rId37" Target="NTI/Math300R-Lesson2y.html" TargetMode="External" /><Relationship Type="http://schemas.openxmlformats.org/officeDocument/2006/relationships/hyperlink" Id="rId43" Target="NTI/Math300R-Lesson30.html" TargetMode="External" /><Relationship Type="http://schemas.openxmlformats.org/officeDocument/2006/relationships/hyperlink" Id="rId45" Target="NTI/Math300R-Lesson31.html" TargetMode="External" /><Relationship Type="http://schemas.openxmlformats.org/officeDocument/2006/relationships/hyperlink" Id="rId47" Target="NTI/Math300R-Lesson32.html" TargetMode="External" /><Relationship Type="http://schemas.openxmlformats.org/officeDocument/2006/relationships/hyperlink" Id="rId49" Target="NTI/Math300R-Lesson33.html" TargetMode="External" /><Relationship Type="http://schemas.openxmlformats.org/officeDocument/2006/relationships/hyperlink" Id="rId51" Target="NTI/Math300R-Lesson34.html" TargetMode="External" /><Relationship Type="http://schemas.openxmlformats.org/officeDocument/2006/relationships/hyperlink" Id="rId53" Target="NTI/Math300R-Lesson35.html" TargetMode="External" /><Relationship Type="http://schemas.openxmlformats.org/officeDocument/2006/relationships/hyperlink" Id="rId55" Target="NTI/Math300R-Lesson36.html" TargetMode="External" /><Relationship Type="http://schemas.openxmlformats.org/officeDocument/2006/relationships/hyperlink" Id="rId57" Target="NTI/Math300R-Lesson3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TI/Math300R-Lesson19.html" TargetMode="External" /><Relationship Type="http://schemas.openxmlformats.org/officeDocument/2006/relationships/hyperlink" Id="rId23" Target="NTI/Math300R-Lesson20.html" TargetMode="External" /><Relationship Type="http://schemas.openxmlformats.org/officeDocument/2006/relationships/hyperlink" Id="rId25" Target="NTI/Math300R-Lesson21.html" TargetMode="External" /><Relationship Type="http://schemas.openxmlformats.org/officeDocument/2006/relationships/hyperlink" Id="rId27" Target="NTI/Math300R-Lesson22.html" TargetMode="External" /><Relationship Type="http://schemas.openxmlformats.org/officeDocument/2006/relationships/hyperlink" Id="rId29" Target="NTI/Math300R-Lesson23.html" TargetMode="External" /><Relationship Type="http://schemas.openxmlformats.org/officeDocument/2006/relationships/hyperlink" Id="rId31" Target="NTI/Math300R-Lesson24.html" TargetMode="External" /><Relationship Type="http://schemas.openxmlformats.org/officeDocument/2006/relationships/hyperlink" Id="rId33" Target="NTI/Math300R-Lesson25.html" TargetMode="External" /><Relationship Type="http://schemas.openxmlformats.org/officeDocument/2006/relationships/hyperlink" Id="rId35" Target="NTI/Math300R-Lesson26.html" TargetMode="External" /><Relationship Type="http://schemas.openxmlformats.org/officeDocument/2006/relationships/hyperlink" Id="rId39" Target="NTI/Math300R-Lesson28.html" TargetMode="External" /><Relationship Type="http://schemas.openxmlformats.org/officeDocument/2006/relationships/hyperlink" Id="rId41" Target="NTI/Math300R-Lesson29.html" TargetMode="External" /><Relationship Type="http://schemas.openxmlformats.org/officeDocument/2006/relationships/hyperlink" Id="rId37" Target="NTI/Math300R-Lesson2y.html" TargetMode="External" /><Relationship Type="http://schemas.openxmlformats.org/officeDocument/2006/relationships/hyperlink" Id="rId43" Target="NTI/Math300R-Lesson30.html" TargetMode="External" /><Relationship Type="http://schemas.openxmlformats.org/officeDocument/2006/relationships/hyperlink" Id="rId45" Target="NTI/Math300R-Lesson31.html" TargetMode="External" /><Relationship Type="http://schemas.openxmlformats.org/officeDocument/2006/relationships/hyperlink" Id="rId47" Target="NTI/Math300R-Lesson32.html" TargetMode="External" /><Relationship Type="http://schemas.openxmlformats.org/officeDocument/2006/relationships/hyperlink" Id="rId49" Target="NTI/Math300R-Lesson33.html" TargetMode="External" /><Relationship Type="http://schemas.openxmlformats.org/officeDocument/2006/relationships/hyperlink" Id="rId51" Target="NTI/Math300R-Lesson34.html" TargetMode="External" /><Relationship Type="http://schemas.openxmlformats.org/officeDocument/2006/relationships/hyperlink" Id="rId53" Target="NTI/Math300R-Lesson35.html" TargetMode="External" /><Relationship Type="http://schemas.openxmlformats.org/officeDocument/2006/relationships/hyperlink" Id="rId55" Target="NTI/Math300R-Lesson36.html" TargetMode="External" /><Relationship Type="http://schemas.openxmlformats.org/officeDocument/2006/relationships/hyperlink" Id="rId57" Target="NTI/Math300R-Lesson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Day-by-day Objectives for Math 300R</dc:title>
  <dc:creator>Danny Kaplan</dc:creator>
  <cp:keywords/>
  <dcterms:created xsi:type="dcterms:W3CDTF">2022-10-01T22:37:49Z</dcterms:created>
  <dcterms:modified xsi:type="dcterms:W3CDTF">2022-10-01T22:37:49Z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