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 xml:space="preserve">Identification of a reliable decontamination workflow for intratumoral microbiota in pancreatic ductal adenocarcinoma - A longitudinal benchmarking study </w:t>
      </w:r>
    </w:p>
    <w:p>
      <w:pPr>
        <w:pStyle w:val="FirstParagraph"/>
        <w:rPr>
          <w:rFonts w:ascii="Arial" w:hAnsi="Arial" w:cs="Arial"/>
        </w:rPr>
      </w:pPr>
      <w:r>
        <w:rPr>
          <w:rFonts w:cs="Arial" w:ascii="Arial" w:hAnsi="Arial"/>
        </w:rPr>
        <w:t>Linh Dang</w:t>
      </w:r>
      <w:r>
        <w:rPr>
          <w:rFonts w:cs="Arial" w:ascii="Arial" w:hAnsi="Arial"/>
          <w:vertAlign w:val="superscript"/>
        </w:rPr>
        <w:t>1, 2</w:t>
      </w:r>
      <w:r>
        <w:rPr>
          <w:rFonts w:cs="Arial" w:ascii="Arial" w:hAnsi="Arial"/>
        </w:rPr>
        <w:t>, Louisa Eskelson</w:t>
      </w:r>
      <w:r>
        <w:rPr>
          <w:rFonts w:cs="Arial" w:ascii="Arial" w:hAnsi="Arial"/>
          <w:vertAlign w:val="superscript"/>
        </w:rPr>
        <w:t>1</w:t>
      </w:r>
      <w:r>
        <w:rPr>
          <w:rFonts w:cs="Arial" w:ascii="Arial" w:hAnsi="Arial"/>
        </w:rPr>
        <w:t>, Jacob Hamm</w:t>
      </w:r>
      <w:r>
        <w:rPr>
          <w:rFonts w:cs="Arial" w:ascii="Arial" w:hAnsi="Arial"/>
          <w:vertAlign w:val="superscript"/>
        </w:rPr>
        <w:t>1</w:t>
      </w:r>
      <w:r>
        <w:rPr>
          <w:rFonts w:cs="Arial" w:ascii="Arial" w:hAnsi="Arial"/>
        </w:rPr>
        <w:t>, Jutta Blumberg</w:t>
      </w:r>
      <w:r>
        <w:rPr>
          <w:rFonts w:cs="Arial" w:ascii="Arial" w:hAnsi="Arial"/>
          <w:vertAlign w:val="superscript"/>
        </w:rPr>
        <w:t>1</w:t>
      </w:r>
      <w:r>
        <w:rPr>
          <w:rFonts w:cs="Arial" w:ascii="Arial" w:hAnsi="Arial"/>
        </w:rPr>
        <w:t>, Ulrike Wegener</w:t>
      </w:r>
      <w:r>
        <w:rPr>
          <w:rFonts w:cs="Arial" w:ascii="Arial" w:hAnsi="Arial"/>
          <w:vertAlign w:val="superscript"/>
        </w:rPr>
        <w:t>1</w:t>
      </w:r>
      <w:r>
        <w:rPr>
          <w:rFonts w:cs="Arial" w:ascii="Arial" w:hAnsi="Arial"/>
        </w:rPr>
        <w:t>, Tim Beißbarth</w:t>
      </w:r>
      <w:r>
        <w:rPr>
          <w:rFonts w:cs="Arial" w:ascii="Arial" w:hAnsi="Arial"/>
          <w:vertAlign w:val="superscript"/>
        </w:rPr>
        <w:t>2</w:t>
      </w:r>
      <w:r>
        <w:rPr>
          <w:rFonts w:cs="Arial" w:ascii="Arial" w:hAnsi="Arial"/>
        </w:rPr>
        <w:t>, Volker Ellenrieder</w:t>
      </w:r>
      <w:r>
        <w:rPr>
          <w:rFonts w:cs="Arial" w:ascii="Arial" w:hAnsi="Arial"/>
          <w:vertAlign w:val="superscript"/>
        </w:rPr>
        <w:t>1</w:t>
      </w:r>
      <w:r>
        <w:rPr>
          <w:rFonts w:cs="Arial" w:ascii="Arial" w:hAnsi="Arial"/>
        </w:rPr>
        <w:t>, Albrecht Neesse</w:t>
      </w:r>
      <w:r>
        <w:rPr>
          <w:rFonts w:cs="Arial" w:ascii="Arial" w:hAnsi="Arial"/>
          <w:vertAlign w:val="superscript"/>
        </w:rPr>
        <w:t>1</w:t>
      </w:r>
      <w:r>
        <w:rPr>
          <w:rFonts w:cs="Arial" w:ascii="Arial" w:hAnsi="Arial"/>
        </w:rPr>
        <w:t>, Christoph Ammer-Herrmenau</w:t>
      </w:r>
      <w:r>
        <w:rPr>
          <w:rFonts w:cs="Arial" w:ascii="Arial" w:hAnsi="Arial"/>
          <w:vertAlign w:val="superscript"/>
        </w:rPr>
        <w:t>1</w:t>
      </w:r>
      <w:r>
        <w:rPr>
          <w:rFonts w:cs="Arial" w:ascii="Arial" w:hAnsi="Arial"/>
        </w:rPr>
        <w:t>*</w:t>
      </w:r>
    </w:p>
    <w:p>
      <w:pPr>
        <w:pStyle w:val="BodyText"/>
        <w:rPr>
          <w:rFonts w:ascii="Arial" w:hAnsi="Arial" w:cs="Arial"/>
        </w:rPr>
      </w:pPr>
      <w:r>
        <w:rPr>
          <w:rFonts w:cs="Arial" w:ascii="Arial" w:hAnsi="Arial"/>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r>
        <w:br w:type="page"/>
      </w:r>
    </w:p>
    <w:p>
      <w:pPr>
        <w:pStyle w:val="Heading2"/>
        <w:spacing w:before="0" w:after="80"/>
        <w:rPr>
          <w:rFonts w:ascii="Arial" w:hAnsi="Arial" w:cs="Arial"/>
          <w:b/>
          <w:bCs/>
        </w:rPr>
      </w:pPr>
      <w:r>
        <w:rPr>
          <w:rFonts w:cs="Arial" w:ascii="Arial" w:hAnsi="Arial"/>
        </w:rPr>
        <w:t>Abstract</w:t>
      </w:r>
    </w:p>
    <w:p>
      <w:pPr>
        <w:pStyle w:val="BodyText"/>
        <w:spacing w:lineRule="auto" w:line="480"/>
        <w:jc w:val="both"/>
        <w:rPr>
          <w:rFonts w:ascii="Arial" w:hAnsi="Arial" w:cs="Arial"/>
        </w:rPr>
      </w:pPr>
      <w:r>
        <w:rPr>
          <w:rFonts w:cs="Arial" w:ascii="Arial" w:hAnsi="Arial"/>
        </w:rPr>
        <w:t xml:space="preserve">Pancreatic ductal adenocarcinoma (PDAC) harbors a distinct intratumoral microbiome. Yet rigorous characterization of its composition is hampered by pervasive environmental and procedural contamination. Sources of contamination have not been thoroughly explored, and the methods of decontamination have not been sufficiently evaluated in a benchmarking manner. We systematically collected &gt;300 negative control (NCT) samples comprising paraffin from formalin-fixed paraffin-embedded (FFPE) samples, lysis buffer and sterile water over a period of four years processed by different laboratory persons (LP). All samples were sequenced using whole 16S rRNA gene sequencing with Oxford-Nanopore Technologies. We benchmarked four decontamination methods (restrictive filtering, decontam, SCRuB, and the Nejman et al.-derived (Nj) pipeline) against fresh-frozen tumor samples (FF) from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rPr>
        <w:t xml:space="preserve"> (KPC) mice, using the abovementioned contamination assessment to calculate a composite score for the assessment. Further, we validated those methods via technical replicates. Microbial profiles of NCT samples were significantly determined by control type, LP, year and season reflecting complex batch effects. The 15 most abundant contaminants spanned well-characterized environmental taxa and human commensals from the oral cavity. The LP processing samples left a significant microbial trace highly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 in FF but not FFPE samples. Our results support the adoption of the Nj decontamination approach for future intratumoral microbiome studies in fresh frozen tumor samples.</w:t>
      </w:r>
      <w:r>
        <w:br w:type="page"/>
      </w:r>
    </w:p>
    <w:p>
      <w:pPr>
        <w:pStyle w:val="Heading2"/>
        <w:spacing w:before="0" w:after="80"/>
        <w:rPr>
          <w:rFonts w:ascii="Arial" w:hAnsi="Arial" w:cs="Arial"/>
        </w:rPr>
      </w:pPr>
      <w:r>
        <w:rPr>
          <w:rFonts w:cs="Arial" w:ascii="Arial" w:hAnsi="Arial"/>
        </w:rPr>
        <w:t>Importance</w:t>
      </w:r>
    </w:p>
    <w:p>
      <w:pPr>
        <w:pStyle w:val="Normal"/>
        <w:spacing w:lineRule="auto" w:line="480" w:before="0" w:after="80"/>
        <w:jc w:val="both"/>
        <w:rPr/>
      </w:pPr>
      <w:r>
        <w:rPr>
          <w:rFonts w:cs="Arial" w:ascii="Arial" w:hAnsi="Arial"/>
        </w:rPr>
        <w:t>Tumors are increasingly recognized to harbor their own bacterial communities. For pancreatic ductal adenocarcinoma (PDAC)—one of the deadliest cancers—it has previously been shown that the intratumoral microbiome influences cancer proliferation and treatment response. But tumor tissue contains very little bacterial DNA, so trace contamination from reagents, lab surfaces, and the people processing samples can easily be mistaken for real biological signal. Using one of the largest longitudinal collections of negative control samples, together with tumor samples from a mouse model of pancreatic cancer, we show that the person handling a sample can introduce much bacterial noise than the sample's environment, and we identify a decontamination strategy that reliably distinguishes genuine tumor-associated bacteria from background contamination in fresh-frozen tissue, but not in formalin-preserved tissue. This provides practical guidance for researchers designing low-biomass microbiome studies.</w:t>
      </w:r>
    </w:p>
    <w:p>
      <w:pPr>
        <w:pStyle w:val="BodyText"/>
        <w:spacing w:lineRule="auto" w:line="480"/>
        <w:jc w:val="both"/>
        <w:rPr>
          <w:rFonts w:ascii="Arial" w:hAnsi="Arial" w:cs="Arial"/>
        </w:rPr>
      </w:pPr>
      <w:r>
        <w:rPr>
          <w:rFonts w:cs="Arial" w:ascii="Arial" w:hAnsi="Arial"/>
        </w:rPr>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1" name="Freihandform: Form 1"/>
                <a:graphic xmlns:a="http://schemas.openxmlformats.org/drawingml/2006/main">
                  <a:graphicData uri="http://schemas.microsoft.com/office/word/2010/wordprocessingShape">
                    <wps:wsp>
                      <wps:cNvSpPr/>
                      <wps:spPr>
                        <a:xfrm>
                          <a:off x="0" y="0"/>
                          <a:ext cx="5943600" cy="19080"/>
                        </a:xfrm>
                        <a:custGeom>
                          <a:avLst/>
                          <a:gdLst>
                            <a:gd name="textAreaLeft" fmla="*/ 0 w 3369600"/>
                            <a:gd name="textAreaRight" fmla="*/ 3369960 w 3369600"/>
                            <a:gd name="textAreaTop" fmla="*/ 0 h 10800"/>
                            <a:gd name="textAreaBottom" fmla="*/ 11160 h 10800"/>
                          </a:gdLst>
                          <a:ahLst/>
                          <a:rect l="textAreaLeft" t="textAreaTop" r="textAreaRight" b="textAreaBottom"/>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 xml:space="preserve">The intratumoral microbiome has emerged as a potentially important component of the tumor microenvironment, influencing immune evasion, drug metabolism, and clinical outcomes across multiple cancer types </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cs="Arial" w:ascii="Arial" w:hAnsi="Arial"/>
            </w:rPr>
          </w:r>
          <w:r>
            <w:rPr>
              <w:rFonts w:cs="Arial" w:ascii="Arial" w:hAnsi="Arial"/>
            </w:rPr>
            <w:fldChar w:fldCharType="separate"/>
          </w:r>
          <w:r>
            <w:rPr>
              <w:rFonts w:cs="Arial" w:ascii="Arial" w:hAnsi="Arial"/>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To this end, the microbiome </w:t>
      </w:r>
      <w:r>
        <w:rPr>
          <w:rFonts w:cs="Arial" w:ascii="Arial" w:hAnsi="Arial"/>
        </w:rPr>
        <w:t xml:space="preserve">has been recently considered as one hallmark of cancer </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cs="Arial" w:ascii="Arial" w:hAnsi="Arial"/>
            </w:rPr>
          </w:r>
          <w:r>
            <w:rPr>
              <w:rFonts w:cs="Arial" w:ascii="Arial" w:hAnsi="Arial"/>
            </w:rPr>
            <w:fldChar w:fldCharType="separate"/>
          </w:r>
          <w:r>
            <w:rPr>
              <w:rFonts w:cs="Arial" w:ascii="Arial" w:hAnsi="Arial"/>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r>
        <w:rPr>
          <w:rFonts w:cs="Arial" w:ascii="Arial" w:hAnsi="Arial"/>
        </w:rPr>
        <w:t xml:space="preserve"> </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cs="Arial" w:ascii="Arial" w:hAnsi="Arial"/>
            </w:rPr>
          </w:r>
          <w:r>
            <w:rPr>
              <w:rFonts w:cs="Arial" w:ascii="Arial" w:hAnsi="Arial"/>
            </w:rPr>
            <w:fldChar w:fldCharType="separate"/>
          </w:r>
          <w:r>
            <w:rPr>
              <w:rFonts w:cs="Arial" w:ascii="Arial" w:hAnsi="Arial"/>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a fundamental challenge in tumoral microbiome research is distinguishing genuine tumor resident microorganisms from environmental contaminants introduced during sample </w:t>
      </w:r>
      <w:r>
        <w:rPr>
          <w:rFonts w:cs="Arial" w:ascii="Arial" w:hAnsi="Arial"/>
        </w:rPr>
        <w:t xml:space="preserve">collection, processing, and sequencing. Low biomass specimens such as tumor samples are particularly vulnerable to contamination, as trace microbial DNA from reagents, laboratory surfaces, and laboratory personnel (LP) can outnumber endogenous taxa </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Pr>
              <w:rFonts w:cs="Arial" w:ascii="Arial" w:hAnsi="Arial"/>
            </w:rPr>
          </w:r>
          <w:r>
            <w:rPr>
              <w:rFonts w:cs="Arial" w:ascii="Arial" w:hAnsi="Arial"/>
            </w:rPr>
            <w:fldChar w:fldCharType="separate"/>
          </w:r>
          <w:r>
            <w:rPr>
              <w:rFonts w:cs="Arial" w:ascii="Arial" w:hAnsi="Arial"/>
            </w:rPr>
            <w:t>(5, 3, 7)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 xml:space="preserve">Several computational decontamination approaches have been proposed to address the contamination problem, including decontam </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r>
        <w:rPr>
          <w:rFonts w:cs="Arial" w:ascii="Arial" w:hAnsi="Arial"/>
        </w:rPr>
        <w:t xml:space="preserve"> </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r>
        <w:rPr>
          <w:rFonts w:cs="Arial" w:ascii="Arial" w:hAnsi="Arial"/>
        </w:rPr>
        <w:t xml:space="preserve"> </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These methods differ in their statistical assumptions, required inputs</w:t>
      </w:r>
      <w:r>
        <w:rPr>
          <w:rFonts w:cs="Arial" w:ascii="Arial" w:hAnsi="Arial"/>
        </w:rPr>
        <w:t xml:space="preserve"> and aggressiveness of taxa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orthogonally validate findings using inter-replicate Aitchison distances. By applying whole 16S rRNA gene sequencing with the Oxford Nanopore Technologies (ONT) platform we are able to perform microbial analysis on species level </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Pr>
              <w:rFonts w:cs="Arial" w:ascii="Arial" w:hAnsi="Arial"/>
            </w:rPr>
          </w:r>
          <w:r>
            <w:rPr>
              <w:rFonts w:cs="Arial" w:ascii="Arial" w:hAnsi="Arial"/>
            </w:rPr>
            <w:fldChar w:fldCharType="separate"/>
          </w:r>
          <w:r>
            <w:rPr>
              <w:rFonts w:cs="Arial" w:ascii="Arial" w:hAnsi="Arial"/>
            </w:rPr>
            <w:t>(10, 11)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contamination assessment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at three stages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remained: 75 paraffin, 167 buffer and 20 PCR controls, encompassing 3,073 taxa. These controls were accumulated between 2021 and 2025 (</w:t>
      </w:r>
      <w:r>
        <w:rPr>
          <w:rFonts w:cs="Arial" w:ascii="Arial" w:hAnsi="Arial"/>
          <w:lang w:val="en-GB"/>
        </w:rPr>
        <w:t>T</w:t>
      </w:r>
      <w:r>
        <w:rPr>
          <w:rFonts w:cs="Arial" w:ascii="Arial" w:hAnsi="Arial"/>
        </w:rPr>
        <w:t>able S1). Relevant batch covariates included were processing laboratory personnel (LP), season and year (Fig</w:t>
      </w:r>
      <w:bookmarkEnd w:id="3"/>
      <w:r>
        <w:rPr>
          <w:rFonts w:cs="Arial" w:ascii="Arial" w:hAnsi="Arial"/>
        </w:rPr>
        <w:t>. 1A).</w:t>
      </w:r>
    </w:p>
    <w:p>
      <w:pPr>
        <w:pStyle w:val="BodyText"/>
        <w:spacing w:lineRule="auto" w:line="480"/>
        <w:jc w:val="both"/>
        <w:rPr>
          <w:rFonts w:ascii="Arial" w:hAnsi="Arial" w:cs="Arial"/>
        </w:rPr>
      </w:pPr>
      <w:r>
        <w:rPr>
          <w:rFonts w:cs="Arial" w:ascii="Arial" w:hAnsi="Arial"/>
        </w:rPr>
        <w:t xml:space="preserve">For α diversity, the number of observed species varied significantly among control types (Fig. 1B, </w:t>
      </w:r>
      <w:r>
        <w:rPr>
          <w:rFonts w:cs="Arial" w:ascii="Arial" w:hAnsi="Arial"/>
          <w:bCs/>
        </w:rPr>
        <w:t>Table S2</w:t>
      </w:r>
      <w:r>
        <w:rPr>
          <w:rFonts w:cs="Arial" w:ascii="Arial" w:hAnsi="Arial"/>
        </w:rPr>
        <w:t>). Specifically, the number of distinct observed species in the PCR control was the lowest among three. Moreover, the number of taxa in the paraffin control significantly exceeded the ones from buffer controls in multivariable regression analysis controlled for LP, year and season (</w:t>
      </w:r>
      <w:r>
        <w:rPr>
          <w:rFonts w:cs="Arial" w:ascii="Arial" w:hAnsi="Arial"/>
          <w:bCs/>
        </w:rPr>
        <w:t>Table S2)</w:t>
      </w:r>
      <w:r>
        <w:rPr>
          <w:rFonts w:cs="Arial" w:ascii="Arial" w:hAnsi="Arial"/>
        </w:rPr>
        <w:t>. Indeed, a blank paraffin negative control was processed by first scraping paraffin into lysis buffer for DNA extraction, followed by the inclusion of the extracted material in sterile water for subsequent PCR amplification. This sequential workflow (Fig. 1A) is consistent with the observed contamination pattern, where paraffin controls harbored the highest number of environmental taxa, followed by buffer and PCR controls. However, no significant differences were observed regarding the Shannon index among different control types, suggesting taxa evenness to play little role among control types. Beta diversity revealed that NCT are significantly clustering with respect to control types (Fig. 1C and Table S3). Moreover, NCT were also heavily grouped with respect to LP, year, and season of processing. Indeed, the distance-based redundancy variation was mostly explained by LP (adj. R</w:t>
      </w:r>
      <w:r>
        <w:rPr>
          <w:rFonts w:cs="Arial" w:ascii="Arial" w:hAnsi="Arial"/>
          <w:vertAlign w:val="superscript"/>
        </w:rPr>
        <w:t>2</w:t>
      </w:r>
      <w:r>
        <w:rPr>
          <w:rFonts w:cs="Arial" w:ascii="Arial" w:hAnsi="Arial"/>
        </w:rPr>
        <w:t>=0.15), following by year (adj. R</w:t>
      </w:r>
      <w:r>
        <w:rPr>
          <w:rFonts w:cs="Arial" w:ascii="Arial" w:hAnsi="Arial"/>
          <w:vertAlign w:val="superscript"/>
        </w:rPr>
        <w:t>2</w:t>
      </w:r>
      <w:r>
        <w:rPr>
          <w:rFonts w:cs="Arial" w:ascii="Arial" w:hAnsi="Arial"/>
        </w:rPr>
        <w:t>=0.07) and season (adj. R</w:t>
      </w:r>
      <w:r>
        <w:rPr>
          <w:rFonts w:cs="Arial" w:ascii="Arial" w:hAnsi="Arial"/>
          <w:vertAlign w:val="superscript"/>
        </w:rPr>
        <w:t>2</w:t>
      </w:r>
      <w:r>
        <w:rPr>
          <w:rFonts w:cs="Arial" w:ascii="Arial" w:hAnsi="Arial"/>
        </w:rPr>
        <w:t>=0.06), and last by control type (adj. R</w:t>
      </w:r>
      <w:r>
        <w:rPr>
          <w:rFonts w:cs="Arial" w:ascii="Arial" w:hAnsi="Arial"/>
          <w:vertAlign w:val="superscript"/>
        </w:rPr>
        <w:t>2</w:t>
      </w:r>
      <w:r>
        <w:rPr>
          <w:rFonts w:cs="Arial" w:ascii="Arial" w:hAnsi="Arial"/>
        </w:rPr>
        <w:t>=0.02, Table S3).</w:t>
      </w:r>
    </w:p>
    <w:p>
      <w:pPr>
        <w:pStyle w:val="Heading4"/>
        <w:spacing w:lineRule="auto" w:line="480"/>
        <w:jc w:val="both"/>
        <w:rPr>
          <w:rFonts w:ascii="Arial" w:hAnsi="Arial" w:cs="Arial"/>
        </w:rPr>
      </w:pPr>
      <w:r>
        <w:rPr>
          <w:rFonts w:cs="Arial" w:ascii="Arial" w:hAnsi="Arial"/>
        </w:rPr>
        <w:t>1.2 Multiple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(Table S5).</w:t>
      </w:r>
      <w:r>
        <w:rPr>
          <w:rFonts w:cs="Arial" w:ascii="Arial" w:hAnsi="Arial"/>
        </w:rPr>
        <w:t xml:space="preserve"> Next, to explore the biological origin of these bacteria, we focused on dominant genera in our NCT set and revealed a mixture of well characterized environmental microbes and human commensals (Fig. 1D). For example, </w:t>
      </w:r>
      <w:r>
        <w:rPr>
          <w:rFonts w:cs="Arial" w:ascii="Arial" w:hAnsi="Arial"/>
          <w:i/>
          <w:iCs/>
        </w:rPr>
        <w:t>Sphingomonas</w:t>
      </w:r>
      <w:r>
        <w:rPr>
          <w:rFonts w:cs="Arial" w:ascii="Arial" w:hAnsi="Arial"/>
        </w:rPr>
        <w:t xml:space="preserve">, a ubiquitous environmental genus frequently detected in hospital and laboratory environments, was among the most abundant taxa in nearly all negative controls. In contrast, genera considered as resident microbiota from the oral cavity,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 xml:space="preserve">Veillonella </w:t>
      </w:r>
      <w:sdt>
        <w:sdtPr>
          <w:placeholder>
            <w:docPart w:val="7B2BAC845259485085E909B070619D42"/>
          </w:placeholder>
          <w:alias w:val="To edit, see citavi.com/edit"/>
          <w:tag w:val="CitaviPlaceholder#b03102fe-d83a-4674-b0a4-ef19990042cd"/>
          <w:id w:val="987980355"/>
        </w:sdtPr>
        <w:sdtContent>
          <w:r>
            <w:rPr>
              <w:rFonts w:cs="Arial" w:ascii="Arial" w:hAnsi="Arial"/>
              <w:i/>
            </w:rPr>
          </w:r>
          <w:r>
            <w:fldChar w:fldCharType="begin"/>
          </w:r>
          <w:r>
            <w:rPr>
              <w:i/>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Pr>
              <w:rFonts w:cs="Arial" w:ascii="Arial" w:hAnsi="Arial"/>
              <w:i/>
            </w:rPr>
          </w:r>
          <w:r>
            <w:rPr>
              <w:i/>
              <w:rFonts w:cs="Arial" w:ascii="Arial" w:hAnsi="Arial"/>
            </w:rPr>
            <w:fldChar w:fldCharType="separate"/>
          </w:r>
          <w:r>
            <w:rPr>
              <w:rFonts w:cs="Arial" w:ascii="Arial" w:hAnsi="Arial"/>
              <w:i/>
            </w:rPr>
          </w:r>
          <w:r>
            <w:rPr>
              <w:rFonts w:cs="Arial" w:ascii="Arial" w:hAnsi="Arial"/>
            </w:rPr>
            <w:t>(12)</w:t>
          </w:r>
          <w:r>
            <w:rPr>
              <w:rFonts w:cs="Arial" w:ascii="Arial" w:hAnsi="Arial"/>
              <w:i/>
            </w:rPr>
          </w:r>
          <w:r>
            <w:rPr>
              <w:i/>
              <w:rFonts w:cs="Arial" w:ascii="Arial" w:hAnsi="Arial"/>
            </w:rPr>
            <w:fldChar w:fldCharType="end"/>
          </w:r>
          <w:r>
            <w:rPr>
              <w:rFonts w:cs="Arial" w:ascii="Arial" w:hAnsi="Arial"/>
              <w:i/>
            </w:rPr>
          </w:r>
        </w:sdtContent>
      </w:sdt>
      <w:r>
        <w:rPr>
          <w:rFonts w:cs="Arial" w:ascii="Arial" w:hAnsi="Arial"/>
        </w:rPr>
        <w:t>, were high</w:t>
      </w:r>
      <w:r>
        <w:rPr>
          <w:rFonts w:cs="Arial" w:ascii="Arial" w:hAnsi="Arial"/>
        </w:rPr>
        <w:t xml:space="preserve">ly prevalent and less abundant in the NCT suggesting an introduction of contamination by LP. This coexistence of environmental and human commensal taxa in NCT requires sophisticated decontamination strategies since an indiscriminate removal of all contamination-associated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2. Lab personnel have a greater influence on the microbiome than the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and identified LP as major contributor of overall variance in the distance-based redundancy analysis (db-RDA), we further explored the possible batch effect that is introduced by LP that processed the samples. To this end, two LP performed DNA extraction, library preparation and sequencing of four sterile water samples, which were equally distributed. The experiment was repeated in two different environments. First, one LP processed the four negative controls in a low-germ environment and the other one under standard condition. For the second set of negative controls processed by each LP, the LP switched the processing environment (Fig. 2A). Notably, α diversity analysis revealed no significant difference with respect to environmental condition (Observed species: IRR = 0.97, p = 0.584, Shannon index: β = 0.95, p = 0.363, Fig. S1, Table S6), but a clear distinction between LPs was observed (Observed species: IRR = 1.32, p &lt; 0.001***, Shannon index: β = 1.74, p &lt; 0.001***, Fig. 2B and Table S6). In line with these results, β diversity conducted under wrench normalization and Bray-Curtis dissimilarity revealed significant clustering by LP identity (p-value = 0.05*), with no significant effect of processing environments (Fig. 2C, p-value = 0.245,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(adj. R</w:t>
      </w:r>
      <w:r>
        <w:rPr>
          <w:rFonts w:cs="Arial" w:ascii="Arial" w:hAnsi="Arial"/>
          <w:vertAlign w:val="superscript"/>
        </w:rPr>
        <w:t>2</w:t>
      </w:r>
      <w:r>
        <w:rPr>
          <w:rFonts w:cs="Arial" w:ascii="Arial" w:hAnsi="Arial"/>
        </w:rPr>
        <w:t xml:space="preserve"> = 0.04 vs. LP adj. R</w:t>
      </w:r>
      <w:r>
        <w:rPr>
          <w:rFonts w:cs="Arial" w:ascii="Arial" w:hAnsi="Arial"/>
          <w:vertAlign w:val="superscript"/>
        </w:rPr>
        <w:t xml:space="preserve">2 </w:t>
      </w:r>
      <w:r>
        <w:rPr>
          <w:rFonts w:cs="Arial" w:ascii="Arial" w:hAnsi="Arial"/>
        </w:rPr>
        <w:t>= 0.68), indicating a comparatively minor effect on microbial community structure (Table S7). Overall, this indicates that while LP-derived contamination is more dominant,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(Nj) to whole 16S rRNA gene profiles of 18 fresh frozen (FF) PDAC samples from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rPr>
        <w:t xml:space="preserve"> (KPC) mice bearing endogenous pancreatic tumors that closely recapitulate human PDAC biology and histology (Fig. 3A) </w:t>
      </w:r>
      <w:sdt>
        <w:sdtPr>
          <w:placeholder>
            <w:docPart w:val="DefaultPlaceholder_-1854013440"/>
          </w:placeholder>
          <w:alias w:val="To edit, see citavi.com/edit"/>
          <w:tag w:val="CitaviPlaceholder#f6932d26-bc99-4bd6-97d2-90a1ea49f34d"/>
          <w:id w:val="140287602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jEzNDc2LTMyZmItNGQyMy05YzVlLTAzZWI3NDlhZDg5NCIsIlJhbmdlTGVuZ3RoIjoz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0seyIkaWQiOiIyMSIsIiR0eXBlIjoiU3dpc3NBY2FkZW1pYy5DaXRhdmkuQ2l0YXRpb25zLldvcmRQbGFjZWhvbGRlckVudHJ5LCBTd2lzc0FjYWRlbWljLkNpdGF2aSIsIklkIjoiZDI0MjA2MzItOWI1Zi00ZjY2LWJlNWEtYTFkMjkwOGJjMmIxIiwiUmFuZ2VTdGFydCI6MywiUmFuZ2VMZW5ndGgiOjUsIlJlZmVyZW5jZUlkIjoiYzhmOGY5NzYtYjVkZC00MTQ0LTkyNWEtZTBlYjNlNmI5NGVj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yL2NwcGguMiIsIlVyaVN0cmluZyI6Imh0dHBzOi8vZG9pLm9yZy8xMC4xMDAyL2NwcGguMi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}</w:instrText>
          </w:r>
          <w:r>
            <w:rPr>
              <w:rFonts w:cs="Arial" w:ascii="Arial" w:hAnsi="Arial"/>
            </w:rPr>
          </w:r>
          <w:r>
            <w:rPr>
              <w:rFonts w:cs="Arial" w:ascii="Arial" w:hAnsi="Arial"/>
            </w:rPr>
            <w:fldChar w:fldCharType="separate"/>
          </w:r>
          <w:r>
            <w:rPr>
              <w:rFonts w:cs="Arial" w:ascii="Arial" w:hAnsi="Arial"/>
            </w:rPr>
            <w:t>(13, 14)</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p>
    <w:p>
      <w:pPr>
        <w:pStyle w:val="Heading4"/>
        <w:rPr>
          <w:rFonts w:ascii="Arial" w:hAnsi="Arial" w:cs="Arial"/>
        </w:rPr>
      </w:pPr>
      <w:r>
        <w:rPr>
          <w:rFonts w:cs="Arial" w:ascii="Arial" w:hAnsi="Arial"/>
        </w:rPr>
        <w:t>3.1 Assessment Using Longitudinal contamination assessment</w:t>
      </w:r>
    </w:p>
    <w:p>
      <w:pPr>
        <w:pStyle w:val="BodyText"/>
        <w:spacing w:lineRule="auto" w:line="480"/>
        <w:jc w:val="both"/>
        <w:rPr>
          <w:rFonts w:ascii="Arial" w:hAnsi="Arial" w:cs="Arial"/>
        </w:rPr>
      </w:pPr>
      <w:r>
        <w:rPr>
          <w:rFonts w:cs="Arial" w:ascii="Arial" w:hAnsi="Arial"/>
        </w:rPr>
        <w:t>In the first approach, we leverage the longitudinal contamination assessment described above as a lab-specific contamination background (CB). Specifically, a bacterial profile, before (non-decontaminated samples, ND) or after decontamination, along with the CB will be used to calculate a corresponding composite score (methods) which rewards the removal of contaminant species in CB while simultaneously preventing the excessive removal of the true taxa.</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 3B, Table S8). ND data scored lower than the Nj, restrictive filtering, and the decontam method. Interestingly, SCRuB achieved the lowest composite score,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FF tumors from KPC mice as technical replicates more than two years after initial sequencing, using a different LP to control for the batch effects.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of centered-log ratio transformed data, with pairwise comparisons assessed by paired Wilcoxon signed-rank test on species level. The Nj method obtained the smallest inter-replicate distances, indicating superiority within sample consistency (Fig. 3C, Table S9). Consistently, inter-replicate among ND samples showed the highest scores, indicating the suspected batch effect. We also validated the results with other distance metrices such as unweighted Jaccard showing a similar pattern (Fig. S2).</w:t>
      </w:r>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investigated the actual microbial composition after different decontamination approaches to evaluate the biological origin of the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 of several samples, while </w:t>
      </w:r>
      <w:r>
        <w:rPr>
          <w:rFonts w:cs="Arial" w:ascii="Arial" w:hAnsi="Arial"/>
          <w:i/>
          <w:iCs/>
        </w:rPr>
        <w:t xml:space="preserve">Caldibacillus </w:t>
      </w:r>
      <w:r>
        <w:rPr>
          <w:rFonts w:cs="Arial" w:ascii="Arial" w:hAnsi="Arial"/>
          <w:iCs/>
        </w:rPr>
        <w:t xml:space="preserve">(formerly included in </w:t>
      </w:r>
      <w:r>
        <w:rPr>
          <w:rFonts w:cs="Arial" w:ascii="Arial" w:hAnsi="Arial"/>
          <w:i/>
          <w:iCs/>
        </w:rPr>
        <w:t>Bacillus</w:t>
      </w:r>
      <w:r>
        <w:rPr>
          <w:rFonts w:cs="Arial" w:ascii="Arial" w:hAnsi="Arial"/>
          <w:iCs/>
        </w:rPr>
        <w:t>)</w:t>
      </w:r>
      <w:r>
        <w:rPr>
          <w:rFonts w:cs="Arial" w:ascii="Arial" w:hAnsi="Arial"/>
        </w:rPr>
        <w:t xml:space="preserve"> was prominent in the second replicate of others (Fig. 3D). Both genera are considered as environmental taxa rather than mammal commensal bacteria </w:t>
      </w:r>
      <w:sdt>
        <w:sdtPr>
          <w:placeholder>
            <w:docPart w:val="DefaultPlaceholder_-1854013440"/>
          </w:placeholder>
          <w:alias w:val="To edit, see citavi.com/edit"/>
          <w:tag w:val="CitaviPlaceholder#6062f9b5-8502-44e2-8a4d-2b3e410e5504"/>
          <w:id w:val="-110719636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OTg0YWNlLTc2NDMtNGRiZi05YzZkLWMwYzU3MjVhNzQ3M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GI5YTQ3NmYtNmMwMC00MmY3LWE4MmItNjExYjQwZDEwNmRh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2MDYyZjliNS04NTAyLTQ0ZTItOGE0ZC0yYjNlNDEwZTU1MDQiLCJUZXh0IjoiKDE1LCAxNikiLCJXQUlWZXJzaW9uIjoiNy4xLjAuMSJ9}</w:instrText>
          </w:r>
          <w:r>
            <w:rPr>
              <w:rFonts w:cs="Arial" w:ascii="Arial" w:hAnsi="Arial"/>
            </w:rPr>
          </w:r>
          <w:r>
            <w:rPr>
              <w:rFonts w:cs="Arial" w:ascii="Arial" w:hAnsi="Arial"/>
            </w:rPr>
            <w:fldChar w:fldCharType="separate"/>
          </w:r>
          <w:r>
            <w:rPr>
              <w:rFonts w:cs="Arial" w:ascii="Arial" w:hAnsi="Arial"/>
            </w:rPr>
            <w:t>(15, 16)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 3D).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All of these are</w:t>
      </w:r>
      <w:r>
        <w:rPr>
          <w:rFonts w:cs="Arial" w:ascii="Arial" w:hAnsi="Arial"/>
          <w:i/>
          <w:iCs/>
        </w:rPr>
        <w:t xml:space="preserve"> </w:t>
      </w:r>
      <w:r>
        <w:rPr>
          <w:rFonts w:cs="Arial" w:ascii="Arial" w:hAnsi="Arial"/>
        </w:rPr>
        <w:t xml:space="preserve">common gut commensals, that may migrate directly into the tumor microenvironment, as described by Schorr et al. 2023 </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4LTExVDEwOjMxOjU5IiwiUHJvamVjdCI6eyIkcmVmIjoiOCJ9fSwiVXNlTnVtYmVyaW5nVHlwZU9mUGFyZW50RG9jdW1lbnQiOmZhbHNlfV0sIkZvcm1hdHRlZFRleHQiOnsiJGlkIjoiMjIiLCJDb3VudCI6MSwiVGV4dFVuaXRzIjpbeyIkaWQiOiIyMyIsIkZvbnRTdHlsZSI6eyIkaWQiOiIyNCIsIk5ldXRyYWwiOnRydWV9LCJSZWFkaW5nT3JkZXIiOjEsIlRleHQiOiIoMTcpIn1dfSwiVGFnIjoiQ2l0YXZpUGxhY2Vob2xkZXIjZjIyMmUwYjEtNzhiOS00MmNlLTg5NjctMTIyNDViYTUyYWUwIiwiVGV4dCI6IigxNykiLCJXQUlWZXJzaW9uIjoiNy4xLjAuMSJ9}</w:instrText>
          </w:r>
          <w:r>
            <w:rPr>
              <w:rFonts w:cs="Arial" w:ascii="Arial" w:hAnsi="Arial"/>
            </w:rPr>
          </w:r>
          <w:r>
            <w:rPr>
              <w:rFonts w:cs="Arial" w:ascii="Arial" w:hAnsi="Arial"/>
            </w:rPr>
            <w:fldChar w:fldCharType="separate"/>
          </w:r>
          <w:r>
            <w:rPr>
              <w:rFonts w:cs="Arial" w:ascii="Arial" w:hAnsi="Arial"/>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To this end, we examined the concordance of bacterial profiles among paired FFPE and FF samples from ten PDAC samples in the KPC mice cohort (Fig. S4A).</w:t>
      </w:r>
    </w:p>
    <w:p>
      <w:pPr>
        <w:pStyle w:val="BodyText"/>
        <w:spacing w:lineRule="auto" w:line="480"/>
        <w:jc w:val="both"/>
        <w:rPr>
          <w:rFonts w:ascii="Arial" w:hAnsi="Arial" w:cs="Arial"/>
        </w:rPr>
      </w:pPr>
      <w:r>
        <w:rPr>
          <w:rFonts w:cs="Arial" w:ascii="Arial" w:hAnsi="Arial"/>
        </w:rPr>
        <w:t>For FFPE samples, we compared the original ND profiles and those generated after four decontamination strategies (restrictive filtering, decontam, SCRuB, and Nj) against the bacterial profiles derived from corresponding FF replicates</w:t>
      </w:r>
      <w:del w:id="0" w:author="Linh Dang" w:date="2026-08-19T18:27:48Z">
        <w:r>
          <w:rPr>
            <w:rFonts w:cs="Arial" w:ascii="Arial" w:hAnsi="Arial"/>
          </w:rPr>
          <w:commentReference w:id="0"/>
        </w:r>
      </w:del>
      <w:r>
        <w:rPr>
          <w:rFonts w:cs="Arial" w:ascii="Arial" w:hAnsi="Arial"/>
        </w:rPr>
        <w:t>. Notably, regardless of whether the data were ND or processed by any decontamination method, FFPE samples consistently exhibited significantly lower α diversity than the two FF technical replicates, as measured by both the number of observed species and the Shannon index. The two FF technical replicates were highly consistent with each other under most conditions, with the exception of the ND and decontam (Fig. 4A).</w:t>
      </w:r>
    </w:p>
    <w:p>
      <w:pPr>
        <w:pStyle w:val="BodyText"/>
        <w:spacing w:lineRule="auto" w:line="480"/>
        <w:jc w:val="both"/>
        <w:rPr>
          <w:rFonts w:ascii="Arial" w:hAnsi="Arial" w:cs="Arial"/>
        </w:rPr>
      </w:pPr>
      <w:r>
        <w:rPr>
          <w:rFonts w:cs="Arial" w:ascii="Arial" w:hAnsi="Arial"/>
        </w:rPr>
        <w:t>In the db-RDA, Wrench and rarefaction normalization produced comparable results (Fig. 4B, Fig S4B). Under both normalization approaches, the ND profile of two FF technical replicates and the corresponding FFPE samples clustered separately. Following decontamination, particularly with the restrictive, SCRuB, and Nj methods, the two FF technical replicates converged into a single cluster, suggesting that decontamination effectively removed sample-specific contaminants and improved inter-replicate concordance (Table S10). In contrast, regardless of the decontamination strategy applied, FFPE samples consistently formed a distinct cluster, indicating that they retained a bacterial profile that differed substantially from their paired FF counterparts (Fig. 4B, Fig S4B).</w:t>
      </w:r>
    </w:p>
    <w:p>
      <w:pPr>
        <w:pStyle w:val="BodyText"/>
        <w:spacing w:lineRule="auto" w:line="480"/>
        <w:jc w:val="both"/>
        <w:rPr>
          <w:rFonts w:ascii="Arial" w:hAnsi="Arial" w:cs="Arial"/>
        </w:rPr>
      </w:pPr>
      <w:r>
        <w:rPr>
          <w:rFonts w:cs="Arial" w:ascii="Arial" w:hAnsi="Arial"/>
        </w:rPr>
        <w:t xml:space="preserve">The overall bacterial composition further supported these observations (Fig. 4C). Species from genera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remained dominant taxa in both the ND and decontaminated FFPE profiles. In the ND dataset, each sample exhibited a small but detectable overlap in bacterial species shared between the FFPE sample and its two paired FF technical replicates. Although restrictive filtering, SCRuB, and Nj substantially reduced the abundance of these dominant genera, the resulting FFPE microbial communities still showed only minimal compositional concordance with their paired FF samples (Fig. 4B, Fig. S3, Fig. S4B).</w:t>
      </w:r>
    </w:p>
    <w:p>
      <w:pPr>
        <w:pStyle w:val="BodyText"/>
        <w:spacing w:lineRule="auto" w:line="480"/>
        <w:jc w:val="both"/>
        <w:rPr>
          <w:rFonts w:ascii="Arial" w:hAnsi="Arial" w:cs="Arial"/>
        </w:rPr>
      </w:pPr>
      <w:r>
        <w:rPr>
          <w:rFonts w:cs="Arial" w:ascii="Arial" w:hAnsi="Arial"/>
        </w:rPr>
        <w:t>Collectively, these results indicate that even when several NCT and rigorous decontamination strategies are incorporated the authentic intratumoral microbial signal in FFPE samples is difficult to recover from extremely low-biomass PDAC specimens. Residual contaminant taxa still dominate the bacterial profiles, indicating that the decontamination methods applied were unable to reliably preserve the true microbial composition in FFPE samples.</w:t>
      </w:r>
    </w:p>
    <w:p>
      <w:pPr>
        <w:pStyle w:val="Heading2"/>
        <w:rPr>
          <w:rFonts w:ascii="Arial" w:hAnsi="Arial" w:cs="Arial"/>
        </w:rPr>
      </w:pPr>
      <w:r>
        <w:rPr>
          <w:rFonts w:cs="Arial" w:ascii="Arial" w:hAnsi="Arial"/>
        </w:rPr>
        <w:t>Discussion</w:t>
      </w:r>
    </w:p>
    <w:p>
      <w:pPr>
        <w:pStyle w:val="BodyText"/>
        <w:spacing w:lineRule="auto" w:line="480"/>
        <w:jc w:val="both"/>
        <w:rPr>
          <w:rFonts w:ascii="Arial" w:hAnsi="Arial" w:cs="Arial"/>
        </w:rPr>
      </w:pPr>
      <w:r>
        <w:rPr>
          <w:rFonts w:cs="Arial" w:ascii="Arial" w:hAnsi="Arial"/>
        </w:rPr>
        <w:t xml:space="preserve">To the best of our knowledge, we are presenting the most extensive longitudinal contamination assessment to date exploring potential factors that contribute to the batch effect. Several studies investigated the ubiquitous bacterial contamination from laboratory reagents </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FuZ2VMZW5ndGgiOjQ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Yx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2Mi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NjMiLCIkdHlwZSI6IlN3aXNzQWNhZGVtaWMuQ2l0YXZpLkxvY2F0aW9uLCBTd2lzc0FjYWRlbWljLkNpdGF2aSIsIkFkZHJlc3MiOnsiJGlkIjoiNjQ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2NiIsIiR0eXBlIjoiU3dpc3NBY2FkZW1pYy5DaXRhdmkuTG9jYXRpb24sIFN3aXNzQWNhZGVtaWMuQ2l0YXZpIiwiQWRkcmVzcyI6eyIkaWQiOiI2Ny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2OS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3MCIsIkNvdW50IjoxLCJUZXh0VW5pdHMiOlt7IiRpZCI6IjcxIiwiRm9udFN0eWxlIjp7IiRpZCI6IjcyIiwiTmV1dHJhbCI6dHJ1ZX0sIlJlYWRpbmdPcmRlciI6MSwiVGV4dCI6IigxNSwgMTYsIDE4KSJ9XX0sIlRhZyI6IkNpdGF2aVBsYWNlaG9sZGVyIzExNjU1ZjI5LWMzN2ItNGI3NS1iNDk4LTE1Y2ZiMjA2NGIzMSIsIlRleHQiOiIoMTUsIDE2LCAxOCkiLCJXQUlWZXJzaW9uIjoiNy4xLjAuMSJ9}</w:instrText>
          </w:r>
          <w:r>
            <w:rPr>
              <w:rFonts w:cs="Arial" w:ascii="Arial" w:hAnsi="Arial"/>
            </w:rPr>
          </w:r>
          <w:r>
            <w:rPr>
              <w:rFonts w:cs="Arial" w:ascii="Arial" w:hAnsi="Arial"/>
            </w:rPr>
            <w:fldChar w:fldCharType="separate"/>
          </w:r>
          <w:r>
            <w:rPr>
              <w:rFonts w:cs="Arial" w:ascii="Arial" w:hAnsi="Arial"/>
            </w:rPr>
            <w:t>(15, 16, 18)</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Similarly, published dominant genera were also found in our contamination assessment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 xml:space="preserve">) </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5Y2Y2ZmE3Zi01Y2ZmLTQxYjItODhmZC1jZjUxYjI1Y2Y4ZmQiLCJUZXh0IjoiKDE1LCAxNikiLCJXQUlWZXJzaW9uIjoiNy4xLjAuMSJ9}</w:instrText>
          </w:r>
          <w:r>
            <w:rPr>
              <w:rFonts w:cs="Arial" w:ascii="Arial" w:hAnsi="Arial"/>
            </w:rPr>
          </w:r>
          <w:r>
            <w:rPr>
              <w:rFonts w:cs="Arial" w:ascii="Arial" w:hAnsi="Arial"/>
            </w:rPr>
            <w:fldChar w:fldCharType="separate"/>
          </w:r>
          <w:r>
            <w:rPr>
              <w:rFonts w:cs="Arial" w:ascii="Arial" w:hAnsi="Arial"/>
            </w:rPr>
            <w:t>(15, 16)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Weyrich et al. also conducted a longitudinal </w:t>
      </w:r>
      <w:r>
        <w:rPr>
          <w:rFonts w:cs="Arial" w:ascii="Arial" w:hAnsi="Arial"/>
        </w:rPr>
        <w:t xml:space="preserve">assessment including 144 NCT from different sources </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gtMTFUMTA6MzE6NTkiLCJQcm9qZWN0Ijp7IiRyZWYiOiI4In19LCJVc2VOdW1iZXJpbmdUeXBlT2ZQYXJlbnREb2N1bWVudCI6ZmFsc2V9XSwiRm9ybWF0dGVkVGV4dCI6eyIkaWQiOiIyOCIsIkNvdW50IjoxLCJUZXh0VW5pdHMiOlt7IiRpZCI6IjI5IiwiRm9udFN0eWxlIjp7IiRpZCI6IjMwIiwiTmV1dHJhbCI6dHJ1ZX0sIlJlYWRpbmdPcmRlciI6MSwiVGV4dCI6IigxNikifV19LCJUYWciOiJDaXRhdmlQbGFjZWhvbGRlciM3NzhhMDhiMi00ZjJmLTQ3MWEtODcwYS04OWFiYWQ1Zjk0YzkiLCJUZXh0IjoiKDE2KSIsIldBSVZlcnNpb24iOiI3LjEuMC4xIn0=}</w:instrText>
          </w:r>
          <w:r>
            <w:rPr>
              <w:rFonts w:cs="Arial" w:ascii="Arial" w:hAnsi="Arial"/>
            </w:rPr>
          </w:r>
          <w:r>
            <w:rPr>
              <w:rFonts w:cs="Arial" w:ascii="Arial" w:hAnsi="Arial"/>
            </w:rPr>
            <w:fldChar w:fldCharType="separate"/>
          </w:r>
          <w:r>
            <w:rPr>
              <w:rFonts w:cs="Arial" w:ascii="Arial" w:hAnsi="Arial"/>
            </w:rPr>
            <w:t>(16)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line with our findings, they also identified an impact of LP, year and season on the microbial composition.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0NSIsIkNvdW50IjoxLCJUZXh0VW5pdHMiOlt7IiRpZCI6IjQ2IiwiRm9udFN0eWxlIjp7IiRpZCI6IjQ3IiwiTmV1dHJhbCI6dHJ1ZX0sIlJlYWRpbmdPcmRlciI6MSwiVGV4dCI6IigxNSwgMTgpIn1dfSwiVGFnIjoiQ2l0YXZpUGxhY2Vob2xkZXIjZTQ0ZjNhYjctZjc4Mi00NDRmLWJkOTgtNjBhZmIzZTZjNzI2IiwiVGV4dCI6IigxNSwgMTgpIiwiV0FJVmVyc2lvbiI6IjcuMS4wLjEifQ==}</w:instrText>
          </w:r>
          <w:r>
            <w:rPr>
              <w:rFonts w:cs="Arial" w:ascii="Arial" w:hAnsi="Arial"/>
            </w:rPr>
          </w:r>
          <w:r>
            <w:rPr>
              <w:rFonts w:cs="Arial" w:ascii="Arial" w:hAnsi="Arial"/>
            </w:rPr>
            <w:fldChar w:fldCharType="separate"/>
          </w:r>
          <w:r>
            <w:rPr>
              <w:rFonts w:cs="Arial" w:ascii="Arial" w:hAnsi="Arial"/>
            </w:rPr>
            <w:t>(15, 18)</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whole 16S rRNA sequencing of four sterile water samples handled by two LP revealed a strong human effect that significantly outweighed the influence of the processing environment (low-germ vs. standard). Current guidelines for processing and analyzing low-biomass samples do not adequately account for batch effects introduced by different LP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4LTExVDEwOjMxOjU5IiwiUHJvamVjdCI6eyIkcmVmIjoiOCJ9fSwiVXNlTnVtYmVyaW5nVHlwZU9mUGFyZW50RG9jdW1lbnQiOmZhbHNlfV0sIkZvcm1hdHRlZFRleHQiOnsiJGlkIjoiNjUiLCJDb3VudCI6MSwiVGV4dFVuaXRzIjpbeyIkaWQiOiI2NiIsIkZvbnRTdHlsZSI6eyIkaWQiOiI2NyIsIk5ldXRyYWwiOnRydWV9LCJSZWFkaW5nT3JkZXIiOjEsIlRleHQiOiIoMTksIDIwKSJ9XX0sIlRhZyI6IkNpdGF2aVBsYWNlaG9sZGVyIzhlOTYwOTBhLTI3NGQtNDQwMC1hYzYyLTFlZGEyYzEwZjVhYiIsIlRleHQiOiIoMTksIDIwKSIsIldBSVZlcnNpb24iOiI3LjEuMC4xIn0=}</w:instrText>
          </w:r>
          <w:r>
            <w:rPr>
              <w:rFonts w:cs="Arial" w:ascii="Arial" w:hAnsi="Arial"/>
            </w:rPr>
          </w:r>
          <w:r>
            <w:rPr>
              <w:rFonts w:cs="Arial" w:ascii="Arial" w:hAnsi="Arial"/>
            </w:rPr>
            <w:fldChar w:fldCharType="separate"/>
          </w:r>
          <w:r>
            <w:rPr>
              <w:rFonts w:cs="Arial" w:ascii="Arial" w:hAnsi="Arial"/>
            </w:rPr>
            <w:t>(19, 20)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w:t>
      </w:r>
    </w:p>
    <w:p>
      <w:pPr>
        <w:pStyle w:val="BodyText"/>
        <w:spacing w:lineRule="auto" w:line="480"/>
        <w:jc w:val="both"/>
        <w:rPr>
          <w:rFonts w:ascii="Arial" w:hAnsi="Arial" w:cs="Arial"/>
        </w:rPr>
      </w:pPr>
      <w:r>
        <w:rPr>
          <w:rFonts w:cs="Arial" w:ascii="Arial" w:hAnsi="Arial"/>
        </w:rPr>
        <w:t xml:space="preserve">Long-read sequencing has become increasingly interesting for intratumoral microbiome studies because it enables sequencing of whole 16S rRNA gene amplicons, providing substantially higher taxonomic resolution on species and strain level than short-read approaches </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gtMTFUMTA6MzE6NTkiLCJQcm9qZWN0Ijp7IiRyZWYiOiI4In19LCJVc2VOdW1iZXJpbmdUeXBlT2ZQYXJlbnREb2N1bWVudCI6ZmFsc2V9XSwiRm9ybWF0dGVkVGV4dCI6eyIkaWQiOiIzMCIsIkNvdW50IjoxLCJUZXh0VW5pdHMiOlt7IiRpZCI6IjMxIiwiRm9udFN0eWxlIjp7IiRpZCI6IjMyIiwiTmV1dHJhbCI6dHJ1ZX0sIlJlYWRpbmdPcmRlciI6MSwiVGV4dCI6IigyMSkifV19LCJUYWciOiJDaXRhdmlQbGFjZWhvbGRlciMyMDA4NTg2NS1mODkxLTRmNzQtOWExZC02MTY4NWIwODIwNzIiLCJUZXh0IjoiKDIxKSIsIldBSVZlcnNpb24iOiI3LjEuMC4xIn0=}</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 xml:space="preserve">tumor samples, where limited microbial DNA and high host contamination make accurate taxonomic assignment challenging, particularly for metagenomic sequencing. While short-read 16S sequencing often only resolves microbial communities to the genus level and may fail to distinguish closely related species, whole 16S rRNA sequencing has demonstrated reliable species and strain level resolution </w:t>
      </w:r>
      <w:sdt>
        <w:sdtPr>
          <w:placeholder>
            <w:docPart w:val="DefaultPlaceholder_-1854013440"/>
          </w:placeholder>
          <w:alias w:val="To edit, see citavi.com/edit"/>
          <w:tag w:val="CitaviPlaceholder#81b4af2a-29d4-47a4-8593-ed71a0c7dee1"/>
          <w:id w:val="8928558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4LTExVDEwOjMxOjU5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4LTExVDEwOjMxOjU5IiwiUHJvamVjdCI6eyIkcmVmIjoiOCJ9fSwiVXNlTnVtYmVyaW5nVHlwZU9mUGFyZW50RG9jdW1lbnQiOmZhbHNlfV0sIkZvcm1hdHRlZFRleHQiOnsiJGlkIjoiODMiLCJDb3VudCI6MSwiVGV4dFVuaXRzIjpbeyIkaWQiOiI4NCIsIkZvbnRTdHlsZSI6eyIkaWQiOiI4NSIsIk5ldXRyYWwiOnRydWV9LCJSZWFkaW5nT3JkZXIiOjEsIlRleHQiOiIoMTAsIDExLCAyMSkifV19LCJUYWciOiJDaXRhdmlQbGFjZWhvbGRlciM4MWI0YWYyYS0yOWQ0LTQ3YTQtODU5My1lZDcxYTBjN2RlZTEiLCJUZXh0IjoiKDEwLCAxMSwgMjEpIiwiV0FJVmVyc2lvbiI6IjcuMS4wLjEifQ==}</w:instrText>
          </w:r>
          <w:r>
            <w:rPr>
              <w:rFonts w:cs="Arial" w:ascii="Arial" w:hAnsi="Arial"/>
            </w:rPr>
          </w:r>
          <w:r>
            <w:rPr>
              <w:rFonts w:cs="Arial" w:ascii="Arial" w:hAnsi="Arial"/>
            </w:rPr>
            <w:fldChar w:fldCharType="separate"/>
          </w:r>
          <w:r>
            <w:rPr>
              <w:rFonts w:cs="Arial" w:ascii="Arial" w:hAnsi="Arial"/>
            </w:rPr>
            <w:t>(10, 11, 21)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 xml:space="preserve">This is of particular significance in the context of strain-specific effects of intratumoral microbes </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gtMTFUMTA6MzE6NTkiLCJQcm9qZWN0Ijp7IiRyZWYiOiI4In19LCJVc2VOdW1iZXJpbmdUeXBlT2ZQYXJlbnREb2N1bWVudCI6ZmFsc2V9XSwiRm9ybWF0dGVkVGV4dCI6eyIkaWQiOiI0MiIsIkNvdW50IjoxLCJUZXh0VW5pdHMiOlt7IiRpZCI6IjQzIiwiRm9udFN0eWxlIjp7IiRpZCI6IjQ0IiwiTmV1dHJhbCI6dHJ1ZX0sIlJlYWRpbmdPcmRlciI6MSwiVGV4dCI6IigyMikifV19LCJUYWciOiJDaXRhdmlQbGFjZWhvbGRlciNlOWJiZmE2Zi1iOWU5LTQ2MGYtOGM1ZC0wMGY4NGVkNDUyODgiLCJUZXh0IjoiKDIyKSIsIldBSVZlcnNpb24iOiI3LjEuMC4xIn0=}</w:instrText>
          </w:r>
          <w:r>
            <w:rPr>
              <w:rFonts w:cs="Arial" w:ascii="Arial" w:hAnsi="Arial"/>
            </w:rPr>
          </w:r>
          <w:r>
            <w:rPr>
              <w:rFonts w:cs="Arial" w:ascii="Arial" w:hAnsi="Arial"/>
            </w:rPr>
            <w:fldChar w:fldCharType="separate"/>
          </w:r>
          <w:r>
            <w:rPr>
              <w:rFonts w:cs="Arial" w:ascii="Arial" w:hAnsi="Arial"/>
            </w:rPr>
            <w:t>(22)</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 </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order to reduce PCR bias and complexity in the wet-lab and bioinformatic pipeline, it appears that a whole 16S rRNA is a more viable and convenient option </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w:t>
      </w:r>
    </w:p>
    <w:p>
      <w:pPr>
        <w:pStyle w:val="BodyText"/>
        <w:spacing w:lineRule="auto" w:line="480"/>
        <w:jc w:val="both"/>
        <w:rPr>
          <w:rFonts w:ascii="Arial" w:hAnsi="Arial" w:cs="Arial"/>
        </w:rPr>
      </w:pPr>
      <w:r>
        <w:rPr>
          <w:rFonts w:cs="Arial" w:ascii="Arial" w:hAnsi="Arial"/>
        </w:rPr>
        <w:t xml:space="preserve">In recent years, a number of highly regarded publications have postulated an impact of intratumoral bacteria on progression, immunosuppression and the determination of subtypes of PDAC </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cs="Arial" w:ascii="Arial" w:hAnsi="Arial"/>
            </w:rPr>
          </w:r>
          <w:r>
            <w:rPr>
              <w:rFonts w:cs="Arial" w:ascii="Arial" w:hAnsi="Arial"/>
            </w:rPr>
            <w:fldChar w:fldCharType="separate"/>
          </w:r>
          <w:r>
            <w:rPr>
              <w:rFonts w:cs="Arial" w:ascii="Arial" w:hAnsi="Arial"/>
            </w:rPr>
            <w:t>(3, 5, 7)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xml:space="preserve">. These taxa seem to be rather environmental genera than human commensals. Critically, the methods applied involved no - or only superficial - NCT-controlled decontamination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 </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This approach identified human commensals from the intestinal tract in PDAC samples, thereby providing evidence of the highly probable existence of an intratumoral microbiome. Nevertheless, incorporating hundreds of NCT is largely impractical for mechanism-focused studies and experimental mouse models </w:t>
      </w:r>
      <w:sdt>
        <w:sdtPr>
          <w:placeholder>
            <w:docPart w:val="DefaultPlaceholder_-1854013440"/>
          </w:placeholder>
          <w:alias w:val="To edit, see citavi.com/edit"/>
          <w:tag w:val="CitaviPlaceholder#ff2fab84-9426-4ccc-a3de-1ab7f5fd2e68"/>
          <w:id w:val="-17765268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ZmMmZhYjg0LTk0MjYtNGNjYy1hM2RlLTFhYjdmNWZkMmU2OCIsIlRleHQiOiIoMTMpIiwiV0FJVmVyc2lvbiI6IjcuMS4wLjEifQ==}</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Furthermore, the applicability of the Nj approach to smaller sample sets has not previously been established. To the best of our knowledge, this study is the first to </w:t>
      </w:r>
      <w:r>
        <w:rPr>
          <w:rFonts w:cs="Arial" w:ascii="Arial" w:hAnsi="Arial"/>
        </w:rPr>
        <w:t>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 xml:space="preserve">Notably, the Nj method consistently outperformed the restrictive filtering, decontam, and SCRuB across all evaluation metrics. This advantage likely stems from Nj’s incorporation of both prevalence-based and rigorous statistical testing, as well as its conservative approach to taxon removal </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longitudinal contamination assessment,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Table S5). Decontam is a widely applied tool for contaminant removal. Nevertheless, the authors discussed that the performance is reduced in scenarios, in which the contamination is much more dominant than the true taxa </w:t>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However, the developers of decontam recommend a threshold of 0.5 in these cases, which was applied across all analyses. 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a biologically meaningful signal. </w:t>
      </w:r>
    </w:p>
    <w:p>
      <w:pPr>
        <w:pStyle w:val="BodyText"/>
        <w:spacing w:lineRule="auto" w:line="480"/>
        <w:jc w:val="both"/>
        <w:rPr>
          <w:rFonts w:ascii="Arial" w:hAnsi="Arial" w:cs="Arial"/>
        </w:rPr>
      </w:pPr>
      <w:r>
        <w:rPr>
          <w:rFonts w:cs="Arial" w:ascii="Arial" w:hAnsi="Arial"/>
        </w:rPr>
        <w:t xml:space="preserve">The original Nj decontamination approach was modified for the presented data set. Notably, due to the limited number of NCT (12-15 per batch), binomial statistical tests that were used in the original Nj approach may lack the sensitivity required to effectively filter out false positive contaminant taxa </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the Nj approach harbored several high abundant species in FF that are well-known intestinal commensals from genera such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xml:space="preserve">. A similar composition was found in previously analyzed KPC tumor specimen </w:t>
      </w:r>
      <w:sdt>
        <w:sdtPr>
          <w:placeholder>
            <w:docPart w:val="DefaultPlaceholder_-1854013440"/>
          </w:placeholder>
          <w:alias w:val="To edit, see citavi.com/edit"/>
          <w:tag w:val="CitaviPlaceholder#5676bfac-1d15-4dac-95eb-b3545239ee97"/>
          <w:id w:val="183133873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zU2NzZiZmFjLTFkMTUtNGRhYy05NWViLWIzNTQ1MjM5ZWU5NyIsIlRleHQiOiIoMTMpIiwiV0FJVmVyc2lvbiI6IjcuMS4wLjEifQ==}</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 xml:space="preserve">Nevertheless, a significant proportion of species was identified in both replicates following decontamination with the Nj approach, that were not shared between the technical controls (Fig. S3). Here, a spatial distribution of microbes has been discussed and observed in several tumor entities </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gtMTFUMTA6MzE6NTkiLCJQcm9qZWN0Ijp7IiRyZWYiOiI4In19LCJVc2VOdW1iZXJpbmdUeXBlT2ZQYXJlbnREb2N1bWVudCI6ZmFsc2V9XSwiRm9ybWF0dGVkVGV4dCI6eyIkaWQiOiIzMiIsIkNvdW50IjoxLCJUZXh0VW5pdHMiOlt7IiRpZCI6IjMzIiwiRm9udFN0eWxlIjp7IiRpZCI6IjM0IiwiTmV1dHJhbCI6dHJ1ZX0sIlJlYWRpbmdPcmRlciI6MSwiVGV4dCI6IigyMykifV19LCJUYWciOiJDaXRhdmlQbGFjZWhvbGRlciNkMGFiYjA1Ny0zODM3LTQ4ODMtYTBmYS1iODM3Y2FmOTg2ZmMiLCJUZXh0IjoiKDIzKSIsIldBSVZlcnNpb24iOiI3LjEuMC4xIn0=}</w:instrText>
          </w:r>
          <w:r>
            <w:rPr>
              <w:rFonts w:cs="Arial" w:ascii="Arial" w:hAnsi="Arial"/>
            </w:rPr>
          </w:r>
          <w:r>
            <w:rPr>
              <w:rFonts w:cs="Arial" w:ascii="Arial" w:hAnsi="Arial"/>
            </w:rPr>
            <w:fldChar w:fldCharType="separate"/>
          </w:r>
          <w:r>
            <w:rPr>
              <w:rFonts w:cs="Arial" w:ascii="Arial" w:hAnsi="Arial"/>
            </w:rPr>
            <w:t>(23)</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 </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V0sIkZvcm1hdHRlZFRleHQiOnsiJGlkIjoiNDciLCJDb3VudCI6MSwiVGV4dFVuaXRzIjpbeyIkaWQiOiI0OCIsIkZvbnRTdHlsZSI6eyIkaWQiOiI0OSIsIk5ldXRyYWwiOnRydWV9LCJSZWFkaW5nT3JkZXIiOjEsIlRleHQiOiIoMTkpIn1dfSwiVGFnIjoiQ2l0YXZpUGxhY2Vob2xkZXIjZWQ3ZGEwZDYtMjRhYS00YzQyLThlMzctZDY2YjVhODc1MTk0IiwiVGV4dCI6IigxOSkiLCJXQUlWZXJzaW9uIjoiNy4xLjAuMSJ9}</w:instrText>
          </w:r>
          <w:r>
            <w:rPr>
              <w:rFonts w:cs="Arial" w:ascii="Arial" w:hAnsi="Arial"/>
            </w:rPr>
          </w:r>
          <w:r>
            <w:rPr>
              <w:rFonts w:cs="Arial" w:ascii="Arial" w:hAnsi="Arial"/>
            </w:rPr>
            <w:fldChar w:fldCharType="separate"/>
          </w:r>
          <w:r>
            <w:rPr>
              <w:rFonts w:cs="Arial" w:ascii="Arial" w:hAnsi="Arial"/>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 xml:space="preserve">The minimal overlap between FF and FFPE samples indicated significant obstacles in the investigation of the intratumoral microbiome using FFPE samples. Nejman et al. were able to detect a reliable microbial composition in FFPE samples </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w:t>
      </w:r>
      <w:r>
        <w:rPr>
          <w:rFonts w:cs="Arial" w:ascii="Arial" w:hAnsi="Arial"/>
        </w:rPr>
        <w:t>that was only possible by more than 800 NCT, which is again mostly not feasible for 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longitudinal contaminations assessment underscore the significant human contribution to batch effects, which must be accounted for in low-biomass studies. Moreover, we show that an adjusted Nj approach reliably captures intratumoral microbial composition in FF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account for </w:t>
      </w:r>
      <w:commentRangeStart w:id="1"/>
      <w:r>
        <w:rPr>
          <w:rFonts w:cs="Arial" w:ascii="Arial" w:hAnsi="Arial"/>
        </w:rPr>
        <w:t xml:space="preserve">contamination. Both NCT and tumor samples were sequenced via whole 16S rRNA gene. Dorado (version 0.9) was used as a base-caller with q-score cutoff threshold at 9, and MetaPONT </w:t>
      </w:r>
      <w:sdt>
        <w:sdtPr>
          <w:placeholder>
            <w:docPart w:val="DefaultPlaceholder_-1854013440"/>
          </w:placeholder>
          <w:alias w:val="To edit, see citavi.com/edit"/>
          <w:tag w:val="CitaviPlaceholder#ae7b28e9-1df7-4747-b48b-c82b6c101a68"/>
          <w:id w:val="-200850782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YmE4NjVlLTU2OTItNDQ4YS1iNzRiLTIwNjBjNjg2YjNhM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FlN2IyOGU5LTFkZjctNDc0Ny1iNDhiLWM4MmI2YzEwMWE2O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was used to obtain bacterial profile of a sample. MetaPONT’s library comprises the complete </w:t>
      </w:r>
      <w:r>
        <w:rPr>
          <w:rFonts w:cs="Arial" w:ascii="Arial" w:hAnsi="Arial"/>
        </w:rPr>
      </w:r>
      <w:commentRangeEnd w:id="1"/>
      <w:r>
        <w:commentReference w:id="1"/>
      </w:r>
      <w:r>
        <w:rPr>
          <w:rFonts w:cs="Arial" w:ascii="Arial" w:hAnsi="Arial"/>
        </w:rPr>
        <w:t>genome of 13550 bacterial taxa, latest upda</w:t>
      </w:r>
      <w:bookmarkEnd w:id="4"/>
      <w:r>
        <w:rPr>
          <w:rFonts w:cs="Arial" w:ascii="Arial" w:hAnsi="Arial"/>
        </w:rPr>
        <w:t>ted in December 2024. Notably, the alignment score and coverage thresholds in MetaPONT were set to 1250 and 70% for tumor samples, and 1000 and 50% for NCT samples, respectively. We used more relaxed cutoff values for NCT samples because they contained a lower amount of bacterial DNA compared with the tumor samples.</w:t>
      </w:r>
      <w:del w:id="1" w:author="Linh Dang" w:date="2026-08-12T15:54:06Z">
        <w:r>
          <w:rPr>
            <w:rFonts w:cs="Arial" w:ascii="Arial" w:hAnsi="Arial"/>
          </w:rPr>
          <w:delText xml:space="preserve"> </w:delText>
        </w:r>
      </w:del>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3">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4">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described </w:t>
      </w:r>
      <w:sdt>
        <w:sdtPr>
          <w:placeholder>
            <w:docPart w:val="DefaultPlaceholder_-1854013440"/>
          </w:placeholder>
          <w:alias w:val="To edit, see citavi.com/edit"/>
          <w:tag w:val="CitaviPlaceholder#b0f90bfa-9838-41f2-9796-9fad66017a64"/>
          <w:id w:val="-815639845"/>
        </w:sdtPr>
        <w:sdtContent>
          <w:r>
            <w:rPr>
              <w:rFonts w:cs="Arial" w:ascii="Arial" w:hAnsi="Arial"/>
              <w:color w:themeColor="text1" w:val="000000"/>
            </w:rPr>
          </w:r>
          <w:r>
            <w:fldChar w:fldCharType="begin"/>
          </w:r>
          <w:r>
            <w:rPr>
              <w:rFonts w:cs="Arial" w:ascii="Arial" w:hAnsi="Arial"/>
              <w:color w:themeColor="text1" w:val="000000"/>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YjRlMDJhLWQ5MDAtNGMxMS04YWE5LTkwMzI0N2VkOTM2OCIsIlJhbmdlTGVuZ3RoIjo0LCJSZWZlcmVuY2VJZCI6IjZmMThiZmU0LThiZGEtNDQwNi04MzEzLTM3ZTUyMjE3NWZl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Njci4yMDA1LjA0LjAyMyIsIlVyaVN0cmluZyI6Imh0dHBzOi8vZG9pLm9yZy8xMC4xMDE2L2ouY2NyLjIwMDUuMDQuMD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JsNTdrN2lsc2F0a29wd2s1Y2poMWhkcmU0eWcwbnA4dGltIiwiQ3JlYXRlZE9uIjoiMjAyNi0wOC0xMVQxMjowMzozMFoiLCJNb2RpZmllZEJ5Ijoicmw1N2s3aWxzYXRrb3B3azVjamgxaGRyZTR5ZzBucDh0aW0iLCJJZCI6ImZkYTY2OWMyLWQ5MDYtNDU4NS05NTM5LTlmMTVmZjRlNDI2OSIsIk1vZGlmaWVkT24iOiIyMDI2LTA4LTExVDEyOjAzOjMwWi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1ODk0MjY3IiwiVXJpU3RyaW5nIjoiaHR0cDovL3d3dy5uY2JpLm5sbS5uaWguZ292L3B1Ym1lZC8xNTg5NDI2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}</w:instrText>
          </w:r>
          <w:r>
            <w:rPr>
              <w:rFonts w:cs="Arial" w:ascii="Arial" w:hAnsi="Arial"/>
              <w:color w:themeColor="text1" w:val="000000"/>
            </w:rPr>
          </w:r>
          <w:r>
            <w:rPr>
              <w:rFonts w:cs="Arial" w:ascii="Arial" w:hAnsi="Arial"/>
              <w:color w:themeColor="text1" w:val="000000"/>
            </w:rPr>
            <w:fldChar w:fldCharType="separate"/>
          </w:r>
          <w:r>
            <w:rPr>
              <w:rFonts w:cs="Arial" w:ascii="Arial" w:hAnsi="Arial"/>
              <w:color w:themeColor="text1" w:val="000000"/>
            </w:rPr>
            <w:t>(24)</w:t>
          </w:r>
          <w:r>
            <w:rPr>
              <w:rFonts w:cs="Arial" w:ascii="Arial" w:hAnsi="Arial"/>
              <w:color w:themeColor="text1" w:val="000000"/>
            </w:rPr>
          </w:r>
          <w:r>
            <w:rPr>
              <w:rFonts w:cs="Arial" w:ascii="Arial" w:hAnsi="Arial"/>
              <w:color w:themeColor="text1" w:val="000000"/>
            </w:rPr>
            <w:fldChar w:fldCharType="end"/>
          </w:r>
          <w:r>
            <w:rPr>
              <w:rFonts w:cs="Arial" w:ascii="Arial" w:hAnsi="Arial"/>
              <w:color w:themeColor="text1" w:val="000000"/>
            </w:rPr>
          </w:r>
        </w:sdtContent>
      </w:sdt>
      <w:r>
        <w:rPr>
          <w:rFonts w:cs="Arial" w:ascii="Arial" w:hAnsi="Arial"/>
          <w:color w:themeColor="text1" w:val="000000"/>
        </w:rPr>
        <w:t>. After tumor onset animals were screen</w:t>
      </w:r>
      <w:r>
        <w:rPr>
          <w:rFonts w:cs="Arial" w:ascii="Arial" w:hAnsi="Arial"/>
          <w:color w:themeColor="text1" w:val="000000"/>
        </w:rPr>
        <w:t xml:space="preserve">ed 2-3 times a week and sacrificed when the following criteria were fulfilled: overall morbidity, lethargy, signs of pain, rough fur, loss of self-care and social behavior, </w:t>
      </w:r>
      <w:hyperlink r:id="rId5">
        <w:r>
          <w:rPr>
            <w:rStyle w:val="Hyperlink"/>
            <w:rFonts w:cs="Arial" w:ascii="Arial" w:hAnsi="Arial"/>
            <w:color w:themeColor="text1" w:val="000000"/>
          </w:rPr>
          <w:t>ascites</w:t>
        </w:r>
      </w:hyperlink>
      <w:r>
        <w:rPr>
          <w:rFonts w:cs="Arial" w:ascii="Arial" w:hAnsi="Arial"/>
          <w:color w:themeColor="text1" w:val="000000"/>
        </w:rPr>
        <w:t xml:space="preserve">, </w:t>
      </w:r>
      <w:hyperlink r:id="rId6">
        <w:r>
          <w:rPr>
            <w:rStyle w:val="Hyperlink"/>
            <w:rFonts w:cs="Arial" w:ascii="Arial" w:hAnsi="Arial"/>
            <w:color w:themeColor="text1" w:val="000000"/>
          </w:rPr>
          <w:t>cachexia</w:t>
        </w:r>
      </w:hyperlink>
      <w:r>
        <w:rPr>
          <w:rFonts w:cs="Arial" w:ascii="Arial" w:hAnsi="Arial"/>
          <w:color w:themeColor="text1" w:val="000000"/>
        </w:rPr>
        <w:t xml:space="preserve"> or </w:t>
      </w:r>
      <w:hyperlink r:id="rId7">
        <w:r>
          <w:rPr>
            <w:rStyle w:val="Hyperlink"/>
            <w:rFonts w:cs="Arial" w:ascii="Arial" w:hAnsi="Arial"/>
            <w:color w:themeColor="text1" w:val="000000"/>
          </w:rPr>
          <w:t>body weight</w:t>
        </w:r>
      </w:hyperlink>
      <w:r>
        <w:rPr>
          <w:rFonts w:cs="Arial" w:ascii="Arial" w:hAnsi="Arial"/>
          <w:color w:themeColor="text1" w:val="000000"/>
        </w:rPr>
        <w:t xml:space="preserve"> loss of ≥20% </w:t>
      </w:r>
      <w:sdt>
        <w:sdtPr>
          <w:placeholder>
            <w:docPart w:val="DefaultPlaceholder_-1854013440"/>
          </w:placeholder>
          <w:alias w:val="To edit, see citavi.com/edit"/>
          <w:tag w:val="CitaviPlaceholder#dedd7f0e-f34b-4116-ae2e-fd91c93caeb0"/>
          <w:id w:val="-1517158878"/>
        </w:sdtPr>
        <w:sdtContent>
          <w:r>
            <w:rPr>
              <w:rFonts w:cs="Arial" w:ascii="Arial" w:hAnsi="Arial"/>
              <w:color w:themeColor="text1" w:val="000000"/>
            </w:rPr>
          </w:r>
          <w:r>
            <w:fldChar w:fldCharType="begin"/>
          </w:r>
          <w:r>
            <w:rPr>
              <w:rFonts w:cs="Arial" w:ascii="Arial" w:hAnsi="Arial"/>
              <w:color w:themeColor="text1" w:val="000000"/>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ZjkxNzkzLTdlNzEtNDJhMy05NWYzLTNmN2MyNDkzNjBiY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RlZGQ3ZjBlLWYzNGItNDExNi1hZTJlLWZkOTFjOTNjYWViMCIsIlRleHQiOiIoMTMpIiwiV0FJVmVyc2lvbiI6IjcuMS4wLjEifQ==}</w:instrText>
          </w:r>
          <w:r>
            <w:rPr>
              <w:rFonts w:cs="Arial" w:ascii="Arial" w:hAnsi="Arial"/>
              <w:color w:themeColor="text1" w:val="000000"/>
            </w:rPr>
          </w:r>
          <w:r>
            <w:rPr>
              <w:rFonts w:cs="Arial" w:ascii="Arial" w:hAnsi="Arial"/>
              <w:color w:themeColor="text1" w:val="000000"/>
            </w:rPr>
            <w:fldChar w:fldCharType="separate"/>
          </w:r>
          <w:r>
            <w:rPr>
              <w:rFonts w:cs="Arial" w:ascii="Arial" w:hAnsi="Arial"/>
              <w:color w:themeColor="text1" w:val="000000"/>
            </w:rPr>
            <w:t>(13)</w:t>
          </w:r>
          <w:r>
            <w:rPr>
              <w:rFonts w:cs="Arial" w:ascii="Arial" w:hAnsi="Arial"/>
              <w:color w:themeColor="text1" w:val="000000"/>
            </w:rPr>
          </w:r>
          <w:r>
            <w:rPr>
              <w:rFonts w:cs="Arial" w:ascii="Arial" w:hAnsi="Arial"/>
              <w:color w:themeColor="text1" w:val="000000"/>
            </w:rPr>
            <w:fldChar w:fldCharType="end"/>
          </w:r>
          <w:r>
            <w:rPr>
              <w:rFonts w:cs="Arial" w:ascii="Arial" w:hAnsi="Arial"/>
              <w:color w:themeColor="text1" w:val="000000"/>
            </w:rPr>
          </w:r>
        </w:sdtContent>
      </w:sdt>
      <w:r>
        <w:rPr>
          <w:rFonts w:cs="Arial" w:ascii="Arial" w:hAnsi="Arial"/>
          <w:color w:themeColor="text1" w:val="000000"/>
        </w:rPr>
        <w:t>.</w:t>
      </w:r>
      <w:r>
        <w:rPr>
          <w:rFonts w:cs="Arial" w:ascii="Arial" w:hAnsi="Arial"/>
          <w:color w:themeColor="text1" w:val="000000"/>
        </w:rPr>
        <w:t xml:space="preserve"> </w:t>
      </w:r>
      <w:r>
        <w:rPr>
          <w:rFonts w:cs="Arial" w:ascii="Arial" w:hAnsi="Arial"/>
        </w:rPr>
        <w:t>18 fresh frozen tumor samples (FF) from KPC mice were sequenced, together with their corresponding NCT. Later ten out of 18 FF tumors from KPC mice were sequenced again as technical replicates by another laboratory person.</w:t>
      </w:r>
    </w:p>
    <w:p>
      <w:pPr>
        <w:pStyle w:val="BodyText"/>
        <w:spacing w:lineRule="auto" w:line="480"/>
        <w:jc w:val="both"/>
        <w:rPr>
          <w:rFonts w:ascii="Arial" w:hAnsi="Arial" w:cs="Arial"/>
          <w:color w:themeColor="text1" w:val="000000"/>
        </w:rPr>
      </w:pPr>
      <w:commentRangeStart w:id="2"/>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2"/>
      <w:r>
        <w:commentReference w:id="2"/>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r>
        <w:rPr>
          <w:rFonts w:cs="Arial" w:ascii="Arial" w:hAnsi="Arial"/>
        </w:rPr>
        <w:t xml:space="preserve">In the section of the longitudinal contamination assessment as well as contamination investigation in various environments, we utilized taxa_filter function from R package microViz </w:t>
      </w:r>
      <w:sdt>
        <w:sdtPr>
          <w:placeholder>
            <w:docPart w:val="DefaultPlaceholder_-1854013440"/>
          </w:placeholder>
          <w:alias w:val="To edit, see citavi.com/edit"/>
          <w:tag w:val="CitaviPlaceholder#93a3da41-f56c-46c3-b5e3-b3ab0dfa97c9"/>
          <w:id w:val="-187884082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NDYxY2VjLTExNTEtNGE3My1iNDA5LTQ3MjE1MDdmMjI3MCIsIlJhbmdlTGVuZ3RoIjo0LCJSZWZlcmVuY2VJZCI6ImQxZTNhODMzLTczMDMtNDM0NS04ZGU1LTUyYTBmZmNhN2F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yMTEwNS9qb3NzLjAzMjAxIiwiVXJpU3RyaW5nIjoiaHR0cHM6Ly9kb2kub3JnLzEwLjIxMTA1L2pvc3MuMDMyMD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}</w:instrText>
          </w:r>
          <w:r>
            <w:rPr>
              <w:rFonts w:cs="Arial" w:ascii="Arial" w:hAnsi="Arial"/>
            </w:rPr>
          </w:r>
          <w:r>
            <w:rPr>
              <w:rFonts w:cs="Arial" w:ascii="Arial" w:hAnsi="Arial"/>
            </w:rPr>
            <w:fldChar w:fldCharType="separate"/>
          </w:r>
          <w:r>
            <w:rPr>
              <w:rFonts w:cs="Arial" w:ascii="Arial" w:hAnsi="Arial"/>
            </w:rPr>
            <w:t>(25)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to eliminate extremely rare and possibly noise taxa. The pseudo-code is provided in the technical supplementary file.</w:t>
      </w:r>
    </w:p>
    <w:p>
      <w:pPr>
        <w:pStyle w:val="BodyText"/>
        <w:spacing w:lineRule="auto" w:line="480"/>
        <w:jc w:val="both"/>
        <w:rPr>
          <w:rFonts w:ascii="Arial" w:hAnsi="Arial" w:cs="Arial"/>
        </w:rPr>
      </w:pPr>
      <w:bookmarkStart w:id="6" w:name="Xd1ff9c421cd0ba9a4e1536e9faf60ab9fbcf794"/>
      <w:r>
        <w:rPr>
          <w:rFonts w:cs="Arial" w:ascii="Arial" w:hAnsi="Arial"/>
        </w:rPr>
        <w:t>In the murine PDAC FF study which comprises PDAC and corresponding negative control samples, we applied slightly different threshold for each category. For the PDAC true sample, we set the threshold for minimal total abundance as 1*10</w:t>
      </w:r>
      <w:r>
        <w:rPr>
          <w:rFonts w:cs="Arial" w:ascii="Arial" w:hAnsi="Arial"/>
          <w:vertAlign w:val="superscript"/>
        </w:rPr>
        <w:t>-6</w:t>
      </w:r>
      <w:r>
        <w:rPr>
          <w:rFonts w:cs="Arial" w:ascii="Arial" w:hAnsi="Arial"/>
        </w:rPr>
        <w:t>, while for their respectively negative control we reduce this threshold to 5*10</w:t>
      </w:r>
      <w:r>
        <w:rPr>
          <w:rFonts w:cs="Arial" w:ascii="Arial" w:hAnsi="Arial"/>
          <w:vertAlign w:val="superscript"/>
        </w:rPr>
        <w:t>-7</w:t>
      </w:r>
      <w:r>
        <w:rPr>
          <w:rFonts w:cs="Arial" w:ascii="Arial" w:hAnsi="Arial"/>
        </w:rPr>
        <w:t>, due to the assumption that the microbiome content in negative control is much sparer than in tumor sample. Detail and pseudo-code could be found in the technical supplementary file.</w:t>
      </w:r>
      <w:bookmarkEnd w:id="6"/>
    </w:p>
    <w:p>
      <w:pPr>
        <w:pStyle w:val="FirstParagraph"/>
        <w:spacing w:lineRule="auto" w:line="480"/>
        <w:jc w:val="both"/>
        <w:rPr>
          <w:rFonts w:ascii="Arial" w:hAnsi="Arial" w:cs="Arial"/>
        </w:rPr>
      </w:pPr>
      <w:bookmarkStart w:id="7" w:name="normalization"/>
      <w:r>
        <w:rPr>
          <w:rFonts w:cs="Arial" w:ascii="Arial" w:hAnsi="Arial"/>
        </w:rPr>
        <w:t xml:space="preserve">We applied rarefaction </w:t>
      </w:r>
      <w:ins w:id="2" w:author="Linh Dang" w:date="2026-08-12T16:15:13Z">
        <w:r>
          <w:rPr>
            <w:rFonts w:cs="Arial" w:ascii="Arial" w:hAnsi="Arial"/>
          </w:rPr>
          <w:t>with even samples</w:t>
        </w:r>
      </w:ins>
      <w:ins w:id="3" w:author="Linh Dang" w:date="2026-08-12T16:15:13Z">
        <w:r>
          <w:rPr>
            <w:rFonts w:eastAsia="Aptos" w:cs="Arial" w:ascii="Arial" w:hAnsi="Arial"/>
            <w:kern w:val="0"/>
            <w:sz w:val="24"/>
            <w:szCs w:val="24"/>
            <w:lang w:val="en-US" w:eastAsia="zh-CN"/>
            <w14:ligatures w14:val="none"/>
          </w:rPr>
          <w:t xml:space="preserve">’ library size </w:t>
        </w:r>
      </w:ins>
      <w:r>
        <w:rPr>
          <w:rFonts w:cs="Arial" w:ascii="Arial" w:hAnsi="Arial"/>
        </w:rPr>
        <w:t>and Wrench method in R package (8)</w:t>
      </w:r>
      <w:bookmarkEnd w:id="7"/>
      <w:r>
        <w:rPr>
          <w:rFonts w:cs="Arial" w:ascii="Arial" w:hAnsi="Arial"/>
        </w:rPr>
        <w:t xml:space="preserve"> for normalization.</w:t>
      </w:r>
      <w:ins w:id="4" w:author="Linh Dang" w:date="2026-08-12T16:27:58Z">
        <w:r>
          <w:rPr>
            <w:rFonts w:cs="Arial" w:ascii="Arial" w:hAnsi="Arial"/>
          </w:rPr>
          <w:t xml:space="preserve"> In the longitudinal contaminant study, we applied Wrench normalization with respect to control type, whereas in the LP-environment investigation, LP was used as the grouping factor. For the benchmarking of FFPE and FF replicates, Wrench normalization was applied with respect to replicate.</w:t>
        </w:r>
      </w:ins>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r>
        <w:rPr>
          <w:rFonts w:cs="Arial" w:ascii="Arial" w:hAnsi="Arial"/>
        </w:rPr>
        <w:t xml:space="preserve">Four decontamination approaches were evaluated: (i) Restrictive filtering: taxa detected in any NCT samples were excluded from further analyses; (ii) Decontam </w:t>
      </w:r>
      <w:sdt>
        <w:sdtPr>
          <w:placeholder>
            <w:docPart w:val="DefaultPlaceholder_-1854013440"/>
          </w:placeholder>
          <w:alias w:val="To edit, see citavi.com/edit"/>
          <w:tag w:val="CitaviPlaceholder#c8504928-b86c-455d-8236-14cc41553fe9"/>
          <w:id w:val="-207981819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MGQxYzhmLTU2YzMtNGYxNS1iZWQ4LTlmYmQ5YzFlMGZkZS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4LTExVDEwOjMxOjU5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NjODUwNDkyOC1iODZjLTQ1NWQtODIzNi0xNGNjNDE1NTNmZTk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R package version 1.32.0, with a prevalence-based method classification of contaminant taxa using negative control; (iii) SCRuB</w:t>
      </w:r>
      <w:r>
        <w:rPr>
          <w:rFonts w:cs="Arial" w:ascii="Arial" w:hAnsi="Arial"/>
        </w:rPr>
        <w:t xml:space="preserve"> </w:t>
      </w:r>
      <w:sdt>
        <w:sdtPr>
          <w:placeholder>
            <w:docPart w:val="DefaultPlaceholder_-1854013440"/>
          </w:placeholder>
          <w:alias w:val="To edit, see citavi.com/edit"/>
          <w:tag w:val="CitaviPlaceholder#8d432b3c-6e82-48a2-8458-5382f3407685"/>
          <w:id w:val="-12706945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3ZTcxNDFjLTA1OTctNGZjZi1hNjljLTE5NTU3ZDg3OGRhN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gtMTFUMTA6MzE6NTk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zhkNDMyYjNjLTZlODItNDhhMi04NDU4LTUzODJmMzQwNzY4NS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Statistical Correction of Reagent-derived Bias, models contamination as a mixture of biological signal and </w:t>
      </w:r>
      <w:r>
        <w:rPr>
          <w:rFonts w:cs="Arial" w:ascii="Arial" w:hAnsi="Arial"/>
        </w:rPr>
        <w:t xml:space="preserve">background noise contaminants and estimates the true microbial composition of each sample.; and (iv) Nejman et. al. procedure </w:t>
      </w:r>
      <w:sdt>
        <w:sdtPr>
          <w:placeholder>
            <w:docPart w:val="DefaultPlaceholder_-1854013440"/>
          </w:placeholder>
          <w:alias w:val="To edit, see citavi.com/edit"/>
          <w:tag w:val="CitaviPlaceholder#960c471e-ad74-44c8-a431-8c1bb6cc7acc"/>
          <w:id w:val="171377384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jk1NjI3LWFkYmEtNDBmZi1iM2QyLWNkZTQyOWFjNjMyZ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OC0xMVQxMDozMTo1OS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TYwYzQ3MWUtYWQ3NC00NGM4LWE0MzEtOGMxYmI2Y2M3YW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decontamination strategy incorporating multiple filtering criteria. Our adaptation of Nj procedure is as follows. First, taxa whose prevalence is high in NCT samples will be removed. </w:t>
      </w:r>
      <w:r>
        <w:rPr>
          <w:rFonts w:cs="Arial" w:ascii="Arial" w:hAnsi="Arial"/>
        </w:rPr>
        <w:t xml:space="preserve">The cutoff threshold is determined in the original Nejman et al. </w:t>
      </w:r>
      <w:del w:id="5" w:author="Linh Dang" w:date="2026-08-12T16:33:27Z">
        <w:r>
          <w:rPr>
            <w:rFonts w:cs="Arial" w:ascii="Arial" w:hAnsi="Arial"/>
          </w:rPr>
          <w:delText>p</w:delText>
        </w:r>
      </w:del>
      <w:ins w:id="6" w:author="Linh Dang" w:date="2026-08-12T16:33:33Z">
        <w:r>
          <w:rPr>
            <w:rFonts w:eastAsia="Aptos" w:cs="Arial" w:ascii="Arial" w:hAnsi="Arial"/>
            <w:kern w:val="0"/>
            <w:sz w:val="24"/>
            <w:szCs w:val="24"/>
            <w:lang w:val="en-US" w:eastAsia="zh-CN"/>
            <w14:ligatures w14:val="none"/>
          </w:rPr>
          <w:t>p</w:t>
        </w:r>
      </w:ins>
      <w:r>
        <w:rPr>
          <w:rFonts w:cs="Arial" w:ascii="Arial" w:hAnsi="Arial"/>
        </w:rPr>
        <w:t>ublication.</w:t>
      </w:r>
      <w:ins w:id="7" w:author="Linh Dang" w:date="2026-08-12T16:34:06Z">
        <w:r>
          <w:rPr>
            <w:rFonts w:cs="Arial" w:ascii="Arial" w:hAnsi="Arial"/>
          </w:rPr>
          <w:t xml:space="preserve"> In our study, </w:t>
        </w:r>
      </w:ins>
      <w:r>
        <w:rPr>
          <w:rFonts w:cs="Arial" w:ascii="Arial" w:hAnsi="Arial"/>
        </w:rPr>
        <w:t xml:space="preserve"> Second, for those taxa whose prevalence are small in both NCT and true samples, we applied statistical Fisher exact test for each batch to determine if a taxon is a contaminant. The implementation of those four decontamination methods is available in the github repository.</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8" w:name="materials-and-methods"/>
      <w:bookmarkStart w:id="9" w:name="composite-score"/>
      <w:r>
        <w:rPr>
          <w:rFonts w:cs="Arial" w:ascii="Arial" w:hAnsi="Arial"/>
        </w:rPr>
        <w:t xml:space="preserve">The composite score was calculated from the bacterial profile before or after decontamination and the lab-specific contamination background (CB) assessed before longitudinally. This score comprised two parts: Yield and purity. Yield is defined as the number of putative true taxa which do not overlap with the CB over the numbers of the total observed taxa. Purity is defined as the fraction between the same </w:t>
      </w:r>
      <w:commentRangeStart w:id="3"/>
      <w:r>
        <w:rPr>
          <w:rFonts w:cs="Arial" w:ascii="Arial" w:hAnsi="Arial"/>
        </w:rPr>
        <w:t>nominator</w:t>
      </w:r>
      <w:r>
        <w:rPr>
          <w:rFonts w:cs="Arial" w:ascii="Arial" w:hAnsi="Arial"/>
        </w:rPr>
      </w:r>
      <w:commentRangeEnd w:id="3"/>
      <w:r>
        <w:commentReference w:id="3"/>
      </w:r>
      <w:r>
        <w:rPr>
          <w:rFonts w:cs="Arial" w:ascii="Arial" w:hAnsi="Arial"/>
        </w:rPr>
        <w:t xml:space="preserve"> over the number of putative true taxa from a certain decontamination method. The technical details of the calculation can be found in the Supplementary Method</w:t>
      </w:r>
      <w:bookmarkEnd w:id="8"/>
      <w:bookmarkEnd w:id="9"/>
      <w:r>
        <w:rPr>
          <w:rFonts w:cs="Arial" w:ascii="Arial" w:hAnsi="Arial"/>
        </w:rPr>
        <w:t>s.</w:t>
      </w:r>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longitudinal contamination assessment and negative sequencing in different environments, we applied t-test and PERMANOVA test along with alpha and beta analysis respectively. Multiple testing correction was performed using Benjamini-Hochberg.</w:t>
      </w:r>
    </w:p>
    <w:p>
      <w:pPr>
        <w:pStyle w:val="BodyText"/>
        <w:spacing w:lineRule="auto" w:line="480"/>
        <w:jc w:val="both"/>
        <w:rPr>
          <w:rFonts w:ascii="Arial" w:hAnsi="Arial" w:cs="Arial"/>
        </w:rPr>
      </w:pPr>
      <w:bookmarkStart w:id="10"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0"/>
    </w:p>
    <w:p>
      <w:pPr>
        <w:pStyle w:val="BodyText"/>
        <w:rPr/>
      </w:pPr>
      <w:r>
        <w:rPr/>
      </w:r>
    </w:p>
    <w:p>
      <w:pPr>
        <w:pStyle w:val="Heading2"/>
        <w:rPr>
          <w:rFonts w:ascii="Arial" w:hAnsi="Arial" w:cs="Arial"/>
        </w:rPr>
      </w:pPr>
      <w:bookmarkStart w:id="11" w:name="data-and-code-availability"/>
      <w:r>
        <w:rPr>
          <w:rFonts w:cs="Arial" w:ascii="Arial" w:hAnsi="Arial"/>
        </w:rPr>
        <w:t>Data and Code Availability</w:t>
      </w:r>
      <w:bookmarkEnd w:id="11"/>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KeinLeerraum1"/>
        <w:spacing w:lineRule="auto" w:line="360" w:before="240" w:after="240"/>
        <w:ind w:right="-357"/>
        <w:jc w:val="both"/>
        <w:rPr>
          <w:rFonts w:ascii="Arial" w:hAnsi="Arial" w:cs="Arial"/>
          <w:b/>
          <w:sz w:val="24"/>
          <w:szCs w:val="24"/>
          <w:u w:val="single"/>
          <w:lang w:val="en-GB"/>
        </w:rPr>
      </w:pPr>
      <w:r>
        <w:rPr>
          <w:rFonts w:cs="Arial" w:ascii="Arial" w:hAnsi="Arial"/>
          <w:sz w:val="24"/>
          <w:szCs w:val="32"/>
          <w:lang w:val="en-GB"/>
        </w:rPr>
        <w:t xml:space="preserve">We would like to thank Klara König and Tabea Wollborn for bringing structure and order to the large library of negative controls. </w:t>
      </w:r>
      <w:r>
        <w:rPr>
          <w:rFonts w:cs="Arial" w:ascii="Arial" w:hAnsi="Arial"/>
          <w:sz w:val="24"/>
          <w:szCs w:val="24"/>
          <w:lang w:val="en-GB"/>
        </w:rPr>
        <w:t>All sequencing costs were covered by intramural funding of University Medical Center Goettingen, Forschungsförderungsprogramm 2021 – Startförderung Klinische Studien.</w:t>
      </w:r>
      <w:bookmarkEnd w:id="0"/>
    </w:p>
    <w:p>
      <w:pPr>
        <w:pStyle w:val="Normal"/>
        <w:rPr/>
      </w:pPr>
      <w:r>
        <w:rPr/>
      </w:r>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12" w:name="_CTVL0013f1b79a6f84147ee83a9dfbfe3a422a5"/>
      <w:r>
        <w:rPr/>
        <w:t>Yao Y, Zhu Y, Chen K, Chen J, Li Y, Li D, Wei P. 2026. Microbiota in cancer: current understandings and future perspectives. Signal Transduct Target Ther 11:39. doi:10.1038/s41392-025-02335-3.</w:t>
      </w:r>
    </w:p>
    <w:p>
      <w:pPr>
        <w:pStyle w:val="CitaviBibliographyEntry"/>
        <w:rPr/>
      </w:pPr>
      <w:r>
        <w:rPr/>
        <w:t>2.</w:t>
        <w:tab/>
      </w:r>
      <w:bookmarkStart w:id="13" w:name="_CTVL001f7a5f1d08fac4881840b98915d6cdb65"/>
      <w:r>
        <w:rPr/>
        <w:t>Hanahan D. 2022. Hallmarks of Cancer: New Dimensions. Cancer Discov 12:31–46. doi:10.1158/2159-8290.CD-21-1059.</w:t>
      </w:r>
    </w:p>
    <w:p>
      <w:pPr>
        <w:pStyle w:val="CitaviBibliographyEntry"/>
        <w:rPr/>
      </w:pPr>
      <w:r>
        <w:rPr/>
        <w:t>3.</w:t>
        <w:tab/>
      </w:r>
      <w:bookmarkStart w:id="14" w:name="_CTVL0011a80755b5e8f4feb967493afc505156f"/>
      <w:r>
        <w:rP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p>
      <w:pPr>
        <w:pStyle w:val="CitaviBibliographyEntry"/>
        <w:rPr/>
      </w:pPr>
      <w:r>
        <w:rPr/>
        <w:t>4.</w:t>
        <w:tab/>
      </w:r>
      <w:bookmarkStart w:id="15" w:name="_CTVL001b3e06a05df1946dabf4c62a3f51ef184"/>
      <w:r>
        <w:rP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p>
      <w:pPr>
        <w:pStyle w:val="CitaviBibliographyEntry"/>
        <w:rPr/>
      </w:pPr>
      <w:r>
        <w:rPr/>
        <w:t>5.</w:t>
        <w:tab/>
      </w:r>
      <w:bookmarkStart w:id="16" w:name="_CTVL00184f212671e5d4f80b6ff79358613a8f4"/>
      <w:r>
        <w:rP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p>
      <w:pPr>
        <w:pStyle w:val="CitaviBibliographyEntry"/>
        <w:rPr/>
      </w:pPr>
      <w:r>
        <w:rPr/>
        <w:t>6.</w:t>
        <w:tab/>
      </w:r>
      <w:bookmarkStart w:id="17" w:name="_CTVL00102a8ce77e7684325aaf6f1b2162638a5"/>
      <w:r>
        <w:rP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p>
      <w:pPr>
        <w:pStyle w:val="CitaviBibliographyEntry"/>
        <w:rPr/>
      </w:pPr>
      <w:r>
        <w:rPr/>
        <w:t>7.</w:t>
        <w:tab/>
      </w:r>
      <w:bookmarkStart w:id="18" w:name="_CTVL0013c7f56b88eaa4a6d9594ad85fe615ccd"/>
      <w:r>
        <w:rPr/>
        <w:t>Guo W, Zhang Y, Guo S, Mei Z, Liao H, Dong H, Wu K, Ye H, Zhang Y, Zhu Y, Lang J, Hu L, Jin G, Kong X. 2021. Tumor microbiome contributes to an aggressive phenotype in the basal-like subtype of pancreatic cancer. Commun Biol 4:1019. doi:10.1038/s42003-021-02557-5.</w:t>
      </w:r>
    </w:p>
    <w:p>
      <w:pPr>
        <w:pStyle w:val="CitaviBibliographyEntry"/>
        <w:rPr/>
      </w:pPr>
      <w:r>
        <w:rPr/>
        <w:t>8.</w:t>
        <w:tab/>
      </w:r>
      <w:bookmarkStart w:id="19" w:name="_CTVL0017b1011aca851402792f5a9d62df476d0"/>
      <w:r>
        <w:rPr/>
        <w:t>Davis NM, Proctor DM, Holmes SP, Relman DA, Callahan BJ. 2018. Simple statistical identification and removal of contaminant sequences in marker-gene and metagenomics data. Microbiome 6:226. doi:10.1186/s40168-018-0605-2.</w:t>
      </w:r>
    </w:p>
    <w:p>
      <w:pPr>
        <w:pStyle w:val="CitaviBibliographyEntry"/>
        <w:rPr/>
      </w:pPr>
      <w:r>
        <w:rPr/>
        <w:t>9.</w:t>
        <w:tab/>
      </w:r>
      <w:bookmarkStart w:id="20" w:name="_CTVL001a7763191cbcf4be08deb7ed8ea0300bf"/>
      <w:r>
        <w:rP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p>
      <w:pPr>
        <w:pStyle w:val="CitaviBibliographyEntry"/>
        <w:rPr/>
      </w:pPr>
      <w:r>
        <w:rPr/>
        <w:t>10.</w:t>
        <w:tab/>
      </w:r>
      <w:bookmarkStart w:id="21" w:name="_CTVL001169871ed5dc5447cb4abe7414c97068c"/>
      <w:r>
        <w:rP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p>
      <w:pPr>
        <w:pStyle w:val="CitaviBibliographyEntry"/>
        <w:rPr/>
      </w:pPr>
      <w:r>
        <w:rPr/>
        <w:t>11.</w:t>
        <w:tab/>
      </w:r>
      <w:bookmarkStart w:id="22" w:name="_CTVL0013519a90fa5134c24bd86e319f201897f"/>
      <w:r>
        <w:rPr/>
        <w:t>Zhang T, Li H, Ma S, Cao J, Liao H, Huang Q, Chen W. 2023. The newest Oxford Nanopore R10.4.1 full-length 16S rRNA sequencing enables the accurate resolution of species-level microbial community profiling. Appl Environ Microbiol 89:e0060523. doi:10.1128/aem.00605-23.</w:t>
      </w:r>
    </w:p>
    <w:p>
      <w:pPr>
        <w:pStyle w:val="CitaviBibliographyEntry"/>
        <w:rPr/>
      </w:pPr>
      <w:r>
        <w:rPr/>
        <w:t>12.</w:t>
        <w:tab/>
      </w:r>
      <w:bookmarkStart w:id="23" w:name="_CTVL0016c2c96e7f0e1467088bbebf6ce37fb14"/>
      <w:r>
        <w:rPr/>
        <w:t>Peng X, Cheng L, You Y, Tang C, Ren B, Li Y, Xu X, Zhou X. 2022. Oral microbiota in human systematic diseases. Int J Oral Sci 14:14. doi:10.1038/s41368-022-00163-7.</w:t>
      </w:r>
    </w:p>
    <w:p>
      <w:pPr>
        <w:pStyle w:val="CitaviBibliographyEntry"/>
        <w:rPr/>
      </w:pPr>
      <w:r>
        <w:rPr>
          <w:lang w:val="de-DE"/>
        </w:rPr>
        <w:t>13.</w:t>
        <w:tab/>
      </w:r>
      <w:bookmarkStart w:id="24" w:name="_CTVL001910baf92852142ea998017385ac54c3e"/>
      <w:r>
        <w:rPr>
          <w:lang w:val="de-DE"/>
        </w:rPr>
        <w:t xml:space="preserve">Pfisterer N, Ammer-Herrmenau C, Antweiler K, Küffer S, Ellenrieder V, Neesse A. 2023. </w:t>
      </w:r>
      <w:r>
        <w:rPr/>
        <w:t>Dynamics of intestinal and intratumoral microbiome signatures in genetically engineered mice and human pancreatic ductal adenocarcinoma. Pancreatology 23:663–673. doi:10.1016/j.pan.2023.07.008.</w:t>
      </w:r>
    </w:p>
    <w:p>
      <w:pPr>
        <w:pStyle w:val="CitaviBibliographyEntry"/>
        <w:rPr/>
      </w:pPr>
      <w:r>
        <w:rPr/>
        <w:t>14.</w:t>
        <w:tab/>
      </w:r>
      <w:bookmarkStart w:id="25" w:name="_CTVL001c8f8f976b5dd4144925ae0eb3e6b94ec"/>
      <w:r>
        <w:rPr/>
        <w:t>Lee JW, Komar CA, Bengsch F, Graham K, Beatty GL. 2016. Genetically Engineered Mouse Models of Pancreatic Cancer: The KPC Model (LSL-Kras(G12D/+) ;LSL-Trp53(R172H/+) ;Pdx-1-Cre), Its Variants, and Their Application in Immuno-oncology Drug Discovery. Curr Protoc Pharmacol 73:14.39.1-14.39.20. doi:10.1002/cpph.2.</w:t>
      </w:r>
    </w:p>
    <w:p>
      <w:pPr>
        <w:pStyle w:val="CitaviBibliographyEntry"/>
        <w:rPr/>
      </w:pPr>
      <w:r>
        <w:rPr/>
        <w:t>15.</w:t>
        <w:tab/>
      </w:r>
      <w:bookmarkStart w:id="26" w:name="_CTVL001bb539b890ea94f9491c239fb0d351b65"/>
      <w:r>
        <w:rPr/>
        <w:t>Salter SJ, Cox MJ, Turek EM, Calus ST, Cookson WO, Moffatt MF, Turner P, Parkhill J, Loman NJ, Walker AW. 2014. Reagent and laboratory contamination can critically impact sequence-based microbiome analyses. BMC Biol 12:87. doi:10.1186/s12915-014-0087-z.</w:t>
      </w:r>
    </w:p>
    <w:p>
      <w:pPr>
        <w:pStyle w:val="CitaviBibliographyEntry"/>
        <w:rPr/>
      </w:pPr>
      <w:r>
        <w:rPr/>
        <w:t>16.</w:t>
        <w:tab/>
      </w:r>
      <w:bookmarkStart w:id="27" w:name="_CTVL001c8d58b2d6e2f4c5a9bad8d2acc498072"/>
      <w:r>
        <w:rPr/>
        <w:t>Weyrich LS, Farrer AG, Eisenhofer R, Arriola LA, Young J, Selway CA, Handsley-Davis M, Adler CJ, Breen J, Cooper A. 2019. Laboratory contamination over time during low-biomass sample analysis. Mol Ecol Resour 19:982–996. doi:10.1111/1755-0998.13011.</w:t>
      </w:r>
    </w:p>
    <w:p>
      <w:pPr>
        <w:pStyle w:val="CitaviBibliographyEntry"/>
        <w:rPr/>
      </w:pPr>
      <w:r>
        <w:rPr/>
        <w:t>17.</w:t>
        <w:tab/>
      </w:r>
      <w:bookmarkStart w:id="28" w:name="_CTVL00102fb79089e734d22b396d8ca52b8bef8"/>
      <w:r>
        <w:rPr/>
        <w:t>Schorr L, Mathies M, Elinav E, Puschhof J. 2023. Intracellular bacteria in cancer-prospects and debates. NPJ Biofilms Microbiomes 9:76. doi:10.1038/s41522-023-00446-9.</w:t>
      </w:r>
    </w:p>
    <w:p>
      <w:pPr>
        <w:pStyle w:val="CitaviBibliographyEntry"/>
        <w:rPr/>
      </w:pPr>
      <w:r>
        <w:rPr/>
        <w:t>18.</w:t>
        <w:tab/>
      </w:r>
      <w:bookmarkStart w:id="29" w:name="_CTVL0017782bb8ef3ab4a908e3627f530b9e41f"/>
      <w:r>
        <w:rPr/>
        <w:t>Stinson LF, Keelan JA, Payne MS. 2019. Identification and removal of contaminating microbial DNA from PCR reagents: impact on low-biomass microbiome analyses. Lett Appl Microbiol 68:2–8. doi:10.1111/lam.13091.</w:t>
      </w:r>
    </w:p>
    <w:p>
      <w:pPr>
        <w:pStyle w:val="CitaviBibliographyEntry"/>
        <w:rPr/>
      </w:pPr>
      <w:r>
        <w:rPr/>
        <w:t>19.</w:t>
        <w:tab/>
      </w:r>
      <w:bookmarkStart w:id="30" w:name="_CTVL00155d6163121ff498fbbbf4cf8628f1d1f"/>
      <w:r>
        <w:rP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p>
      <w:pPr>
        <w:pStyle w:val="CitaviBibliographyEntry"/>
        <w:rPr/>
      </w:pPr>
      <w:r>
        <w:rPr/>
        <w:t>20.</w:t>
        <w:tab/>
      </w:r>
      <w:bookmarkStart w:id="31" w:name="_CTVL00191f6a3ec7bd74bb69313ea375020c799"/>
      <w:r>
        <w:rPr/>
        <w:t>Eisenhofer R, Minich JJ, Marotz C, Cooper A, Knight R, Weyrich LS. 2019. Contamination in Low Microbial Biomass Microbiome Studies: Issues and Recommendations. Trends Microbiol 27:105–117. doi:10.1016/j.tim.2018.11.003.</w:t>
      </w:r>
    </w:p>
    <w:p>
      <w:pPr>
        <w:pStyle w:val="CitaviBibliographyEntry"/>
        <w:rPr/>
      </w:pPr>
      <w:r>
        <w:rPr/>
        <w:t>21.</w:t>
        <w:tab/>
      </w:r>
      <w:bookmarkStart w:id="32" w:name="_CTVL0016e81d8e7ecb74cb490d968ac813e9513"/>
      <w:r>
        <w:rPr/>
        <w:t>Johnson JS, Spakowicz DJ, Hong B-Y, Petersen LM, Demkowicz P, Chen L, Leopold SR, Hanson BM, Agresta HO, Gerstein M, Sodergren E, Weinstock GM. 2019. Evaluation of 16S rRNA gene sequencing for species and strain-level microbiome analysis. Nat Commun 10:5029. doi:10.1038/s41467-019-13036-1.</w:t>
      </w:r>
    </w:p>
    <w:p>
      <w:pPr>
        <w:pStyle w:val="CitaviBibliographyEntry"/>
        <w:rPr/>
      </w:pPr>
      <w:r>
        <w:rPr/>
        <w:t>22.</w:t>
        <w:tab/>
      </w:r>
      <w:bookmarkStart w:id="33" w:name="_CTVL0019968ff6325a34474835d4dfb141be3e6"/>
      <w:r>
        <w:rPr/>
        <w:t>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Nature 628:424–432. doi:10.1038/s41586-024-07182-w.</w:t>
      </w:r>
    </w:p>
    <w:p>
      <w:pPr>
        <w:pStyle w:val="CitaviBibliographyEntry"/>
        <w:rPr/>
      </w:pPr>
      <w:r>
        <w:rPr/>
        <w:t>23.</w:t>
        <w:tab/>
      </w:r>
      <w:bookmarkStart w:id="34" w:name="_CTVL0018d7bfce4c951474a86c821b1313d55d8"/>
      <w:r>
        <w:rP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p>
    <w:p>
      <w:pPr>
        <w:pStyle w:val="CitaviBibliographyEntry"/>
        <w:rPr/>
      </w:pPr>
      <w:r>
        <w:rPr/>
        <w:t>24.</w:t>
        <w:tab/>
      </w:r>
      <w:bookmarkStart w:id="35" w:name="_CTVL0016f18bfe48bda4406831337e522175fe0"/>
      <w:r>
        <w:rPr/>
        <w:t>Hingorani SR, Wang L, Multani AS, Combs C, Deramaudt TB, Hruban RH, Rustgi AK, Chang S, Tuveson DA. 2005. Trp53R172H and KrasG12D cooperate to promote chromosomal instability and widely metastatic pancreatic ductal adenocarcinoma in mice. Cancer Cell 7:469–483. doi:10.1016/j.ccr.2005.04.023.</w:t>
      </w:r>
    </w:p>
    <w:p>
      <w:pPr>
        <w:pStyle w:val="CitaviBibliographyEntry"/>
        <w:rPr/>
      </w:pPr>
      <w:r>
        <w:rPr/>
        <w:t>25.</w:t>
        <w:tab/>
      </w:r>
      <w:bookmarkStart w:id="36" w:name="_CTVL001d1e3a833730343458de552a0ffca7aab"/>
      <w:r>
        <w:rPr/>
        <w:t>Barnett D, Arts I, Penders J. 2021. microViz: an R package for microbiome data visualization and statistics. JOSS 6:3201. doi:10.21105/joss.03201.</w:t>
      </w:r>
      <w:r>
        <w:rPr/>
      </w:r>
      <w:r>
        <w:rPr/>
        <w:fldChar w:fldCharType="end"/>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sdt>
        <w:sdtPr>
          <w:placeholder>
            <w:docPart w:val="DefaultPlaceholder_-1854013440"/>
          </w:placeholder>
          <w:tag w:val="CitaviBibliography"/>
          <w:id w:val="-1065794269"/>
          <w:text/>
        </w:sdtPr>
        <w:sdtContent>
          <w:r>
            <w:rPr/>
          </w:r>
          <w:r>
            <w:rPr/>
          </w:r>
        </w:sdtContent>
      </w:sdt>
      <w:bookmarkEnd w:id="36"/>
    </w:p>
    <w:p>
      <w:pPr>
        <w:pStyle w:val="Normal"/>
        <w:rPr/>
      </w:pPr>
      <w:r>
        <w:rPr/>
      </w:r>
    </w:p>
    <w:p>
      <w:pPr>
        <w:pStyle w:val="BodyText"/>
        <w:rPr>
          <w:rFonts w:ascii="Arial" w:hAnsi="Arial" w:eastAsia="font1299" w:cs="Arial"/>
          <w:color w:val="0F4761"/>
          <w:sz w:val="32"/>
          <w:szCs w:val="32"/>
        </w:rPr>
      </w:pPr>
      <w:r>
        <w:rPr>
          <w:rFonts w:eastAsia="font1299" w:cs="Arial" w:ascii="Arial" w:hAnsi="Arial"/>
          <w:color w:val="0F4761"/>
          <w:sz w:val="32"/>
          <w:szCs w:val="32"/>
        </w:rPr>
        <w:t>Figure legends</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the two-factor experimental design: Each LP processed four shared blank samples within each environment to acquire the lab contaminant profile. Sample processing on the bench wearing standard gloves and no facial mask is referred to as standard environment. Sample processing under the ventilated hood with the LP wearing mask and sterile gloves is referred to as low-germ environment.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the LP as explanatory variables controlled for the processing environment. The plot is ordinated with Principal Coordinate Analysis (PCoA).</w:t>
      </w:r>
    </w:p>
    <w:p>
      <w:pPr>
        <w:pStyle w:val="Normal"/>
        <w:spacing w:lineRule="auto" w:line="480"/>
        <w:jc w:val="both"/>
        <w:rPr>
          <w:rFonts w:ascii="Arial" w:hAnsi="Arial" w:cs="Arial"/>
        </w:rPr>
      </w:pPr>
      <w:r>
        <w:rPr>
          <w:rFonts w:cs="Arial" w:ascii="Arial" w:hAnsi="Arial"/>
        </w:rPr>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w:t>
      </w:r>
      <w:r>
        <w:rPr>
          <w:rFonts w:cs="Arial" w:ascii="Arial" w:hAnsi="Arial"/>
          <w:b/>
        </w:rPr>
        <w:t>A)</w:t>
      </w:r>
      <w:r>
        <w:rPr>
          <w:rFonts w:cs="Arial" w:ascii="Arial" w:hAnsi="Arial"/>
        </w:rPr>
        <w:t xml:space="preserve"> Experimental design: 18 fresh frozen tumor samples (FF) from KPC mice were sequenced  together with their corresponding negative controls (NCT). Non-decontaminated (ND) profiles were decontaminated through four approaches: restrictive, decontam, SCRuB, and the Nejman et al derived method (Nj) </w:t>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t xml:space="preserve">. Later, ten out of 18 FF tumors from KPC mice were sequenced again as technical replicates by another laboratory person. </w:t>
      </w:r>
      <w:r>
        <w:rPr>
          <w:rFonts w:cs="Arial" w:ascii="Arial" w:hAnsi="Arial"/>
          <w:b/>
        </w:rPr>
        <w:t>B)</w:t>
      </w:r>
      <w:r>
        <w:rPr>
          <w:rFonts w:cs="Arial" w:ascii="Arial" w:hAnsi="Arial"/>
        </w:rPr>
        <w:t xml:space="preserve"> Comparison of the four decontamination methods and the ND profile using a Wilcoxon signed-rank test based on a composite score integrating sample bacterial profiles and the longitudinal contamination assessment. Higher scores indicate better performance. </w:t>
      </w:r>
      <w:r>
        <w:rPr>
          <w:rFonts w:cs="Arial" w:ascii="Arial" w:hAnsi="Arial"/>
          <w:b/>
        </w:rPr>
        <w:t>C)</w:t>
      </w:r>
      <w:r>
        <w:rPr>
          <w:rFonts w:cs="Arial" w:ascii="Arial" w:hAnsi="Arial"/>
        </w:rPr>
        <w:t xml:space="preserve">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w:t>
      </w:r>
      <w:r>
        <w:rPr>
          <w:rFonts w:cs="Arial" w:ascii="Arial" w:hAnsi="Arial"/>
          <w:b/>
        </w:rPr>
        <w:t>D)</w:t>
      </w:r>
      <w:r>
        <w:rPr>
          <w:rFonts w:cs="Arial" w:ascii="Arial" w:hAnsi="Arial"/>
        </w:rPr>
        <w:t xml:space="preserve"> Overall bacterial composition of the two FF technical replicates and their overlap.</w:t>
      </w:r>
    </w:p>
    <w:p>
      <w:pPr>
        <w:pStyle w:val="Normal"/>
        <w:spacing w:lineRule="auto" w:line="480"/>
        <w:jc w:val="both"/>
        <w:rPr>
          <w:rFonts w:ascii="Arial" w:hAnsi="Arial" w:cs="Arial"/>
        </w:rPr>
      </w:pPr>
      <w:r>
        <w:rPr>
          <w:rFonts w:cs="Arial" w:ascii="Arial" w:hAnsi="Arial"/>
        </w:rPr>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Fonts w:cs="Arial" w:ascii="Arial" w:hAnsi="Arial"/>
          <w:b/>
          <w:i w:val="false"/>
        </w:rPr>
        <w:t>A</w:t>
      </w:r>
      <w:r>
        <w:rPr>
          <w:rStyle w:val="Strong"/>
          <w:rFonts w:cs="Arial" w:ascii="Arial" w:hAnsi="Arial"/>
          <w:i w:val="false"/>
        </w:rPr>
        <w:t>)</w:t>
      </w:r>
      <w:r>
        <w:rPr>
          <w:rFonts w:cs="Arial" w:ascii="Arial" w:hAnsi="Arial"/>
          <w:i w:val="false"/>
        </w:rPr>
        <w:t xml:space="preserve"> Alpha diversity analyses comparing FFPE samples and the two FF technical replicates across the non-decontaminated (ND) data and four decontamination strategies: restrictive filtering, decontam, SCRuB, and Nejman  et al derived method (Nj)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univariable linear regression for Shannon index were applied. </w:t>
      </w:r>
      <w:r>
        <w:rPr>
          <w:rFonts w:cs="Arial" w:ascii="Arial" w:hAnsi="Arial"/>
          <w:b/>
          <w:i w:val="false"/>
        </w:rPr>
        <w:t>B</w:t>
      </w:r>
      <w:r>
        <w:rPr>
          <w:rStyle w:val="Strong"/>
          <w:rFonts w:cs="Arial" w:ascii="Arial" w:hAnsi="Arial"/>
          <w:i w:val="false"/>
        </w:rPr>
        <w:t>)</w:t>
      </w:r>
      <w:r>
        <w:rPr>
          <w:rFonts w:cs="Arial" w:ascii="Arial" w:hAnsi="Arial"/>
          <w:i w:val="false"/>
        </w:rPr>
        <w:t xml:space="preserve"> Bray-Curtis dissimilarity of the two FF technical replicates and paired FFPE samples. Samples are colored and grouped by technical replicates. Analyses were performed using Wrench normalization. The plot is ordinated with Principal Coordinate Analysis (PCoA) and p-values were calculated by PERMANOVA. </w:t>
      </w:r>
      <w:r>
        <w:rPr>
          <w:rFonts w:cs="Arial" w:ascii="Arial" w:hAnsi="Arial"/>
          <w:b/>
          <w:i w:val="false"/>
        </w:rPr>
        <w:t>C</w:t>
      </w:r>
      <w:r>
        <w:rPr>
          <w:rStyle w:val="Strong"/>
          <w:rFonts w:cs="Arial" w:ascii="Arial" w:hAnsi="Arial"/>
          <w:i w:val="false"/>
        </w:rPr>
        <w:t>)</w:t>
      </w:r>
      <w:r>
        <w:rPr>
          <w:rFonts w:cs="Arial" w:ascii="Arial" w:hAnsi="Arial"/>
          <w:i w:val="false"/>
        </w:rPr>
        <w:t xml:space="preserve"> Overall bacterial composition of FF overlap and FFPE samples without (ND) and with various decontamination. R – technical replicates</w:t>
      </w:r>
    </w:p>
    <w:p>
      <w:pPr>
        <w:pStyle w:val="Caption"/>
        <w:spacing w:lineRule="auto" w:line="480" w:before="120" w:after="120"/>
        <w:jc w:val="both"/>
        <w:rPr>
          <w:rFonts w:ascii="Arial" w:hAnsi="Arial" w:cs="Arial"/>
          <w:i w:val="false"/>
          <w:i w:val="false"/>
        </w:rPr>
      </w:pPr>
      <w:r>
        <w:rPr>
          <w:rFonts w:cs="Arial" w:ascii="Arial" w:hAnsi="Arial"/>
          <w:i w:val="false"/>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inh Dang" w:date="2026-07-31T16:23:00Z" w:initials="LD">
    <w:p w14:paraId="01000000">
      <w:pPr>
        <w:overflowPunct w:val="false"/>
        <w:spacing w:before="318" w:after="0"/>
        <w:rPr/>
      </w:pPr>
      <w:r>
        <w:rPr>
          <w:rFonts w:ascii="Liberation Serif" w:hAnsi="Liberation Serif" w:eastAsia="DejaVu Sans" w:cs="Noto Sans Arabic UI"/>
          <w:lang w:val="en-US" w:eastAsia="en-US" w:bidi="en-US"/>
        </w:rPr>
        <w:t>Here I make it clearer that we would like to compare profile of FFPE, both ND and decontaminated ones, against the “ground-truth” profile revealed from 2 FF replicates.</w:t>
      </w:r>
    </w:p>
  </w:comment>
  <w:comment w:id="1"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w:t>
      </w:r>
    </w:p>
  </w:comment>
  <w:comment w:id="2" w:author="Christoph Ammer-Herrmenau" w:date="2026-04-25T22:33:00Z" w:initials="CA">
    <w:p>
      <w:pPr>
        <w:overflowPunct w:val="tru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3" w:author="Jacob Hamm" w:date="2026-08-06T10:38:00Z" w:initials="JH">
    <w:p>
      <w:pPr>
        <w:overflowPunct w:val="true"/>
        <w:spacing w:before="0" w:after="0"/>
        <w:rPr/>
      </w:pPr>
      <w:r>
        <w:rPr>
          <w:rFonts w:ascii="Liberation Serif" w:hAnsi="Liberation Serif" w:eastAsia="DejaVu Sans" w:cs="Noto Sans Arabic UI"/>
          <w:sz w:val="20"/>
          <w:szCs w:val="20"/>
          <w:lang w:val="en-US" w:eastAsia="en-US" w:bidi="en-US"/>
        </w:rPr>
        <w:t>Meint ihr hier numerator anstatt nominator? Dann wäre numerator/denominator im Englischen korrekt zur Beschreibung eines Bruchs. Und was meint ihr mit "same nominator"? Number of taxa which do not overlap with NCT survey? Dann würde ich den Zähler, also numerator nochmal ausschreiben anstatt nur "same numerator" zu schreiben.</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roman"/>
    <w:pitch w:val="variable"/>
  </w:font>
  <w:font w:name="Cambria Math">
    <w:charset w:val="01"/>
    <w:family w:val="roman"/>
    <w:pitch w:val="variable"/>
  </w:font>
</w:fonts>
</file>

<file path=word/settings.xml><?xml version="1.0" encoding="utf-8"?>
<w:settings xmlns:w="http://schemas.openxmlformats.org/wordprocessingml/2006/main">
  <w:zoom w:percent="15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character" w:styleId="FollowedHyperlink">
    <w:name w:val="FollowedHyperlink"/>
    <w:basedOn w:val="DefaultParagraphFont"/>
    <w:uiPriority w:val="99"/>
    <w:semiHidden/>
    <w:unhideWhenUsed/>
    <w:rsid w:val="0094623d"/>
    <w:rPr>
      <w:color w:themeColor="followedHyperlink" w:val="96607D"/>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rsid w:val="008547bb"/>
    <w:pPr>
      <w:suppressLineNumbers/>
      <w:spacing w:before="120" w:after="120"/>
    </w:pPr>
    <w:rPr>
      <w:rFonts w:ascii="Liberation Serif" w:hAnsi="Liberation Serif" w:eastAsia="Noto Serif CJK SC" w:cs="Noto Sans Devanagari"/>
      <w:i/>
      <w:iCs/>
      <w:kern w:val="2"/>
      <w:lang w:bidi="hi-IN"/>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paragraph" w:styleId="Revision">
    <w:name w:val="Revision"/>
    <w:uiPriority w:val="99"/>
    <w:semiHidden/>
    <w:qFormat/>
    <w:rsid w:val="00fe2916"/>
    <w:pPr>
      <w:widowControl/>
      <w:suppressAutoHyphens w:val="true"/>
      <w:bidi w:val="0"/>
      <w:spacing w:lineRule="auto" w:line="240" w:before="0" w:after="0"/>
      <w:jc w:val="left"/>
    </w:pPr>
    <w:rPr>
      <w:rFonts w:ascii="Aptos" w:hAnsi="Aptos" w:eastAsia="Aptos" w:cs="font1299"/>
      <w:color w:val="auto"/>
      <w:kern w:val="0"/>
      <w:sz w:val="24"/>
      <w:szCs w:val="24"/>
      <w:lang w:val="en-US" w:eastAsia="zh-CN" w:bidi="ar-SA"/>
      <w14:ligatures w14:val="none"/>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 w:name="Liberation Serif;Times New Roma">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0F4AD3"/>
    <w:rsid w:val="00191ACC"/>
    <w:rsid w:val="00280DED"/>
    <w:rsid w:val="002E3272"/>
    <w:rsid w:val="0039242E"/>
    <w:rsid w:val="003E2A42"/>
    <w:rsid w:val="004817CC"/>
    <w:rsid w:val="005037CD"/>
    <w:rsid w:val="00557E05"/>
    <w:rsid w:val="006363F7"/>
    <w:rsid w:val="006447C8"/>
    <w:rsid w:val="00680D7C"/>
    <w:rsid w:val="006D57DC"/>
    <w:rsid w:val="00755378"/>
    <w:rsid w:val="00786019"/>
    <w:rsid w:val="008645F5"/>
    <w:rsid w:val="00A00CDC"/>
    <w:rsid w:val="00A37AB2"/>
    <w:rsid w:val="00A80AC3"/>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TotalTime>
  <Application>LibreOffice/24.2.7.2$Linux_X86_64 LibreOffice_project/420$Build-2</Application>
  <AppVersion>15.0000</AppVersion>
  <Pages>26</Pages>
  <Words>6716</Words>
  <Characters>40823</Characters>
  <CharactersWithSpaces>47430</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2026-08-11T08:34:00Z</dcterms:created>
  <dc:creator>Christoph Ammer-Herrmenau</dc:creator>
  <dc:description/>
  <dc:language>en-US</dc:language>
  <cp:lastModifiedBy>Linh Dang</cp:lastModifiedBy>
  <dcterms:modified xsi:type="dcterms:W3CDTF">2026-08-19T19:10:56Z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edf9a7f0-b007-4a19-b326-14eb0ce6a804</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