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Arial" w:cs="Arial" w:eastAsia="Arial" w:hAnsi="Arial"/>
          <w:b/>
          <w:bCs/>
          <w:color w:val="1A3A5C"/>
          <w:sz w:val="36"/>
          <w:szCs w:val="36"/>
        </w:rPr>
        <w:t xml:space="preserve">Disentangling Contaminants from True Intratumoral Microbial Signals in Pancreatic Ductal Adenocarcinoma: A Benchmarking Approach</w:t>
      </w:r>
    </w:p>
    <w:p>
      <w:pPr>
        <w:spacing w:before="0" w:after="60"/>
        <w:jc w:val="center"/>
      </w:pPr>
      <w:r>
        <w:rPr>
          <w:rFonts w:ascii="Arial" w:cs="Arial" w:eastAsia="Arial" w:hAnsi="Arial"/>
          <w:i/>
          <w:iCs/>
          <w:sz w:val="24"/>
          <w:szCs w:val="24"/>
        </w:rPr>
        <w:t xml:space="preserve">Linh Dang</w:t>
      </w:r>
    </w:p>
    <w:p>
      <w:pPr>
        <w:pBdr>
          <w:bottom w:val="single" w:color="1A3A5C" w:sz="4" w:space="1"/>
        </w:pBdr>
        <w:spacing w:before="0" w:after="400"/>
        <w:jc w:val="center"/>
      </w:pPr>
      <w:r>
        <w:rPr>
          <w:sz w:val="20"/>
          <w:szCs w:val="20"/>
        </w:rPr>
        <w:t xml:space="preserve"/>
      </w:r>
    </w:p>
    <w:p>
      <w:pPr>
        <w:spacing w:before="80" w:after="80"/>
      </w:pPr>
      <w:r>
        <w:t xml:space="preserve"/>
      </w:r>
    </w:p>
    <w:p>
      <w:pPr>
        <w:pStyle w:val="Heading1"/>
        <w:spacing w:before="360" w:after="120"/>
      </w:pPr>
      <w:r>
        <w:rPr>
          <w:rFonts w:ascii="Arial" w:cs="Arial" w:eastAsia="Arial" w:hAnsi="Arial"/>
          <w:b/>
          <w:bCs/>
          <w:color w:val="1A3A5C"/>
          <w:sz w:val="32"/>
          <w:szCs w:val="32"/>
        </w:rPr>
        <w:t xml:space="preserve">Abstract</w:t>
      </w:r>
    </w:p>
    <w:p>
      <w:pPr>
        <w:spacing w:before="0" w:after="120"/>
        <w:jc w:val="both"/>
      </w:pPr>
      <w:r>
        <w:rPr>
          <w:rFonts w:ascii="Arial" w:cs="Arial" w:eastAsia="Arial" w:hAnsi="Arial"/>
          <w:b/>
          <w:bCs/>
          <w:sz w:val="22"/>
          <w:szCs w:val="22"/>
        </w:rPr>
        <w:t xml:space="preserve">Background: </w:t>
      </w:r>
      <w:r>
        <w:rPr>
          <w:rFonts w:ascii="Arial" w:cs="Arial" w:eastAsia="Arial" w:hAnsi="Arial"/>
          <w:sz w:val="22"/>
          <w:szCs w:val="22"/>
        </w:rPr>
        <w:t xml:space="preserve">Pancreatic ductal adenocarcinoma (PDAC) harbors a distinct intratumoral microbiome, yet rigorous characterization of its composition is hampered by pervasive environmental and procedural contamination. Negative controls collected throughout the sample processing workflow capture a heterogeneous mixture of reagent-borne, environmental, and technician-derived microbes that, if unaccounted for, confound 16S rRNA sequencing results. </w:t>
      </w:r>
    </w:p>
    <w:p>
      <w:pPr>
        <w:spacing w:before="0" w:after="120"/>
        <w:jc w:val="both"/>
      </w:pPr>
      <w:r>
        <w:rPr>
          <w:rFonts w:ascii="Arial" w:cs="Arial" w:eastAsia="Arial" w:hAnsi="Arial"/>
          <w:b/>
          <w:bCs/>
          <w:sz w:val="22"/>
          <w:szCs w:val="22"/>
        </w:rPr>
        <w:t xml:space="preserve">Methods: </w:t>
      </w:r>
      <w:r>
        <w:rPr>
          <w:rFonts w:ascii="Arial" w:cs="Arial" w:eastAsia="Arial" w:hAnsi="Arial"/>
          <w:sz w:val="22"/>
          <w:szCs w:val="22"/>
        </w:rPr>
        <w:t xml:space="preserve">We systematically collected 203 negative control samples (NCT) — comprising buffer, paraffin-embedded, and PCR controls — spanning four years and multiple technicians. We applied and benchmarked four decontamination methods (Restrictive filtering, Decontam, SCRuB, and the Nejman pipeline [Nj]) against this NCT-derived contaminant profile, using both a composite yield-purity score and Aitchison distance between technical replicates as orthogonal evaluation metrics. </w:t>
      </w:r>
    </w:p>
    <w:p>
      <w:pPr>
        <w:spacing w:before="0" w:after="120"/>
        <w:jc w:val="both"/>
      </w:pPr>
      <w:r>
        <w:rPr>
          <w:rFonts w:ascii="Arial" w:cs="Arial" w:eastAsia="Arial" w:hAnsi="Arial"/>
          <w:b/>
          <w:bCs/>
          <w:sz w:val="22"/>
          <w:szCs w:val="22"/>
        </w:rPr>
        <w:t xml:space="preserve">Results: </w:t>
      </w:r>
      <w:r>
        <w:rPr>
          <w:rFonts w:ascii="Arial" w:cs="Arial" w:eastAsia="Arial" w:hAnsi="Arial"/>
          <w:sz w:val="22"/>
          <w:szCs w:val="22"/>
        </w:rPr>
        <w:t xml:space="preserve">Microbial profiles of NCT samples were significantly structured by control type, technician identity, year, and season, reflecting complex batch effects. The 20 most abundant contaminant taxa spanned well-characterized environmental genera (e.g., </w:t>
      </w:r>
      <w:r>
        <w:rPr>
          <w:rFonts w:ascii="Arial" w:cs="Arial" w:eastAsia="Arial" w:hAnsi="Arial"/>
          <w:i/>
          <w:iCs/>
          <w:sz w:val="22"/>
          <w:szCs w:val="22"/>
        </w:rPr>
        <w:t xml:space="preserve">Sphingomonas</w:t>
      </w:r>
      <w:r>
        <w:rPr>
          <w:rFonts w:ascii="Arial" w:cs="Arial" w:eastAsia="Arial" w:hAnsi="Arial"/>
          <w:sz w:val="22"/>
          <w:szCs w:val="22"/>
        </w:rPr>
        <w:t xml:space="preserve">) and human commensals (e.g., </w:t>
      </w:r>
      <w:r>
        <w:rPr>
          <w:rFonts w:ascii="Arial" w:cs="Arial" w:eastAsia="Arial" w:hAnsi="Arial"/>
          <w:i/>
          <w:iCs/>
          <w:sz w:val="22"/>
          <w:szCs w:val="22"/>
        </w:rPr>
        <w:t xml:space="preserve">Veillonella parvula</w:t>
      </w:r>
      <w:r>
        <w:rPr>
          <w:rFonts w:ascii="Arial" w:cs="Arial" w:eastAsia="Arial" w:hAnsi="Arial"/>
          <w:sz w:val="22"/>
          <w:szCs w:val="22"/>
        </w:rPr>
        <w:t xml:space="preserve">). Decontamination benchmarking demonstrated that the Nj method consistently outperformed alternatives in both composite score and inter-replicate concordance. Application of Nj to 18 fresh-frozen PDAC samples substantially reduced contaminant burden while preserving putative tumor-associated signals. </w:t>
      </w:r>
    </w:p>
    <w:p>
      <w:pPr>
        <w:spacing w:before="0" w:after="120"/>
        <w:jc w:val="both"/>
      </w:pPr>
      <w:r>
        <w:rPr>
          <w:rFonts w:ascii="Arial" w:cs="Arial" w:eastAsia="Arial" w:hAnsi="Arial"/>
          <w:b/>
          <w:bCs/>
          <w:sz w:val="22"/>
          <w:szCs w:val="22"/>
        </w:rPr>
        <w:t xml:space="preserve">Conclusions: </w:t>
      </w:r>
      <w:r>
        <w:rPr>
          <w:rFonts w:ascii="Arial" w:cs="Arial" w:eastAsia="Arial" w:hAnsi="Arial"/>
          <w:sz w:val="22"/>
          <w:szCs w:val="22"/>
        </w:rPr>
        <w:t xml:space="preserve">This benchmarking framework, combining longitudinal NCT profiling with technical replication, enables principled assessment of decontamination performance in the absence of a ground truth. Our results support the adoption of the Nj decontamination pipeline for future intratumoral microbiome studies in PDAC and provide a generalizable quality-control strategy for low-biomass 16S sequencing studies.</w:t>
      </w:r>
    </w:p>
    <w:p>
      <w:pPr>
        <w:spacing w:before="80" w:after="400"/>
        <w:jc w:val="both"/>
      </w:pPr>
      <w:r>
        <w:rPr>
          <w:rFonts w:ascii="Arial" w:cs="Arial" w:eastAsia="Arial" w:hAnsi="Arial"/>
          <w:b/>
          <w:bCs/>
          <w:sz w:val="22"/>
          <w:szCs w:val="22"/>
        </w:rPr>
        <w:t xml:space="preserve">Keywords: </w:t>
      </w:r>
      <w:r>
        <w:rPr>
          <w:rFonts w:ascii="Arial" w:cs="Arial" w:eastAsia="Arial" w:hAnsi="Arial"/>
          <w:sz w:val="22"/>
          <w:szCs w:val="22"/>
        </w:rPr>
        <w:t xml:space="preserve">pancreatic ductal adenocarcinoma, tumor microbiome, decontamination, negative controls, 16S rRNA sequencing, benchmarking, Nejman pipeline</w:t>
      </w:r>
    </w:p>
    <w:p>
      <w:pPr>
        <w:spacing w:before="80" w:after="80"/>
      </w:pPr>
      <w:r>
        <w:t xml:space="preserve"/>
      </w:r>
    </w:p>
    <w:p>
      <w:pPr>
        <w:pStyle w:val="Heading1"/>
        <w:spacing w:before="360" w:after="120"/>
      </w:pPr>
      <w:r>
        <w:rPr>
          <w:rFonts w:ascii="Arial" w:cs="Arial" w:eastAsia="Arial" w:hAnsi="Arial"/>
          <w:b/>
          <w:bCs/>
          <w:color w:val="1A3A5C"/>
          <w:sz w:val="32"/>
          <w:szCs w:val="32"/>
        </w:rPr>
        <w:t xml:space="preserve">Introduction</w:t>
      </w:r>
    </w:p>
    <w:p>
      <w:pPr>
        <w:spacing w:before="0" w:after="120"/>
        <w:jc w:val="both"/>
      </w:pPr>
      <w:r>
        <w:rPr>
          <w:rFonts w:ascii="Arial" w:cs="Arial" w:eastAsia="Arial" w:hAnsi="Arial"/>
          <w:sz w:val="22"/>
          <w:szCs w:val="22"/>
        </w:rPr>
        <w:t xml:space="preserve">The intratumoral microbiome has emerged as a potentially important component of the tumor microenvironment, influencing immune evasion, drug metabolism, and clinical outcomes across multiple cancer types. In pancreatic ductal adenocarcinoma (PDAC), one of the most lethal malignancies, recent studies have reported the presence of distinct intracellular bacterial communities that may contribute to disease pathogenesis and immunosuppression.</w:t>
      </w:r>
    </w:p>
    <w:p>
      <w:pPr>
        <w:spacing w:before="0" w:after="120"/>
        <w:jc w:val="both"/>
      </w:pPr>
      <w:r>
        <w:rPr>
          <w:rFonts w:ascii="Arial" w:cs="Arial" w:eastAsia="Arial" w:hAnsi="Arial"/>
          <w:sz w:val="22"/>
          <w:szCs w:val="22"/>
        </w:rPr>
        <w:t xml:space="preserve">However, a fundamental challenge in tumor microbiome research is distinguishing genuine tumor-resident microorganisms from environmental contaminants introduced during sample collection, processing, and sequencing. Low-biomass specimens — such as FFPE tissue sections and fresh-frozen tumor biopsies — are particularly vulnerable to contamination, as trace microbial DNA from reagents, laboratory surfaces, and personnel can overwhelm endogenous signals. Prominent environmental taxa such as </w:t>
      </w:r>
      <w:r>
        <w:rPr>
          <w:rFonts w:ascii="Arial" w:cs="Arial" w:eastAsia="Arial" w:hAnsi="Arial"/>
          <w:i/>
          <w:iCs/>
          <w:sz w:val="22"/>
          <w:szCs w:val="22"/>
        </w:rPr>
        <w:t xml:space="preserve">Sphingomonas</w:t>
      </w:r>
      <w:r>
        <w:rPr>
          <w:rFonts w:ascii="Arial" w:cs="Arial" w:eastAsia="Arial" w:hAnsi="Arial"/>
          <w:sz w:val="22"/>
          <w:szCs w:val="22"/>
        </w:rPr>
        <w:t xml:space="preserve">, </w:t>
      </w:r>
      <w:r>
        <w:rPr>
          <w:rFonts w:ascii="Arial" w:cs="Arial" w:eastAsia="Arial" w:hAnsi="Arial"/>
          <w:i/>
          <w:iCs/>
          <w:sz w:val="22"/>
          <w:szCs w:val="22"/>
        </w:rPr>
        <w:t xml:space="preserve">Ralstonia</w:t>
      </w:r>
      <w:r>
        <w:rPr>
          <w:rFonts w:ascii="Arial" w:cs="Arial" w:eastAsia="Arial" w:hAnsi="Arial"/>
          <w:sz w:val="22"/>
          <w:szCs w:val="22"/>
        </w:rPr>
        <w:t xml:space="preserve">, and </w:t>
      </w:r>
      <w:r>
        <w:rPr>
          <w:rFonts w:ascii="Arial" w:cs="Arial" w:eastAsia="Arial" w:hAnsi="Arial"/>
          <w:i/>
          <w:iCs/>
          <w:sz w:val="22"/>
          <w:szCs w:val="22"/>
        </w:rPr>
        <w:t xml:space="preserve">Pseudomonas</w:t>
      </w:r>
      <w:r>
        <w:rPr>
          <w:rFonts w:ascii="Arial" w:cs="Arial" w:eastAsia="Arial" w:hAnsi="Arial"/>
          <w:sz w:val="22"/>
          <w:szCs w:val="22"/>
        </w:rPr>
        <w:t xml:space="preserve"> are routinely detected in negative controls and have been reported as dominant species in tumor microbiome studies that lack rigorous decontamination.</w:t>
      </w:r>
    </w:p>
    <w:p>
      <w:pPr>
        <w:spacing w:before="0" w:after="120"/>
        <w:jc w:val="both"/>
      </w:pPr>
      <w:r>
        <w:rPr>
          <w:rFonts w:ascii="Arial" w:cs="Arial" w:eastAsia="Arial" w:hAnsi="Arial"/>
          <w:sz w:val="22"/>
          <w:szCs w:val="22"/>
        </w:rPr>
        <w:t xml:space="preserve">Several computational decontamination approaches have been proposed to address this problem, including Decontam</w:t>
      </w:r>
      <w:r>
        <w:rPr>
          <w:rFonts w:ascii="Arial" w:cs="Arial" w:eastAsia="Arial" w:hAnsi="Arial"/>
          <w:sz w:val="18"/>
          <w:szCs w:val="18"/>
          <w:vertAlign w:val="superscript"/>
        </w:rPr>
        <w:t xml:space="preserve">1</w:t>
      </w:r>
      <w:r>
        <w:rPr>
          <w:rFonts w:ascii="Arial" w:cs="Arial" w:eastAsia="Arial" w:hAnsi="Arial"/>
          <w:sz w:val="22"/>
          <w:szCs w:val="22"/>
        </w:rPr>
        <w:t xml:space="preserve">, SCRuB</w:t>
      </w:r>
      <w:r>
        <w:rPr>
          <w:rFonts w:ascii="Arial" w:cs="Arial" w:eastAsia="Arial" w:hAnsi="Arial"/>
          <w:sz w:val="18"/>
          <w:szCs w:val="18"/>
          <w:vertAlign w:val="superscript"/>
        </w:rPr>
        <w:t xml:space="preserve">2</w:t>
      </w:r>
      <w:r>
        <w:rPr>
          <w:rFonts w:ascii="Arial" w:cs="Arial" w:eastAsia="Arial" w:hAnsi="Arial"/>
          <w:sz w:val="22"/>
          <w:szCs w:val="22"/>
        </w:rPr>
        <w:t xml:space="preserve">, and the strategy employed by Nejman </w:t>
      </w:r>
      <w:r>
        <w:rPr>
          <w:rFonts w:ascii="Arial" w:cs="Arial" w:eastAsia="Arial" w:hAnsi="Arial"/>
          <w:i/>
          <w:iCs/>
          <w:sz w:val="22"/>
          <w:szCs w:val="22"/>
        </w:rPr>
        <w:t xml:space="preserve">et al.</w:t>
      </w:r>
      <w:r>
        <w:rPr>
          <w:rFonts w:ascii="Arial" w:cs="Arial" w:eastAsia="Arial" w:hAnsi="Arial"/>
          <w:sz w:val="18"/>
          <w:szCs w:val="18"/>
          <w:vertAlign w:val="superscript"/>
        </w:rPr>
        <w:t xml:space="preserve">3</w:t>
      </w:r>
      <w:r>
        <w:rPr>
          <w:rFonts w:ascii="Arial" w:cs="Arial" w:eastAsia="Arial" w:hAnsi="Arial"/>
          <w:sz w:val="22"/>
          <w:szCs w:val="22"/>
        </w:rPr>
        <w:t xml:space="preserve"> (hereafter, Nj). These methods differ in their statistical assumptions, required inputs, and aggressiveness of taxon removal. Nevertheless, a systematic, empirical comparison of their performance in the context of PDAC tumor microbiome profiling has been lacking.</w:t>
      </w:r>
    </w:p>
    <w:p>
      <w:pPr>
        <w:spacing w:before="0" w:after="120"/>
        <w:jc w:val="both"/>
      </w:pPr>
      <w:r>
        <w:rPr>
          <w:rFonts w:ascii="Arial" w:cs="Arial" w:eastAsia="Arial" w:hAnsi="Arial"/>
          <w:sz w:val="22"/>
          <w:szCs w:val="22"/>
        </w:rPr>
        <w:t xml:space="preserve">Here, we present a benchmarking framework that leverages a longitudinal collection of negative control samples acquired across all major wet-lab processing steps, combined with technical replicates of PDAC tissue samples. We evaluate four decontamination strategies using a novel composite score — balancing taxon yield and purity relative to the NCT-derived contaminant profile — and validate findings using inter-replicate Aitchison distances. This work provides practical guidance for microbiome researchers seeking to generate reliable intratumoral microbial profiles from low-biomass clinical specimens.</w:t>
      </w:r>
    </w:p>
    <w:p>
      <w:pPr>
        <w:spacing w:before="80" w:after="80"/>
      </w:pPr>
      <w:r>
        <w:t xml:space="preserve"/>
      </w:r>
    </w:p>
    <w:p>
      <w:pPr>
        <w:pStyle w:val="Heading1"/>
        <w:spacing w:before="360" w:after="120"/>
      </w:pPr>
      <w:r>
        <w:rPr>
          <w:rFonts w:ascii="Arial" w:cs="Arial" w:eastAsia="Arial" w:hAnsi="Arial"/>
          <w:b/>
          <w:bCs/>
          <w:color w:val="1A3A5C"/>
          <w:sz w:val="32"/>
          <w:szCs w:val="32"/>
        </w:rPr>
        <w:t xml:space="preserve">Results</w:t>
      </w:r>
    </w:p>
    <w:p>
      <w:pPr>
        <w:pStyle w:val="Heading2"/>
        <w:spacing w:before="240" w:after="80"/>
      </w:pPr>
      <w:r>
        <w:rPr>
          <w:rFonts w:ascii="Arial" w:cs="Arial" w:eastAsia="Arial" w:hAnsi="Arial"/>
          <w:b/>
          <w:bCs/>
          <w:color w:val="2E5F8A"/>
          <w:sz w:val="26"/>
          <w:szCs w:val="26"/>
        </w:rPr>
        <w:t xml:space="preserve">1. Contamination Survey in the Laboratory</w:t>
      </w:r>
    </w:p>
    <w:p>
      <w:pPr>
        <w:pStyle w:val="Heading3"/>
        <w:spacing w:before="200" w:after="60"/>
      </w:pPr>
      <w:r>
        <w:rPr>
          <w:rFonts w:ascii="Arial" w:cs="Arial" w:eastAsia="Arial" w:hAnsi="Arial"/>
          <w:b/>
          <w:bCs/>
          <w:i/>
          <w:iCs/>
          <w:color w:val="2E5F8A"/>
          <w:sz w:val="24"/>
          <w:szCs w:val="24"/>
        </w:rPr>
        <w:t xml:space="preserve">1.1 Negative Control Sample Collection</w:t>
      </w:r>
    </w:p>
    <w:p>
      <w:pPr>
        <w:spacing w:before="0" w:after="120"/>
        <w:jc w:val="both"/>
      </w:pPr>
      <w:r>
        <w:rPr>
          <w:rFonts w:ascii="Arial" w:cs="Arial" w:eastAsia="Arial" w:hAnsi="Arial"/>
          <w:sz w:val="22"/>
          <w:szCs w:val="22"/>
        </w:rPr>
        <w:t xml:space="preserve">To comprehensively characterize the contaminant landscape, we collected negative control (NCT) samples at each stage of the wet-lab processing workflow (Fig. 1.1), including 93 paraffin controls, 133 buffer controls, 11 PCR controls, and 3 sequencing controls, yielding an initial pool of 6,128 taxa. Sequencing controls were excluded due to insufficient read depth (≤750 reads). Taxa with extremely low prevalence or abundance were removed, and samples were rarefied for normalization. After filtering, 203 NCT samples remained: 113 buffer controls, 84 paraffin controls, and 6 PCR controls, encompassing </w:t>
      </w:r>
      <w:r>
        <w:rPr>
          <w:rFonts w:ascii="Arial" w:cs="Arial" w:eastAsia="Arial" w:hAnsi="Arial"/>
          <w:b/>
          <w:bCs/>
          <w:sz w:val="22"/>
          <w:szCs w:val="22"/>
        </w:rPr>
        <w:t xml:space="preserve">1,775</w:t>
      </w:r>
      <w:r>
        <w:rPr>
          <w:rFonts w:ascii="Arial" w:cs="Arial" w:eastAsia="Arial" w:hAnsi="Arial"/>
          <w:sz w:val="22"/>
          <w:szCs w:val="22"/>
        </w:rPr>
        <w:t xml:space="preserve"> taxa after rarefaction and </w:t>
      </w:r>
      <w:r>
        <w:rPr>
          <w:rFonts w:ascii="Arial" w:cs="Arial" w:eastAsia="Arial" w:hAnsi="Arial"/>
          <w:b/>
          <w:bCs/>
          <w:sz w:val="22"/>
          <w:szCs w:val="22"/>
        </w:rPr>
        <w:t xml:space="preserve">2,305</w:t>
      </w:r>
      <w:r>
        <w:rPr>
          <w:rFonts w:ascii="Arial" w:cs="Arial" w:eastAsia="Arial" w:hAnsi="Arial"/>
          <w:sz w:val="22"/>
          <w:szCs w:val="22"/>
        </w:rPr>
        <w:t xml:space="preserve"> taxa prior to rarefaction. These controls were accumulated between 2021 and 2024, with a marked expansion of paraffin and buffer control types introduced in 2022 (Table 1). Relevant batch covariates — including processing technician, year, and season — were systematically recorded for downstream analysis.</w:t>
      </w:r>
    </w:p>
    <w:p>
      <w:pPr>
        <w:spacing w:before="80" w:after="80"/>
      </w:pPr>
      <w:r>
        <w:t xml:space="preserve"/>
      </w:r>
    </w:p>
    <w:p>
      <w:pPr>
        <w:spacing w:before="180" w:after="80"/>
      </w:pPr>
      <w:r>
        <w:rPr>
          <w:rFonts w:ascii="Arial" w:cs="Arial" w:eastAsia="Arial" w:hAnsi="Arial"/>
          <w:b/>
          <w:bCs/>
          <w:sz w:val="20"/>
          <w:szCs w:val="20"/>
        </w:rPr>
        <w:t xml:space="preserve">Table 1.</w:t>
      </w:r>
      <w:r>
        <w:rPr>
          <w:rFonts w:ascii="Arial" w:cs="Arial" w:eastAsia="Arial" w:hAnsi="Arial"/>
          <w:sz w:val="20"/>
          <w:szCs w:val="20"/>
        </w:rPr>
        <w:t xml:space="preserve"> Negative control samples collected across years, stratified by control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2E4057" w:sz="1"/>
              <w:left w:val="single" w:color="2E4057" w:sz="1"/>
              <w:bottom w:val="single" w:color="2E4057" w:sz="1"/>
              <w:right w:val="single" w:color="2E405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Sample Type</w:t>
            </w:r>
          </w:p>
        </w:tc>
        <w:tc>
          <w:tcPr>
            <w:tcW w:type="dxa" w:w="1755"/>
            <w:tcBorders>
              <w:top w:val="single" w:color="2E4057" w:sz="1"/>
              <w:left w:val="single" w:color="2E4057" w:sz="1"/>
              <w:bottom w:val="single" w:color="2E4057" w:sz="1"/>
              <w:right w:val="single" w:color="2E405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2021</w:t>
            </w:r>
          </w:p>
        </w:tc>
        <w:tc>
          <w:tcPr>
            <w:tcW w:type="dxa" w:w="1755"/>
            <w:tcBorders>
              <w:top w:val="single" w:color="2E4057" w:sz="1"/>
              <w:left w:val="single" w:color="2E4057" w:sz="1"/>
              <w:bottom w:val="single" w:color="2E4057" w:sz="1"/>
              <w:right w:val="single" w:color="2E405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2022</w:t>
            </w:r>
          </w:p>
        </w:tc>
        <w:tc>
          <w:tcPr>
            <w:tcW w:type="dxa" w:w="1755"/>
            <w:tcBorders>
              <w:top w:val="single" w:color="2E4057" w:sz="1"/>
              <w:left w:val="single" w:color="2E4057" w:sz="1"/>
              <w:bottom w:val="single" w:color="2E4057" w:sz="1"/>
              <w:right w:val="single" w:color="2E405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2023</w:t>
            </w:r>
          </w:p>
        </w:tc>
        <w:tc>
          <w:tcPr>
            <w:tcW w:type="dxa" w:w="1755"/>
            <w:tcBorders>
              <w:top w:val="single" w:color="2E4057" w:sz="1"/>
              <w:left w:val="single" w:color="2E4057" w:sz="1"/>
              <w:bottom w:val="single" w:color="2E4057" w:sz="1"/>
              <w:right w:val="single" w:color="2E4057"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2024</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bCs/>
                <w:sz w:val="20"/>
                <w:szCs w:val="20"/>
              </w:rPr>
              <w:t xml:space="preserve">Buffer</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Paraffin</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2340"/>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bCs/>
                <w:sz w:val="20"/>
                <w:szCs w:val="20"/>
              </w:rPr>
              <w:t xml:space="preserve">PCR</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755"/>
            <w:tcBorders>
              <w:top w:val="single" w:color="AAAAAA" w:sz="1"/>
              <w:left w:val="single" w:color="AAAAAA" w:sz="1"/>
              <w:bottom w:val="single" w:color="AAAAAA" w:sz="1"/>
              <w:right w:val="single" w:color="AAAAAA"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Total (post-filtering)</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755"/>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r>
    </w:tbl>
    <w:p>
      <w:pPr>
        <w:spacing w:before="80" w:after="80"/>
      </w:pPr>
      <w:r>
        <w:t xml:space="preserve"/>
      </w:r>
    </w:p>
    <w:p>
      <w:pPr>
        <w:pStyle w:val="Heading3"/>
        <w:spacing w:before="200" w:after="60"/>
      </w:pPr>
      <w:r>
        <w:rPr>
          <w:rFonts w:ascii="Arial" w:cs="Arial" w:eastAsia="Arial" w:hAnsi="Arial"/>
          <w:b/>
          <w:bCs/>
          <w:i/>
          <w:iCs/>
          <w:color w:val="2E5F8A"/>
          <w:sz w:val="24"/>
          <w:szCs w:val="24"/>
        </w:rPr>
        <w:t xml:space="preserve">1.2 Alpha and Beta Diversity of Negative Controls</w:t>
      </w:r>
    </w:p>
    <w:p>
      <w:pPr>
        <w:spacing w:before="0" w:after="120"/>
        <w:jc w:val="both"/>
      </w:pPr>
      <w:r>
        <w:rPr>
          <w:rFonts w:ascii="Arial" w:cs="Arial" w:eastAsia="Arial" w:hAnsi="Arial"/>
          <w:sz w:val="22"/>
          <w:szCs w:val="22"/>
        </w:rPr>
        <w:t xml:space="preserve">Significant differences in microbial diversity were observed across control types (Figs. 1.2, 1.3). Buffer controls exhibited significantly higher species richness and evenness compared to paraffin and PCR controls, as measured by observed species count, Shannon index, and inverse Simpson index. Analogous patterns were observed when stratifying by technician, year, and season (Supplementary Figures S1.2, S1.3), suggesting pervasive batch structure in the contaminant pool. Importantly, chi-square testing confirmed non-independence among batch variables (</w:t>
      </w:r>
      <w:r>
        <w:rPr>
          <w:rFonts w:ascii="Arial" w:cs="Arial" w:eastAsia="Arial" w:hAnsi="Arial"/>
          <w:i/>
          <w:iCs/>
          <w:sz w:val="22"/>
          <w:szCs w:val="22"/>
        </w:rPr>
        <w:t xml:space="preserve">p</w:t>
      </w:r>
      <w:r>
        <w:rPr>
          <w:rFonts w:ascii="Arial" w:cs="Arial" w:eastAsia="Arial" w:hAnsi="Arial"/>
          <w:sz w:val="22"/>
          <w:szCs w:val="22"/>
        </w:rPr>
        <w:t xml:space="preserve"> &lt; 0.05; Supplementary Table S1), precluding simple attribution of diversity differences to control type alone.</w:t>
      </w:r>
    </w:p>
    <w:p>
      <w:pPr>
        <w:spacing w:before="120" w:after="180"/>
      </w:pPr>
      <w:r>
        <w:rPr>
          <w:rFonts w:ascii="Arial" w:cs="Arial" w:eastAsia="Arial" w:hAnsi="Arial"/>
          <w:b/>
          <w:bCs/>
          <w:sz w:val="20"/>
          <w:szCs w:val="20"/>
        </w:rPr>
        <w:t xml:space="preserve">Figure 1.1.</w:t>
      </w:r>
      <w:r>
        <w:rPr>
          <w:rFonts w:ascii="Arial" w:cs="Arial" w:eastAsia="Arial" w:hAnsi="Arial"/>
          <w:i/>
          <w:iCs/>
          <w:sz w:val="20"/>
          <w:szCs w:val="20"/>
        </w:rPr>
        <w:t xml:space="preserve"> Schematic of negative control sample collection at each stage of the wet-lab processing pipeline (top). Summary of statistically significant batch effects associated with negative control samples (bottom).</w:t>
      </w:r>
    </w:p>
    <w:p>
      <w:pPr>
        <w:spacing w:before="120" w:after="180"/>
      </w:pPr>
      <w:r>
        <w:rPr>
          <w:rFonts w:ascii="Arial" w:cs="Arial" w:eastAsia="Arial" w:hAnsi="Arial"/>
          <w:b/>
          <w:bCs/>
          <w:sz w:val="20"/>
          <w:szCs w:val="20"/>
        </w:rPr>
        <w:t xml:space="preserve">Figure 1.2.</w:t>
      </w:r>
      <w:r>
        <w:rPr>
          <w:rFonts w:ascii="Arial" w:cs="Arial" w:eastAsia="Arial" w:hAnsi="Arial"/>
          <w:i/>
          <w:iCs/>
          <w:sz w:val="20"/>
          <w:szCs w:val="20"/>
        </w:rPr>
        <w:t xml:space="preserve"> (A–C) Alpha diversity of NCT samples by control type: observed species richness (A), Shannon index (B), and inverse Simpson index (C). Statistically significant pairwise differences are indicated.</w:t>
      </w:r>
    </w:p>
    <w:p>
      <w:pPr>
        <w:spacing w:before="120" w:after="180"/>
      </w:pPr>
      <w:r>
        <w:rPr>
          <w:rFonts w:ascii="Arial" w:cs="Arial" w:eastAsia="Arial" w:hAnsi="Arial"/>
          <w:b/>
          <w:bCs/>
          <w:sz w:val="20"/>
          <w:szCs w:val="20"/>
        </w:rPr>
        <w:t xml:space="preserve">Figure 1.3.</w:t>
      </w:r>
      <w:r>
        <w:rPr>
          <w:rFonts w:ascii="Arial" w:cs="Arial" w:eastAsia="Arial" w:hAnsi="Arial"/>
          <w:i/>
          <w:iCs/>
          <w:sz w:val="20"/>
          <w:szCs w:val="20"/>
        </w:rPr>
        <w:t xml:space="preserve"> (A–B) Beta diversity ordination of NCT samples using rarefaction (A) and Wrench normalization (B). Group centroids and PERMANOVA p-values are shown.</w:t>
      </w:r>
    </w:p>
    <w:p>
      <w:pPr>
        <w:pStyle w:val="Heading3"/>
        <w:spacing w:before="200" w:after="60"/>
      </w:pPr>
      <w:r>
        <w:rPr>
          <w:rFonts w:ascii="Arial" w:cs="Arial" w:eastAsia="Arial" w:hAnsi="Arial"/>
          <w:b/>
          <w:bCs/>
          <w:i/>
          <w:iCs/>
          <w:color w:val="2E5F8A"/>
          <w:sz w:val="24"/>
          <w:szCs w:val="24"/>
        </w:rPr>
        <w:t xml:space="preserve">1.3 Microbial Composition of Negative Control Samples</w:t>
      </w:r>
    </w:p>
    <w:p>
      <w:pPr>
        <w:spacing w:before="0" w:after="120"/>
        <w:jc w:val="both"/>
      </w:pPr>
      <w:r>
        <w:rPr>
          <w:rFonts w:ascii="Arial" w:cs="Arial" w:eastAsia="Arial" w:hAnsi="Arial"/>
          <w:sz w:val="22"/>
          <w:szCs w:val="22"/>
        </w:rPr>
        <w:t xml:space="preserve">The 20 most abundant taxa identified across all NCT samples comprised a mixture of well-characterized environmental microbes and human commensals (Figs. 1.4, 1.5). </w:t>
      </w:r>
      <w:r>
        <w:rPr>
          <w:rFonts w:ascii="Arial" w:cs="Arial" w:eastAsia="Arial" w:hAnsi="Arial"/>
          <w:i/>
          <w:iCs/>
          <w:sz w:val="22"/>
          <w:szCs w:val="22"/>
        </w:rPr>
        <w:t xml:space="preserve">Sphingomonas</w:t>
      </w:r>
      <w:r>
        <w:rPr>
          <w:rFonts w:ascii="Arial" w:cs="Arial" w:eastAsia="Arial" w:hAnsi="Arial"/>
          <w:sz w:val="22"/>
          <w:szCs w:val="22"/>
        </w:rPr>
        <w:t xml:space="preserve"> — a ubiquitous environmental genus frequently detected in hospital and laboratory settings — was among the most abundant taxa in nearly all negative controls. In contrast, the human commensal </w:t>
      </w:r>
      <w:r>
        <w:rPr>
          <w:rFonts w:ascii="Arial" w:cs="Arial" w:eastAsia="Arial" w:hAnsi="Arial"/>
          <w:i/>
          <w:iCs/>
          <w:sz w:val="22"/>
          <w:szCs w:val="22"/>
        </w:rPr>
        <w:t xml:space="preserve">Veillonella parvula</w:t>
      </w:r>
      <w:r>
        <w:rPr>
          <w:rFonts w:ascii="Arial" w:cs="Arial" w:eastAsia="Arial" w:hAnsi="Arial"/>
          <w:sz w:val="22"/>
          <w:szCs w:val="22"/>
        </w:rPr>
        <w:t xml:space="preserve">, previously reported in PDAC-associated microbiome studies</w:t>
      </w:r>
      <w:r>
        <w:rPr>
          <w:rFonts w:ascii="Arial" w:cs="Arial" w:eastAsia="Arial" w:hAnsi="Arial"/>
          <w:sz w:val="18"/>
          <w:szCs w:val="18"/>
          <w:vertAlign w:val="superscript"/>
        </w:rPr>
        <w:t xml:space="preserve">4</w:t>
      </w:r>
      <w:r>
        <w:rPr>
          <w:rFonts w:ascii="Arial" w:cs="Arial" w:eastAsia="Arial" w:hAnsi="Arial"/>
          <w:sz w:val="22"/>
          <w:szCs w:val="22"/>
        </w:rPr>
        <w:t xml:space="preserve">, was present in approximately 60% of NCT samples but at considerably lower abundance (Fig. 1.5). This coexistence of environmental and human-associated taxa in negative controls underscores the need for nuanced decontamination strategies — indiscriminate removal of all NCT-associated taxa risks eliminating clinically relevant tumor microbiome signals.</w:t>
      </w:r>
    </w:p>
    <w:p>
      <w:pPr>
        <w:spacing w:before="0" w:after="120"/>
        <w:jc w:val="both"/>
      </w:pPr>
      <w:r>
        <w:rPr>
          <w:rFonts w:ascii="Arial" w:cs="Arial" w:eastAsia="Arial" w:hAnsi="Arial"/>
          <w:sz w:val="22"/>
          <w:szCs w:val="22"/>
        </w:rPr>
        <w:t xml:space="preserve">Following correction for batch effects, differential abundance analysis (DAA) among control types identified several taxa specifically enriched in paraffin controls (taxa to be named upon finalization of analysis), pointing to contamination sources specific to paraffin embedding procedures.</w:t>
      </w:r>
    </w:p>
    <w:p>
      <w:pPr>
        <w:spacing w:before="120" w:after="180"/>
      </w:pPr>
      <w:r>
        <w:rPr>
          <w:rFonts w:ascii="Arial" w:cs="Arial" w:eastAsia="Arial" w:hAnsi="Arial"/>
          <w:b/>
          <w:bCs/>
          <w:sz w:val="20"/>
          <w:szCs w:val="20"/>
        </w:rPr>
        <w:t xml:space="preserve">Figure 1.4.</w:t>
      </w:r>
      <w:r>
        <w:rPr>
          <w:rFonts w:ascii="Arial" w:cs="Arial" w:eastAsia="Arial" w:hAnsi="Arial"/>
          <w:i/>
          <w:iCs/>
          <w:sz w:val="20"/>
          <w:szCs w:val="20"/>
        </w:rPr>
        <w:t xml:space="preserve"> Heatmap of the top 20 most abundant taxa in NCT samples at species (left) and genus (right) level. Bottom panels show barplots of the top 20 genera ordered by abundance and prevalence, respectively.</w:t>
      </w:r>
    </w:p>
    <w:p>
      <w:pPr>
        <w:spacing w:before="120" w:after="180"/>
      </w:pPr>
      <w:r>
        <w:rPr>
          <w:rFonts w:ascii="Arial" w:cs="Arial" w:eastAsia="Arial" w:hAnsi="Arial"/>
          <w:b/>
          <w:bCs/>
          <w:sz w:val="20"/>
          <w:szCs w:val="20"/>
        </w:rPr>
        <w:t xml:space="preserve">Figure 1.5.</w:t>
      </w:r>
      <w:r>
        <w:rPr>
          <w:rFonts w:ascii="Arial" w:cs="Arial" w:eastAsia="Arial" w:hAnsi="Arial"/>
          <w:i/>
          <w:iCs/>
          <w:sz w:val="20"/>
          <w:szCs w:val="20"/>
        </w:rPr>
        <w:t xml:space="preserve"> Stacked barplot of bacterial composition in negative control samples, stratified by control type.</w:t>
      </w:r>
    </w:p>
    <w:p>
      <w:pPr>
        <w:spacing w:before="120" w:after="180"/>
      </w:pPr>
      <w:r>
        <w:rPr>
          <w:rFonts w:ascii="Arial" w:cs="Arial" w:eastAsia="Arial" w:hAnsi="Arial"/>
          <w:b/>
          <w:bCs/>
          <w:sz w:val="20"/>
          <w:szCs w:val="20"/>
        </w:rPr>
        <w:t xml:space="preserve">Figure 1.6.</w:t>
      </w:r>
      <w:r>
        <w:rPr>
          <w:rFonts w:ascii="Arial" w:cs="Arial" w:eastAsia="Arial" w:hAnsi="Arial"/>
          <w:i/>
          <w:iCs/>
          <w:sz w:val="20"/>
          <w:szCs w:val="20"/>
        </w:rPr>
        <w:t xml:space="preserve"> [Placeholder] Differential abundance between control types after batch correction.</w:t>
      </w:r>
    </w:p>
    <w:p>
      <w:pPr>
        <w:spacing w:before="80" w:after="80"/>
      </w:pPr>
      <w:r>
        <w:t xml:space="preserve"/>
      </w:r>
    </w:p>
    <w:p>
      <w:pPr>
        <w:pStyle w:val="Heading2"/>
        <w:spacing w:before="240" w:after="80"/>
      </w:pPr>
      <w:r>
        <w:rPr>
          <w:rFonts w:ascii="Arial" w:cs="Arial" w:eastAsia="Arial" w:hAnsi="Arial"/>
          <w:b/>
          <w:bCs/>
          <w:color w:val="2E5F8A"/>
          <w:sz w:val="26"/>
          <w:szCs w:val="26"/>
        </w:rPr>
        <w:t xml:space="preserve">2. Influence of Environmental Conditions on Contamination</w:t>
      </w:r>
    </w:p>
    <w:p>
      <w:pPr>
        <w:spacing w:before="0" w:after="120"/>
        <w:jc w:val="both"/>
      </w:pPr>
      <w:r>
        <w:rPr>
          <w:rFonts w:ascii="Arial" w:cs="Arial" w:eastAsia="Arial" w:hAnsi="Arial"/>
          <w:sz w:val="22"/>
          <w:szCs w:val="22"/>
        </w:rPr>
        <w:t xml:space="preserve">To investigate the origin of human commensal taxa in NCT samples, we designed a controlled experiment in which two technicians processed negative control samples under two environmental conditions: a standard bench environment and a laminar flow hood (Fig. XXX; see Materials and Methods for full protocol). Alpha diversity analysis revealed no significant difference attributable to environmental condition; however, a clear distinction between technicians was observed (Fig. 5). Beta diversity analysis similarly demonstrated significant clustering by technician identity (PERMANOVA </w:t>
      </w:r>
      <w:r>
        <w:rPr>
          <w:rFonts w:ascii="Arial" w:cs="Arial" w:eastAsia="Arial" w:hAnsi="Arial"/>
          <w:i/>
          <w:iCs/>
          <w:sz w:val="22"/>
          <w:szCs w:val="22"/>
        </w:rPr>
        <w:t xml:space="preserve">p</w:t>
      </w:r>
      <w:r>
        <w:rPr>
          <w:rFonts w:ascii="Arial" w:cs="Arial" w:eastAsia="Arial" w:hAnsi="Arial"/>
          <w:sz w:val="22"/>
          <w:szCs w:val="22"/>
        </w:rPr>
        <w:t xml:space="preserve"> = XXX), with no significant effect of environmental setting when technician was accounted for (</w:t>
      </w:r>
      <w:r>
        <w:rPr>
          <w:rFonts w:ascii="Arial" w:cs="Arial" w:eastAsia="Arial" w:hAnsi="Arial"/>
          <w:i/>
          <w:iCs/>
          <w:sz w:val="22"/>
          <w:szCs w:val="22"/>
        </w:rPr>
        <w:t xml:space="preserve">p</w:t>
      </w:r>
      <w:r>
        <w:rPr>
          <w:rFonts w:ascii="Arial" w:cs="Arial" w:eastAsia="Arial" w:hAnsi="Arial"/>
          <w:sz w:val="22"/>
          <w:szCs w:val="22"/>
        </w:rPr>
        <w:t xml:space="preserve"> = XXX; Fig. 6). Notably, after adjusting for technician, the bacterial profiles of clean (hood) and standard (bench) conditions diverged significantly (</w:t>
      </w:r>
      <w:r>
        <w:rPr>
          <w:rFonts w:ascii="Arial" w:cs="Arial" w:eastAsia="Arial" w:hAnsi="Arial"/>
          <w:i/>
          <w:iCs/>
          <w:sz w:val="22"/>
          <w:szCs w:val="22"/>
        </w:rPr>
        <w:t xml:space="preserve">p</w:t>
      </w:r>
      <w:r>
        <w:rPr>
          <w:rFonts w:ascii="Arial" w:cs="Arial" w:eastAsia="Arial" w:hAnsi="Arial"/>
          <w:sz w:val="22"/>
          <w:szCs w:val="22"/>
        </w:rPr>
        <w:t xml:space="preserve"> = XXX), indicating that while technician-derived contamination is dominant, environmental setting contributes an independent, detectable signal.</w:t>
      </w:r>
    </w:p>
    <w:p>
      <w:pPr>
        <w:spacing w:before="0" w:after="120"/>
        <w:jc w:val="both"/>
      </w:pPr>
      <w:r>
        <w:rPr>
          <w:rFonts w:ascii="Arial" w:cs="Arial" w:eastAsia="Arial" w:hAnsi="Arial"/>
          <w:sz w:val="22"/>
          <w:szCs w:val="22"/>
        </w:rPr>
        <w:t xml:space="preserve">Given the low read counts and high sparsity of NCT data, DAA between conditions was performed using ANCOM-BC2</w:t>
      </w:r>
      <w:r>
        <w:rPr>
          <w:rFonts w:ascii="Arial" w:cs="Arial" w:eastAsia="Arial" w:hAnsi="Arial"/>
          <w:sz w:val="18"/>
          <w:szCs w:val="18"/>
          <w:vertAlign w:val="superscript"/>
        </w:rPr>
        <w:t xml:space="preserve">5</w:t>
      </w:r>
      <w:r>
        <w:rPr>
          <w:rFonts w:ascii="Arial" w:cs="Arial" w:eastAsia="Arial" w:hAnsi="Arial"/>
          <w:sz w:val="22"/>
          <w:szCs w:val="22"/>
        </w:rPr>
        <w:t xml:space="preserve"> and ALDEx2</w:t>
      </w:r>
      <w:r>
        <w:rPr>
          <w:rFonts w:ascii="Arial" w:cs="Arial" w:eastAsia="Arial" w:hAnsi="Arial"/>
          <w:sz w:val="18"/>
          <w:szCs w:val="18"/>
          <w:vertAlign w:val="superscript"/>
        </w:rPr>
        <w:t xml:space="preserve">6</w:t>
      </w:r>
      <w:r>
        <w:rPr>
          <w:rFonts w:ascii="Arial" w:cs="Arial" w:eastAsia="Arial" w:hAnsi="Arial"/>
          <w:sz w:val="22"/>
          <w:szCs w:val="22"/>
        </w:rPr>
        <w:t xml:space="preserve"> with relaxed significance thresholds (ANCOM-BC2: </w:t>
      </w:r>
      <w:r>
        <w:rPr>
          <w:rFonts w:ascii="Arial" w:cs="Arial" w:eastAsia="Arial" w:hAnsi="Arial"/>
          <w:i/>
          <w:iCs/>
          <w:sz w:val="22"/>
          <w:szCs w:val="22"/>
        </w:rPr>
        <w:t xml:space="preserve">q</w:t>
      </w:r>
      <w:r>
        <w:rPr>
          <w:rFonts w:ascii="Arial" w:cs="Arial" w:eastAsia="Arial" w:hAnsi="Arial"/>
          <w:sz w:val="22"/>
          <w:szCs w:val="22"/>
        </w:rPr>
        <w:t xml:space="preserve"> &lt; 0.1; ALDEx2: </w:t>
      </w:r>
      <w:r>
        <w:rPr>
          <w:rFonts w:ascii="Arial" w:cs="Arial" w:eastAsia="Arial" w:hAnsi="Arial"/>
          <w:i/>
          <w:iCs/>
          <w:sz w:val="22"/>
          <w:szCs w:val="22"/>
        </w:rPr>
        <w:t xml:space="preserve">p</w:t>
      </w:r>
      <w:r>
        <w:rPr>
          <w:rFonts w:ascii="Arial" w:cs="Arial" w:eastAsia="Arial" w:hAnsi="Arial"/>
          <w:sz w:val="22"/>
          <w:szCs w:val="22"/>
        </w:rPr>
        <w:t xml:space="preserve"> &lt; 0.2). These analyses identified a set of taxa consistently enriched under bench conditions, consistent with human skin and oral commensals introduced during open-bench handling (Fig. 7).</w:t>
      </w:r>
    </w:p>
    <w:p>
      <w:pPr>
        <w:spacing w:before="120" w:after="180"/>
      </w:pPr>
      <w:r>
        <w:rPr>
          <w:rFonts w:ascii="Arial" w:cs="Arial" w:eastAsia="Arial" w:hAnsi="Arial"/>
          <w:b/>
          <w:bCs/>
          <w:sz w:val="20"/>
          <w:szCs w:val="20"/>
        </w:rPr>
        <w:t xml:space="preserve">Figure 5.</w:t>
      </w:r>
      <w:r>
        <w:rPr>
          <w:rFonts w:ascii="Arial" w:cs="Arial" w:eastAsia="Arial" w:hAnsi="Arial"/>
          <w:i/>
          <w:iCs/>
          <w:sz w:val="20"/>
          <w:szCs w:val="20"/>
        </w:rPr>
        <w:t xml:space="preserve"> Alpha diversity of NCT samples stratified by environmental condition (left) and technician identity (right).</w:t>
      </w:r>
    </w:p>
    <w:p>
      <w:pPr>
        <w:spacing w:before="120" w:after="180"/>
      </w:pPr>
      <w:r>
        <w:rPr>
          <w:rFonts w:ascii="Arial" w:cs="Arial" w:eastAsia="Arial" w:hAnsi="Arial"/>
          <w:b/>
          <w:bCs/>
          <w:sz w:val="20"/>
          <w:szCs w:val="20"/>
        </w:rPr>
        <w:t xml:space="preserve">Figure 6.</w:t>
      </w:r>
      <w:r>
        <w:rPr>
          <w:rFonts w:ascii="Arial" w:cs="Arial" w:eastAsia="Arial" w:hAnsi="Arial"/>
          <w:i/>
          <w:iCs/>
          <w:sz w:val="20"/>
          <w:szCs w:val="20"/>
        </w:rPr>
        <w:t xml:space="preserve"> Beta diversity ordination of NCT samples, clustered by environmental condition (left) and technician identity (right), with corresponding PERMANOVA p-values.</w:t>
      </w:r>
    </w:p>
    <w:p>
      <w:pPr>
        <w:spacing w:before="120" w:after="180"/>
      </w:pPr>
      <w:r>
        <w:rPr>
          <w:rFonts w:ascii="Arial" w:cs="Arial" w:eastAsia="Arial" w:hAnsi="Arial"/>
          <w:b/>
          <w:bCs/>
          <w:sz w:val="20"/>
          <w:szCs w:val="20"/>
        </w:rPr>
        <w:t xml:space="preserve">Figure 7.</w:t>
      </w:r>
      <w:r>
        <w:rPr>
          <w:rFonts w:ascii="Arial" w:cs="Arial" w:eastAsia="Arial" w:hAnsi="Arial"/>
          <w:i/>
          <w:iCs/>
          <w:sz w:val="20"/>
          <w:szCs w:val="20"/>
        </w:rPr>
        <w:t xml:space="preserve"> Differential abundance between standard bench and laminar flow hood conditions, estimated by ANCOM-BC2 (left) and ALDEx2 (right).</w:t>
      </w:r>
    </w:p>
    <w:p>
      <w:pPr>
        <w:spacing w:before="80" w:after="80"/>
      </w:pPr>
      <w:r>
        <w:t xml:space="preserve"/>
      </w:r>
    </w:p>
    <w:p>
      <w:pPr>
        <w:pStyle w:val="Heading2"/>
        <w:spacing w:before="240" w:after="80"/>
      </w:pPr>
      <w:r>
        <w:rPr>
          <w:rFonts w:ascii="Arial" w:cs="Arial" w:eastAsia="Arial" w:hAnsi="Arial"/>
          <w:b/>
          <w:bCs/>
          <w:color w:val="2E5F8A"/>
          <w:sz w:val="26"/>
          <w:szCs w:val="26"/>
        </w:rPr>
        <w:t xml:space="preserve">3. Benchmarking of Decontamination Methods</w:t>
      </w:r>
    </w:p>
    <w:p>
      <w:pPr>
        <w:pStyle w:val="Heading3"/>
        <w:spacing w:before="200" w:after="60"/>
      </w:pPr>
      <w:r>
        <w:rPr>
          <w:rFonts w:ascii="Arial" w:cs="Arial" w:eastAsia="Arial" w:hAnsi="Arial"/>
          <w:b/>
          <w:bCs/>
          <w:i/>
          <w:iCs/>
          <w:color w:val="2E5F8A"/>
          <w:sz w:val="24"/>
          <w:szCs w:val="24"/>
        </w:rPr>
        <w:t xml:space="preserve">3.1 Assessment Using Longitudinal NCT Survey</w:t>
      </w:r>
    </w:p>
    <w:p>
      <w:pPr>
        <w:spacing w:before="0" w:after="120"/>
        <w:jc w:val="both"/>
      </w:pPr>
      <w:r>
        <w:rPr>
          <w:rFonts w:ascii="Arial" w:cs="Arial" w:eastAsia="Arial" w:hAnsi="Arial"/>
          <w:sz w:val="22"/>
          <w:szCs w:val="22"/>
        </w:rPr>
        <w:t xml:space="preserve">We applied four decontamination strategies — Restrictive filtering, Decontam, SCRuB, and Nj — to the 16S amplicon profiles of 18 fresh-frozen PDAC samples, generating four decontaminated abundance tables alongside the unprocessed raw data (retained as a baseline).</w:t>
      </w:r>
    </w:p>
    <w:p>
      <w:pPr>
        <w:spacing w:before="0" w:after="120"/>
        <w:jc w:val="both"/>
      </w:pPr>
      <w:r>
        <w:rPr>
          <w:rFonts w:ascii="Arial" w:cs="Arial" w:eastAsia="Arial" w:hAnsi="Arial"/>
          <w:sz w:val="22"/>
          <w:szCs w:val="22"/>
        </w:rPr>
        <w:t xml:space="preserve">In the absence of a ground truth, we leveraged the longitudinally derived contaminant profile (Section 1) as a reference for evaluation. We defined a composite score comprising two complementary components: </w:t>
      </w:r>
      <w:r>
        <w:rPr>
          <w:rFonts w:ascii="Arial" w:cs="Arial" w:eastAsia="Arial" w:hAnsi="Arial"/>
          <w:b/>
          <w:bCs/>
          <w:sz w:val="22"/>
          <w:szCs w:val="22"/>
        </w:rPr>
        <w:t xml:space="preserve">yield</w:t>
      </w:r>
      <w:r>
        <w:rPr>
          <w:rFonts w:ascii="Arial" w:cs="Arial" w:eastAsia="Arial" w:hAnsi="Arial"/>
          <w:sz w:val="22"/>
          <w:szCs w:val="22"/>
        </w:rPr>
        <w:t xml:space="preserve"> (the proportion of putative significant taxa absent from the NCT list) and </w:t>
      </w:r>
      <w:r>
        <w:rPr>
          <w:rFonts w:ascii="Arial" w:cs="Arial" w:eastAsia="Arial" w:hAnsi="Arial"/>
          <w:b/>
          <w:bCs/>
          <w:sz w:val="22"/>
          <w:szCs w:val="22"/>
        </w:rPr>
        <w:t xml:space="preserve">purity</w:t>
      </w:r>
      <w:r>
        <w:rPr>
          <w:rFonts w:ascii="Arial" w:cs="Arial" w:eastAsia="Arial" w:hAnsi="Arial"/>
          <w:sz w:val="22"/>
          <w:szCs w:val="22"/>
        </w:rPr>
        <w:t xml:space="preserve"> (the proportion of NCT-absent taxa among all putative significant taxa). The composite score — the product of yield and purity — simultaneously rewards methods that exclude contaminant taxa and penalizes excessive removal of true taxa. Scores were computed per sample, and methods were compared using a linear mixed model to account for sample-level random effects. The Nj method achieved the highest composite score, significantly outperforming all alternatives (Fig. XXX). Untreated raw data scored lowest, confirming heavy contamination burden in the unprocessed data.</w:t>
      </w:r>
    </w:p>
    <w:p>
      <w:pPr>
        <w:pStyle w:val="Heading3"/>
        <w:spacing w:before="200" w:after="60"/>
      </w:pPr>
      <w:r>
        <w:rPr>
          <w:rFonts w:ascii="Arial" w:cs="Arial" w:eastAsia="Arial" w:hAnsi="Arial"/>
          <w:b/>
          <w:bCs/>
          <w:i/>
          <w:iCs/>
          <w:color w:val="2E5F8A"/>
          <w:sz w:val="24"/>
          <w:szCs w:val="24"/>
        </w:rPr>
        <w:t xml:space="preserve">3.2 Validation Using Technical Replicates</w:t>
      </w:r>
    </w:p>
    <w:p>
      <w:pPr>
        <w:spacing w:before="0" w:after="120"/>
        <w:jc w:val="both"/>
      </w:pPr>
      <w:r>
        <w:rPr>
          <w:rFonts w:ascii="Arial" w:cs="Arial" w:eastAsia="Arial" w:hAnsi="Arial"/>
          <w:sz w:val="22"/>
          <w:szCs w:val="22"/>
        </w:rPr>
        <w:t xml:space="preserve">To provide an orthogonal validation, we re-sequenced 10 PDAC fresh-frozen samples with the highest read counts as technical replicates. Our underlying assumption was that decontaminated profiles, freed from stochastic contaminant variation, should exhibit greater concordance between replicates from the same tumor than raw profiles.</w:t>
      </w:r>
    </w:p>
    <w:p>
      <w:pPr>
        <w:spacing w:before="0" w:after="120"/>
        <w:jc w:val="both"/>
      </w:pPr>
      <w:r>
        <w:rPr>
          <w:rFonts w:ascii="Arial" w:cs="Arial" w:eastAsia="Arial" w:hAnsi="Arial"/>
          <w:sz w:val="22"/>
          <w:szCs w:val="22"/>
        </w:rPr>
        <w:t xml:space="preserve">Inter-replicate dissimilarity was quantified using Aitchison distance, with pairwise comparisons assessed by Wilcoxon signed-rank test. As shown in Fig. XXX, the Nj method yielded the smallest inter-replicate distances, indicating superior within-sample consistency. Compositional overlap between replicas — measured as the fraction of shared taxa out of total detected taxa — was also highest for Nj (Table XXX). These findings were robust to sensitivity analyses excluding rare taxa and at the genus rank level (Supplementary Materials).</w:t>
      </w:r>
    </w:p>
    <w:p>
      <w:pPr>
        <w:spacing w:before="80" w:after="80"/>
      </w:pPr>
      <w:r>
        <w:t xml:space="preserve"/>
      </w:r>
    </w:p>
    <w:p>
      <w:pPr>
        <w:pStyle w:val="Heading2"/>
        <w:spacing w:before="240" w:after="80"/>
      </w:pPr>
      <w:r>
        <w:rPr>
          <w:rFonts w:ascii="Arial" w:cs="Arial" w:eastAsia="Arial" w:hAnsi="Arial"/>
          <w:b/>
          <w:bCs/>
          <w:color w:val="2E5F8A"/>
          <w:sz w:val="26"/>
          <w:szCs w:val="26"/>
        </w:rPr>
        <w:t xml:space="preserve">4. Intratumoral Bacterial Profile of PDAC Fresh-Frozen Samples</w:t>
      </w:r>
    </w:p>
    <w:p>
      <w:pPr>
        <w:spacing w:before="0" w:after="120"/>
        <w:jc w:val="both"/>
      </w:pPr>
      <w:r>
        <w:rPr>
          <w:rFonts w:ascii="Arial" w:cs="Arial" w:eastAsia="Arial" w:hAnsi="Arial"/>
          <w:sz w:val="22"/>
          <w:szCs w:val="22"/>
        </w:rPr>
        <w:t xml:space="preserve">We applied all decontamination strategies to characterize the intratumoral bacterial community of the 18 PDAC fresh-frozen samples. In the raw, unprocessed data, samples were dominated by environmental contaminants: </w:t>
      </w:r>
      <w:r>
        <w:rPr>
          <w:rFonts w:ascii="Arial" w:cs="Arial" w:eastAsia="Arial" w:hAnsi="Arial"/>
          <w:i/>
          <w:iCs/>
          <w:sz w:val="22"/>
          <w:szCs w:val="22"/>
        </w:rPr>
        <w:t xml:space="preserve">Sphingomonas</w:t>
      </w:r>
      <w:r>
        <w:rPr>
          <w:rFonts w:ascii="Arial" w:cs="Arial" w:eastAsia="Arial" w:hAnsi="Arial"/>
          <w:sz w:val="22"/>
          <w:szCs w:val="22"/>
        </w:rPr>
        <w:t xml:space="preserve"> predominated in replicate 1 of several samples, while </w:t>
      </w:r>
      <w:r>
        <w:rPr>
          <w:rFonts w:ascii="Arial" w:cs="Arial" w:eastAsia="Arial" w:hAnsi="Arial"/>
          <w:i/>
          <w:iCs/>
          <w:sz w:val="22"/>
          <w:szCs w:val="22"/>
        </w:rPr>
        <w:t xml:space="preserve">Caldibacillus</w:t>
      </w:r>
      <w:r>
        <w:rPr>
          <w:rFonts w:ascii="Arial" w:cs="Arial" w:eastAsia="Arial" w:hAnsi="Arial"/>
          <w:sz w:val="22"/>
          <w:szCs w:val="22"/>
        </w:rPr>
        <w:t xml:space="preserve"> was prominent in replicate 2 of others (Fig. XXX). These taxa were largely eliminated following decontamination.</w:t>
      </w:r>
    </w:p>
    <w:p>
      <w:pPr>
        <w:spacing w:before="0" w:after="120"/>
        <w:jc w:val="both"/>
      </w:pPr>
      <w:r>
        <w:rPr>
          <w:rFonts w:ascii="Arial" w:cs="Arial" w:eastAsia="Arial" w:hAnsi="Arial"/>
          <w:sz w:val="22"/>
          <w:szCs w:val="22"/>
        </w:rPr>
        <w:t xml:space="preserve">Despite rigorous decontamination, the bacterial profiles of technical replicates from the same tumor were not identical, consistent with the known spatial heterogeneity of intratumoral microbiome distributions. Nevertheless, decontamination markedly reduced inter-replicate Aitchison distances relative to raw data (Fig. XXX), supporting the conclusion that residual compositional differences reflect biological variation rather than technical noise. Following Nj decontamination, several taxa with prior biological relevance to PDAC were consistently detected across replicates, including </w:t>
      </w:r>
      <w:r>
        <w:rPr>
          <w:rFonts w:ascii="Arial" w:cs="Arial" w:eastAsia="Arial" w:hAnsi="Arial"/>
          <w:i/>
          <w:iCs/>
          <w:sz w:val="22"/>
          <w:szCs w:val="22"/>
        </w:rPr>
        <w:t xml:space="preserve">[taxa to be specified upon analysis completion]</w:t>
      </w:r>
      <w:r>
        <w:rPr>
          <w:rFonts w:ascii="Arial" w:cs="Arial" w:eastAsia="Arial" w:hAnsi="Arial"/>
          <w:sz w:val="22"/>
          <w:szCs w:val="22"/>
        </w:rPr>
        <w:t xml:space="preserve">.</w:t>
      </w:r>
    </w:p>
    <w:p>
      <w:pPr>
        <w:spacing w:before="80" w:after="80"/>
      </w:pPr>
      <w:r>
        <w:t xml:space="preserve"/>
      </w:r>
    </w:p>
    <w:p>
      <w:pPr>
        <w:pStyle w:val="Heading1"/>
        <w:spacing w:before="360" w:after="120"/>
      </w:pPr>
      <w:r>
        <w:rPr>
          <w:rFonts w:ascii="Arial" w:cs="Arial" w:eastAsia="Arial" w:hAnsi="Arial"/>
          <w:b/>
          <w:bCs/>
          <w:color w:val="1A3A5C"/>
          <w:sz w:val="32"/>
          <w:szCs w:val="32"/>
        </w:rPr>
        <w:t xml:space="preserve">Discussion</w:t>
      </w:r>
    </w:p>
    <w:p>
      <w:pPr>
        <w:spacing w:before="0" w:after="120"/>
        <w:jc w:val="both"/>
      </w:pPr>
      <w:r>
        <w:rPr>
          <w:rFonts w:ascii="Arial" w:cs="Arial" w:eastAsia="Arial" w:hAnsi="Arial"/>
          <w:sz w:val="22"/>
          <w:szCs w:val="22"/>
        </w:rPr>
        <w:t xml:space="preserve">In this study, we present a systematic benchmarking framework for assessing decontamination methods in low-biomass 16S amplicon sequencing of PDAC tumor microbiome. By combining a longitudinal negative control survey with technical replicate sequencing, we establish two complementary, data-driven evaluation metrics — a composite yield-purity score and Aitchison inter-replicate distance — that do not require a priori knowledge of true contaminants.</w:t>
      </w:r>
    </w:p>
    <w:p>
      <w:pPr>
        <w:spacing w:before="0" w:after="120"/>
        <w:jc w:val="both"/>
      </w:pPr>
      <w:r>
        <w:rPr>
          <w:rFonts w:ascii="Arial" w:cs="Arial" w:eastAsia="Arial" w:hAnsi="Arial"/>
          <w:sz w:val="22"/>
          <w:szCs w:val="22"/>
        </w:rPr>
        <w:t xml:space="preserve">Our NCT survey revealed that the laboratory contaminant landscape is shaped by multiple interacting batch factors, including control type, processing technician, year, and season. Crucially, human commensals such as </w:t>
      </w:r>
      <w:r>
        <w:rPr>
          <w:rFonts w:ascii="Arial" w:cs="Arial" w:eastAsia="Arial" w:hAnsi="Arial"/>
          <w:i/>
          <w:iCs/>
          <w:sz w:val="22"/>
          <w:szCs w:val="22"/>
        </w:rPr>
        <w:t xml:space="preserve">Veillonella parvula</w:t>
      </w:r>
      <w:r>
        <w:rPr>
          <w:rFonts w:ascii="Arial" w:cs="Arial" w:eastAsia="Arial" w:hAnsi="Arial"/>
          <w:sz w:val="22"/>
          <w:szCs w:val="22"/>
        </w:rPr>
        <w:t xml:space="preserve"> were present in a majority of NCT samples, challenging the common practice of using any NCT-detected taxon as a definitive contaminant label. Instead, our composite scoring approach quantifies a method's ability to selectively remove likely contaminants while preserving taxon diversity — a balance that is critical when studying the sparse, low-abundance microbial communities characteristic of pancreatic tumor tissue.</w:t>
      </w:r>
    </w:p>
    <w:p>
      <w:pPr>
        <w:spacing w:before="0" w:after="120"/>
        <w:jc w:val="both"/>
      </w:pPr>
      <w:r>
        <w:rPr>
          <w:rFonts w:ascii="Arial" w:cs="Arial" w:eastAsia="Arial" w:hAnsi="Arial"/>
          <w:sz w:val="22"/>
          <w:szCs w:val="22"/>
        </w:rPr>
        <w:t xml:space="preserve">The Nj decontamination method consistently outperformed Restrictive filtering, Decontam, and SCRuB across all evaluation metrics. This advantage likely stems from Nj's incorporation of both prevalence-based and abundance-based criteria, as well as its conservative approach to taxon removal. Our findings align with the original validation of this strategy in Nejman et al. (2020), while extending it to a standardized benchmarking context with independent replication.</w:t>
      </w:r>
    </w:p>
    <w:p>
      <w:pPr>
        <w:spacing w:before="0" w:after="120"/>
        <w:jc w:val="both"/>
      </w:pPr>
      <w:r>
        <w:rPr>
          <w:rFonts w:ascii="Arial" w:cs="Arial" w:eastAsia="Arial" w:hAnsi="Arial"/>
          <w:sz w:val="22"/>
          <w:szCs w:val="22"/>
        </w:rPr>
        <w:t xml:space="preserve">Several limitations should be acknowledged. First, the NCT profiles used as reference contaminants may not capture all sources of contamination present in tumor samples, particularly those introduced at tissue collection. Second, the small sample size (n = 18) limits statistical power for detecting rare intratumoral taxa and constrains generalizability. Third, FFPE samples — which comprise the majority of archival PDAC biobanks — were not included in the decontamination benchmarking due to restoration complexity; dedicated evaluation of FFPE-specific workflows is warranted. Finally, the observed inter-technician variability underscores the importance of standardized personnel protocols in multi-operator laboratories.</w:t>
      </w:r>
    </w:p>
    <w:p>
      <w:pPr>
        <w:spacing w:before="0" w:after="120"/>
        <w:jc w:val="both"/>
      </w:pPr>
      <w:r>
        <w:rPr>
          <w:rFonts w:ascii="Arial" w:cs="Arial" w:eastAsia="Arial" w:hAnsi="Arial"/>
          <w:sz w:val="22"/>
          <w:szCs w:val="22"/>
        </w:rPr>
        <w:t xml:space="preserve">Based on our findings, we recommend the following quality-control pipeline for 16S sequencing-based intratumoral microbiome studies in PDAC: (1) include negative controls representing all wet-lab processing steps; (2) acquire technical replicates for a subset of samples; (3) perform batch correction prior to decontamination; and (4) apply the Nj decontamination method, followed by validation of residual taxa using the composite yield-purity framework described here. Fresh-frozen tissue should be prioritized over FFPE where feasible, as FFPE restoration introduces additional sources of DNA degradation and chemical modification that complicate microbial profiling.</w:t>
      </w:r>
    </w:p>
    <w:p>
      <w:pPr>
        <w:spacing w:before="80" w:after="80"/>
      </w:pPr>
      <w:r>
        <w:t xml:space="preserve"/>
      </w:r>
    </w:p>
    <w:p>
      <w:pPr>
        <w:pStyle w:val="Heading1"/>
        <w:spacing w:before="360" w:after="120"/>
      </w:pPr>
      <w:r>
        <w:rPr>
          <w:rFonts w:ascii="Arial" w:cs="Arial" w:eastAsia="Arial" w:hAnsi="Arial"/>
          <w:b/>
          <w:bCs/>
          <w:color w:val="1A3A5C"/>
          <w:sz w:val="32"/>
          <w:szCs w:val="32"/>
        </w:rPr>
        <w:t xml:space="preserve">Materials and Methods</w:t>
      </w:r>
    </w:p>
    <w:p>
      <w:pPr>
        <w:pStyle w:val="Heading2"/>
        <w:spacing w:before="240" w:after="80"/>
      </w:pPr>
      <w:r>
        <w:rPr>
          <w:rFonts w:ascii="Arial" w:cs="Arial" w:eastAsia="Arial" w:hAnsi="Arial"/>
          <w:b/>
          <w:bCs/>
          <w:color w:val="2E5F8A"/>
          <w:sz w:val="26"/>
          <w:szCs w:val="26"/>
        </w:rPr>
        <w:t xml:space="preserve">Sample Collection and Processing</w:t>
      </w:r>
    </w:p>
    <w:p>
      <w:pPr>
        <w:spacing w:before="0" w:after="120"/>
        <w:jc w:val="both"/>
      </w:pPr>
      <w:r>
        <w:rPr>
          <w:rFonts w:ascii="Arial" w:cs="Arial" w:eastAsia="Arial" w:hAnsi="Arial"/>
          <w:sz w:val="22"/>
          <w:szCs w:val="22"/>
        </w:rPr>
        <w:t xml:space="preserve">Negative control samples were collected prospectively at each stage of the 16S rRNA gene sequencing workflow, spanning paraffin embedding, DNA extraction buffer preparation, PCR amplification, and sequencing library preparation. Sample metadata including processing technician, collection date, and control type were recorded for all samples.</w:t>
      </w:r>
    </w:p>
    <w:p>
      <w:pPr>
        <w:spacing w:before="0" w:after="120"/>
        <w:jc w:val="both"/>
      </w:pPr>
      <w:r>
        <w:rPr>
          <w:rFonts w:ascii="Arial" w:cs="Arial" w:eastAsia="Arial" w:hAnsi="Arial"/>
          <w:sz w:val="22"/>
          <w:szCs w:val="22"/>
        </w:rPr>
        <w:t xml:space="preserve">PDAC fresh-frozen tissue samples were processed in parallel, with a subset (n = 10) subjected to duplicate DNA extraction and library preparation to generate technical replicates.</w:t>
      </w:r>
    </w:p>
    <w:p>
      <w:pPr>
        <w:pStyle w:val="Heading2"/>
        <w:spacing w:before="240" w:after="80"/>
      </w:pPr>
      <w:r>
        <w:rPr>
          <w:rFonts w:ascii="Arial" w:cs="Arial" w:eastAsia="Arial" w:hAnsi="Arial"/>
          <w:b/>
          <w:bCs/>
          <w:color w:val="2E5F8A"/>
          <w:sz w:val="26"/>
          <w:szCs w:val="26"/>
        </w:rPr>
        <w:t xml:space="preserve">16S rRNA Gene Sequencing</w:t>
      </w:r>
    </w:p>
    <w:p>
      <w:pPr>
        <w:spacing w:before="0" w:after="120"/>
        <w:jc w:val="both"/>
      </w:pPr>
      <w:r>
        <w:rPr>
          <w:rFonts w:ascii="Arial" w:cs="Arial" w:eastAsia="Arial" w:hAnsi="Arial"/>
          <w:sz w:val="22"/>
          <w:szCs w:val="22"/>
        </w:rPr>
        <w:t xml:space="preserve">Amplification of the 16S rRNA V3-V4 hypervariable region was performed using [primer sequences] with the Oxford Nanopore Technologies (ONT) sequencing platform. Sequencing reads were demultiplexed and quality-filtered using [pipeline]. Taxonomic classification was performed against [database version] using [classifier].</w:t>
      </w:r>
    </w:p>
    <w:p>
      <w:pPr>
        <w:pStyle w:val="Heading2"/>
        <w:spacing w:before="240" w:after="80"/>
      </w:pPr>
      <w:r>
        <w:rPr>
          <w:rFonts w:ascii="Arial" w:cs="Arial" w:eastAsia="Arial" w:hAnsi="Arial"/>
          <w:b/>
          <w:bCs/>
          <w:color w:val="2E5F8A"/>
          <w:sz w:val="26"/>
          <w:szCs w:val="26"/>
        </w:rPr>
        <w:t xml:space="preserve">Normalization and Filtering</w:t>
      </w:r>
    </w:p>
    <w:p>
      <w:pPr>
        <w:spacing w:before="0" w:after="120"/>
        <w:jc w:val="both"/>
      </w:pPr>
      <w:r>
        <w:rPr>
          <w:rFonts w:ascii="Arial" w:cs="Arial" w:eastAsia="Arial" w:hAnsi="Arial"/>
          <w:sz w:val="22"/>
          <w:szCs w:val="22"/>
        </w:rPr>
        <w:t xml:space="preserve">Samples with fewer than 750 reads were excluded. Taxa present in fewer than [threshold] samples or with total abundance below [threshold] were removed. The remaining count table was rarefied to the minimum library size for alpha-diversity analyses; Wrench normalization was applied for compositional analyses.</w:t>
      </w:r>
    </w:p>
    <w:p>
      <w:pPr>
        <w:pStyle w:val="Heading2"/>
        <w:spacing w:before="240" w:after="80"/>
      </w:pPr>
      <w:r>
        <w:rPr>
          <w:rFonts w:ascii="Arial" w:cs="Arial" w:eastAsia="Arial" w:hAnsi="Arial"/>
          <w:b/>
          <w:bCs/>
          <w:color w:val="2E5F8A"/>
          <w:sz w:val="26"/>
          <w:szCs w:val="26"/>
        </w:rPr>
        <w:t xml:space="preserve">Statistical Analysis</w:t>
      </w:r>
    </w:p>
    <w:p>
      <w:pPr>
        <w:spacing w:before="0" w:after="120"/>
        <w:jc w:val="both"/>
      </w:pPr>
      <w:r>
        <w:rPr>
          <w:rFonts w:ascii="Arial" w:cs="Arial" w:eastAsia="Arial" w:hAnsi="Arial"/>
          <w:sz w:val="22"/>
          <w:szCs w:val="22"/>
        </w:rPr>
        <w:t xml:space="preserve">Alpha diversity (observed species, Shannon index, inverse Simpson index) was calculated using the </w:t>
      </w:r>
      <w:r>
        <w:rPr>
          <w:rFonts w:ascii="Arial" w:cs="Arial" w:eastAsia="Arial" w:hAnsi="Arial"/>
          <w:i/>
          <w:iCs/>
          <w:sz w:val="22"/>
          <w:szCs w:val="22"/>
        </w:rPr>
        <w:t xml:space="preserve">phyloseq</w:t>
      </w:r>
      <w:r>
        <w:rPr>
          <w:rFonts w:ascii="Arial" w:cs="Arial" w:eastAsia="Arial" w:hAnsi="Arial"/>
          <w:sz w:val="22"/>
          <w:szCs w:val="22"/>
        </w:rPr>
        <w:t xml:space="preserve"> package in R. Beta diversity was assessed using Bray-Curtis dissimilarity and Aitchison distance, with group differences tested by PERMANOVA (999 permutations; </w:t>
      </w:r>
      <w:r>
        <w:rPr>
          <w:rFonts w:ascii="Arial" w:cs="Arial" w:eastAsia="Arial" w:hAnsi="Arial"/>
          <w:i/>
          <w:iCs/>
          <w:sz w:val="22"/>
          <w:szCs w:val="22"/>
        </w:rPr>
        <w:t xml:space="preserve">vegan</w:t>
      </w:r>
      <w:r>
        <w:rPr>
          <w:rFonts w:ascii="Arial" w:cs="Arial" w:eastAsia="Arial" w:hAnsi="Arial"/>
          <w:sz w:val="22"/>
          <w:szCs w:val="22"/>
        </w:rPr>
        <w:t xml:space="preserve"> package). Differential abundance analyses were performed using ANCOM-BC2 and ALDEx2. Inter-method comparisons of composite scores were conducted using a linear mixed model (sample as random effect; </w:t>
      </w:r>
      <w:r>
        <w:rPr>
          <w:rFonts w:ascii="Arial" w:cs="Arial" w:eastAsia="Arial" w:hAnsi="Arial"/>
          <w:i/>
          <w:iCs/>
          <w:sz w:val="22"/>
          <w:szCs w:val="22"/>
        </w:rPr>
        <w:t xml:space="preserve">lme4</w:t>
      </w:r>
      <w:r>
        <w:rPr>
          <w:rFonts w:ascii="Arial" w:cs="Arial" w:eastAsia="Arial" w:hAnsi="Arial"/>
          <w:sz w:val="22"/>
          <w:szCs w:val="22"/>
        </w:rPr>
        <w:t xml:space="preserve"> package).</w:t>
      </w:r>
    </w:p>
    <w:p>
      <w:pPr>
        <w:pStyle w:val="Heading2"/>
        <w:spacing w:before="240" w:after="80"/>
      </w:pPr>
      <w:r>
        <w:rPr>
          <w:rFonts w:ascii="Arial" w:cs="Arial" w:eastAsia="Arial" w:hAnsi="Arial"/>
          <w:b/>
          <w:bCs/>
          <w:color w:val="2E5F8A"/>
          <w:sz w:val="26"/>
          <w:szCs w:val="26"/>
        </w:rPr>
        <w:t xml:space="preserve">Decontamination Methods</w:t>
      </w:r>
    </w:p>
    <w:p>
      <w:pPr>
        <w:spacing w:before="0" w:after="120"/>
        <w:jc w:val="both"/>
      </w:pPr>
      <w:r>
        <w:rPr>
          <w:rFonts w:ascii="Arial" w:cs="Arial" w:eastAsia="Arial" w:hAnsi="Arial"/>
          <w:sz w:val="22"/>
          <w:szCs w:val="22"/>
        </w:rPr>
        <w:t xml:space="preserve">Four decontamination approaches were evaluated: (1) </w:t>
      </w:r>
      <w:r>
        <w:rPr>
          <w:rFonts w:ascii="Arial" w:cs="Arial" w:eastAsia="Arial" w:hAnsi="Arial"/>
          <w:b/>
          <w:bCs/>
          <w:sz w:val="22"/>
          <w:szCs w:val="22"/>
        </w:rPr>
        <w:t xml:space="preserve">Restrictive filtering</w:t>
      </w:r>
      <w:r>
        <w:rPr>
          <w:rFonts w:ascii="Arial" w:cs="Arial" w:eastAsia="Arial" w:hAnsi="Arial"/>
          <w:sz w:val="22"/>
          <w:szCs w:val="22"/>
        </w:rPr>
        <w:t xml:space="preserve"> — taxa detected in any NCT sample at above-threshold abundance were excluded; (2) </w:t>
      </w:r>
      <w:r>
        <w:rPr>
          <w:rFonts w:ascii="Arial" w:cs="Arial" w:eastAsia="Arial" w:hAnsi="Arial"/>
          <w:b/>
          <w:bCs/>
          <w:sz w:val="22"/>
          <w:szCs w:val="22"/>
        </w:rPr>
        <w:t xml:space="preserve">Decontam</w:t>
      </w:r>
      <w:r>
        <w:rPr>
          <w:rFonts w:ascii="Arial" w:cs="Arial" w:eastAsia="Arial" w:hAnsi="Arial"/>
          <w:sz w:val="18"/>
          <w:szCs w:val="18"/>
          <w:vertAlign w:val="superscript"/>
        </w:rPr>
        <w:t xml:space="preserve">1</w:t>
      </w:r>
      <w:r>
        <w:rPr>
          <w:rFonts w:ascii="Arial" w:cs="Arial" w:eastAsia="Arial" w:hAnsi="Arial"/>
          <w:sz w:val="22"/>
          <w:szCs w:val="22"/>
        </w:rPr>
        <w:t xml:space="preserve"> — probability-based classification of contaminant taxa using negative control prevalence and DNA concentration; (3) </w:t>
      </w:r>
      <w:r>
        <w:rPr>
          <w:rFonts w:ascii="Arial" w:cs="Arial" w:eastAsia="Arial" w:hAnsi="Arial"/>
          <w:b/>
          <w:bCs/>
          <w:sz w:val="22"/>
          <w:szCs w:val="22"/>
        </w:rPr>
        <w:t xml:space="preserve">SCRuB</w:t>
      </w:r>
      <w:r>
        <w:rPr>
          <w:rFonts w:ascii="Arial" w:cs="Arial" w:eastAsia="Arial" w:hAnsi="Arial"/>
          <w:sz w:val="18"/>
          <w:szCs w:val="18"/>
          <w:vertAlign w:val="superscript"/>
        </w:rPr>
        <w:t xml:space="preserve">2</w:t>
      </w:r>
      <w:r>
        <w:rPr>
          <w:rFonts w:ascii="Arial" w:cs="Arial" w:eastAsia="Arial" w:hAnsi="Arial"/>
          <w:sz w:val="22"/>
          <w:szCs w:val="22"/>
        </w:rPr>
        <w:t xml:space="preserve"> — source tracking-based contaminant removal; and (4) </w:t>
      </w:r>
      <w:r>
        <w:rPr>
          <w:rFonts w:ascii="Arial" w:cs="Arial" w:eastAsia="Arial" w:hAnsi="Arial"/>
          <w:b/>
          <w:bCs/>
          <w:sz w:val="22"/>
          <w:szCs w:val="22"/>
        </w:rPr>
        <w:t xml:space="preserve">Nj</w:t>
      </w:r>
      <w:r>
        <w:rPr>
          <w:rFonts w:ascii="Arial" w:cs="Arial" w:eastAsia="Arial" w:hAnsi="Arial"/>
          <w:sz w:val="18"/>
          <w:szCs w:val="18"/>
          <w:vertAlign w:val="superscript"/>
        </w:rPr>
        <w:t xml:space="preserve">3</w:t>
      </w:r>
      <w:r>
        <w:rPr>
          <w:rFonts w:ascii="Arial" w:cs="Arial" w:eastAsia="Arial" w:hAnsi="Arial"/>
          <w:sz w:val="22"/>
          <w:szCs w:val="22"/>
        </w:rPr>
        <w:t xml:space="preserve"> — the decontamination strategy of Nejman et al. incorporating multiple filtering criteria.</w:t>
      </w:r>
    </w:p>
    <w:p>
      <w:pPr>
        <w:pStyle w:val="Heading2"/>
        <w:spacing w:before="240" w:after="80"/>
      </w:pPr>
      <w:r>
        <w:rPr>
          <w:rFonts w:ascii="Arial" w:cs="Arial" w:eastAsia="Arial" w:hAnsi="Arial"/>
          <w:b/>
          <w:bCs/>
          <w:color w:val="2E5F8A"/>
          <w:sz w:val="26"/>
          <w:szCs w:val="26"/>
        </w:rPr>
        <w:t xml:space="preserve">Composite Scoring</w:t>
      </w:r>
    </w:p>
    <w:p>
      <w:pPr>
        <w:spacing w:before="0" w:after="120"/>
        <w:jc w:val="both"/>
      </w:pPr>
      <w:r>
        <w:rPr>
          <w:rFonts w:ascii="Arial" w:cs="Arial" w:eastAsia="Arial" w:hAnsi="Arial"/>
          <w:sz w:val="22"/>
          <w:szCs w:val="22"/>
        </w:rPr>
        <w:t xml:space="preserve">For each sample </w:t>
      </w:r>
      <w:r>
        <w:rPr>
          <w:rFonts w:ascii="Arial" w:cs="Arial" w:eastAsia="Arial" w:hAnsi="Arial"/>
          <w:i/>
          <w:iCs/>
          <w:sz w:val="22"/>
          <w:szCs w:val="22"/>
        </w:rPr>
        <w:t xml:space="preserve">s</w:t>
      </w:r>
      <w:r>
        <w:rPr>
          <w:rFonts w:ascii="Arial" w:cs="Arial" w:eastAsia="Arial" w:hAnsi="Arial"/>
          <w:sz w:val="22"/>
          <w:szCs w:val="22"/>
        </w:rPr>
        <w:t xml:space="preserve"> processed by method </w:t>
      </w:r>
      <w:r>
        <w:rPr>
          <w:rFonts w:ascii="Arial" w:cs="Arial" w:eastAsia="Arial" w:hAnsi="Arial"/>
          <w:i/>
          <w:iCs/>
          <w:sz w:val="22"/>
          <w:szCs w:val="22"/>
        </w:rPr>
        <w:t xml:space="preserve">m</w:t>
      </w:r>
      <w:r>
        <w:rPr>
          <w:rFonts w:ascii="Arial" w:cs="Arial" w:eastAsia="Arial" w:hAnsi="Arial"/>
          <w:sz w:val="22"/>
          <w:szCs w:val="22"/>
        </w:rPr>
        <w:t xml:space="preserve">, the </w:t>
      </w:r>
      <w:r>
        <w:rPr>
          <w:rFonts w:ascii="Arial" w:cs="Arial" w:eastAsia="Arial" w:hAnsi="Arial"/>
          <w:b/>
          <w:bCs/>
          <w:sz w:val="22"/>
          <w:szCs w:val="22"/>
        </w:rPr>
        <w:t xml:space="preserve">yield</w:t>
      </w:r>
      <w:r>
        <w:rPr>
          <w:rFonts w:ascii="Arial" w:cs="Arial" w:eastAsia="Arial" w:hAnsi="Arial"/>
          <w:sz w:val="22"/>
          <w:szCs w:val="22"/>
        </w:rPr>
        <w:t xml:space="preserve"> was defined as:</w:t>
      </w:r>
    </w:p>
    <w:p>
      <w:pPr>
        <w:spacing w:before="80" w:after="80"/>
        <w:jc w:val="both"/>
      </w:pPr>
      <w:r>
        <w:rPr>
          <w:rFonts w:ascii="Arial" w:cs="Arial" w:eastAsia="Arial" w:hAnsi="Arial"/>
          <w:sz w:val="22"/>
          <w:szCs w:val="22"/>
        </w:rPr>
        <w:t xml:space="preserve">    yield(s,m) = |{significant taxa not in NCT}| / |{observed taxa}|</w:t>
      </w:r>
    </w:p>
    <w:p>
      <w:pPr>
        <w:spacing w:before="0" w:after="120"/>
        <w:jc w:val="both"/>
      </w:pPr>
      <w:r>
        <w:rPr>
          <w:rFonts w:ascii="Arial" w:cs="Arial" w:eastAsia="Arial" w:hAnsi="Arial"/>
          <w:sz w:val="22"/>
          <w:szCs w:val="22"/>
        </w:rPr>
        <w:t xml:space="preserve">and </w:t>
      </w:r>
      <w:r>
        <w:rPr>
          <w:rFonts w:ascii="Arial" w:cs="Arial" w:eastAsia="Arial" w:hAnsi="Arial"/>
          <w:b/>
          <w:bCs/>
          <w:sz w:val="22"/>
          <w:szCs w:val="22"/>
        </w:rPr>
        <w:t xml:space="preserve">purity</w:t>
      </w:r>
      <w:r>
        <w:rPr>
          <w:rFonts w:ascii="Arial" w:cs="Arial" w:eastAsia="Arial" w:hAnsi="Arial"/>
          <w:sz w:val="22"/>
          <w:szCs w:val="22"/>
        </w:rPr>
        <w:t xml:space="preserve"> as:</w:t>
      </w:r>
    </w:p>
    <w:p>
      <w:pPr>
        <w:spacing w:before="80" w:after="80"/>
        <w:jc w:val="both"/>
      </w:pPr>
      <w:r>
        <w:rPr>
          <w:rFonts w:ascii="Arial" w:cs="Arial" w:eastAsia="Arial" w:hAnsi="Arial"/>
          <w:sz w:val="22"/>
          <w:szCs w:val="22"/>
        </w:rPr>
        <w:t xml:space="preserve">    purity(s,m) = |{significant taxa not in NCT}| / |{significant taxa}|</w:t>
      </w:r>
    </w:p>
    <w:p>
      <w:pPr>
        <w:spacing w:before="0" w:after="120"/>
        <w:jc w:val="both"/>
      </w:pPr>
      <w:r>
        <w:rPr>
          <w:rFonts w:ascii="Arial" w:cs="Arial" w:eastAsia="Arial" w:hAnsi="Arial"/>
          <w:sz w:val="22"/>
          <w:szCs w:val="22"/>
        </w:rPr>
        <w:t xml:space="preserve">The composite score was computed as the product: composite = yield × purity. Higher scores reflect methods that preferentially retain non-contaminant taxa among significant findings.</w:t>
      </w:r>
    </w:p>
    <w:p>
      <w:pPr>
        <w:spacing w:before="80" w:after="80"/>
      </w:pPr>
      <w:r>
        <w:t xml:space="preserve"/>
      </w:r>
    </w:p>
    <w:p>
      <w:pPr>
        <w:pStyle w:val="Heading1"/>
        <w:spacing w:before="360" w:after="120"/>
      </w:pPr>
      <w:r>
        <w:rPr>
          <w:rFonts w:ascii="Arial" w:cs="Arial" w:eastAsia="Arial" w:hAnsi="Arial"/>
          <w:b/>
          <w:bCs/>
          <w:color w:val="1A3A5C"/>
          <w:sz w:val="32"/>
          <w:szCs w:val="32"/>
        </w:rPr>
        <w:t xml:space="preserve">References</w:t>
      </w:r>
    </w:p>
    <w:p>
      <w:pPr>
        <w:spacing w:before="80" w:after="80"/>
        <w:ind w:left="360" w:hanging="360"/>
      </w:pPr>
      <w:r>
        <w:rPr>
          <w:rFonts w:ascii="Arial" w:cs="Arial" w:eastAsia="Arial" w:hAnsi="Arial"/>
          <w:sz w:val="20"/>
          <w:szCs w:val="20"/>
        </w:rPr>
        <w:t xml:space="preserve">1. Davis, N. M., Proctor, D. M., Holmes, S. P., Relman, D. A. &amp; Callahan, B. J. Simple statistical identification and removal of contaminant sequences in marker-gene and metagenomics data. Microbiome 6, 226 (2018).</w:t>
      </w:r>
    </w:p>
    <w:p>
      <w:pPr>
        <w:spacing w:before="80" w:after="80"/>
        <w:ind w:left="360" w:hanging="360"/>
      </w:pPr>
      <w:r>
        <w:rPr>
          <w:rFonts w:ascii="Arial" w:cs="Arial" w:eastAsia="Arial" w:hAnsi="Arial"/>
          <w:sz w:val="20"/>
          <w:szCs w:val="20"/>
        </w:rPr>
        <w:t xml:space="preserve">2. Austin, G. I. et al. Contamination source modeling with SCRuB improves cancer phenotype prediction from microbiome data. Nature Biotechnology 41, 1820–1828 (2023).</w:t>
      </w:r>
    </w:p>
    <w:p>
      <w:pPr>
        <w:spacing w:before="80" w:after="80"/>
        <w:ind w:left="360" w:hanging="360"/>
      </w:pPr>
      <w:r>
        <w:rPr>
          <w:rFonts w:ascii="Arial" w:cs="Arial" w:eastAsia="Arial" w:hAnsi="Arial"/>
          <w:sz w:val="20"/>
          <w:szCs w:val="20"/>
        </w:rPr>
        <w:t xml:space="preserve">3. Nejman, D. et al. The human tumor microbiome is composed of tumor type–specific intracellular bacteria. Science 368, 973–980 (2020).</w:t>
      </w:r>
    </w:p>
    <w:p>
      <w:pPr>
        <w:spacing w:before="80" w:after="80"/>
        <w:ind w:left="360" w:hanging="360"/>
      </w:pPr>
      <w:r>
        <w:rPr>
          <w:rFonts w:ascii="Arial" w:cs="Arial" w:eastAsia="Arial" w:hAnsi="Arial"/>
          <w:sz w:val="20"/>
          <w:szCs w:val="20"/>
        </w:rPr>
        <w:t xml:space="preserve">4. McKinley, K. N. L. et al. Translocation of oral microbiota into the pancreatic ductal adenocarcinoma tumor microenvironment. Microorganisms 11, 1466 (2023).</w:t>
      </w:r>
    </w:p>
    <w:p>
      <w:pPr>
        <w:spacing w:before="80" w:after="80"/>
        <w:ind w:left="360" w:hanging="360"/>
      </w:pPr>
      <w:r>
        <w:rPr>
          <w:rFonts w:ascii="Arial" w:cs="Arial" w:eastAsia="Arial" w:hAnsi="Arial"/>
          <w:sz w:val="20"/>
          <w:szCs w:val="20"/>
        </w:rPr>
        <w:t xml:space="preserve">5. Lin, H. &amp; Peddada, S. D. Multigroup analysis of compositions of microbiomes with covariate adjustments and repeated measures. Nature Methods 21, 83–91 (2023).</w:t>
      </w:r>
    </w:p>
    <w:p>
      <w:pPr>
        <w:spacing w:before="80" w:after="80"/>
        <w:ind w:left="360" w:hanging="360"/>
      </w:pPr>
      <w:r>
        <w:rPr>
          <w:rFonts w:ascii="Arial" w:cs="Arial" w:eastAsia="Arial" w:hAnsi="Arial"/>
          <w:sz w:val="20"/>
          <w:szCs w:val="20"/>
        </w:rPr>
        <w:t xml:space="preserve">6. Gloor, G. &amp; Macklaim, R. ALDEx2. Bioconductor (2017). doi:10.18129/B9.BIOC.ALDEX2.</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Dang et al. | Disentangling contaminants in PDAC microbiome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8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2026-03-09T11:44:39.591Z</dcterms:created>
  <dcterms:modified xsi:type="dcterms:W3CDTF">2026-03-09T11:44:39.593Z</dcterms:modified>
</cp:coreProperties>
</file>

<file path=docProps/custom.xml><?xml version="1.0" encoding="utf-8"?>
<Properties xmlns="http://schemas.openxmlformats.org/officeDocument/2006/custom-properties" xmlns:vt="http://schemas.openxmlformats.org/officeDocument/2006/docPropsVTypes"/>
</file>