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spacing w:lineRule="auto" w:line="264" w:before="300" w:after="150"/>
        <w:ind w:hanging="0" w:left="0" w:right="0"/>
        <w:rPr>
          <w:rFonts w:ascii="inherit" w:hAnsi="inherit"/>
          <w:b/>
          <w:i w:val="false"/>
          <w:caps w:val="false"/>
          <w:smallCaps w:val="false"/>
          <w:color w:val="333333"/>
          <w:spacing w:val="0"/>
          <w:sz w:val="57"/>
        </w:rPr>
      </w:pPr>
      <w:r>
        <w:rPr>
          <w:rFonts w:ascii="inherit" w:hAnsi="inherit"/>
          <w:b/>
          <w:i w:val="false"/>
          <w:caps w:val="false"/>
          <w:smallCaps w:val="false"/>
          <w:color w:val="333333"/>
          <w:spacing w:val="0"/>
          <w:sz w:val="57"/>
        </w:rPr>
        <w:t>WBS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widowControl/>
        <w:spacing w:lineRule="auto" w:line="264" w:before="300" w:after="150"/>
        <w:ind w:hanging="0" w:left="0" w:right="0"/>
        <w:rPr>
          <w:rFonts w:ascii="inherit" w:hAnsi="inherit"/>
          <w:b/>
          <w:i w:val="false"/>
          <w:caps w:val="false"/>
          <w:smallCaps w:val="false"/>
          <w:color w:val="333333"/>
          <w:spacing w:val="0"/>
          <w:sz w:val="51"/>
        </w:rPr>
      </w:pPr>
      <w:r>
        <w:rPr>
          <w:rFonts w:ascii="inherit" w:hAnsi="inherit"/>
          <w:b/>
          <w:i w:val="false"/>
          <w:caps w:val="false"/>
          <w:smallCaps w:val="false"/>
          <w:color w:val="333333"/>
          <w:spacing w:val="0"/>
          <w:sz w:val="51"/>
        </w:rPr>
        <w:t>Work Break Down Structure for the Research Story Line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spacing w:lineRule="auto" w:line="264" w:before="300" w:after="150"/>
        <w:ind w:hanging="0" w:left="0" w:right="0"/>
        <w:rPr/>
      </w:pPr>
      <w:r>
        <w:rPr>
          <w:rFonts w:ascii="inherit" w:hAnsi="inherit"/>
          <w:b/>
          <w:sz w:val="45"/>
        </w:rPr>
        <w:t>1. Longitudinal Contaminant Survey in the lab could reveal its unique contamination profile. </w:t>
      </w:r>
      <w:r>
        <w:rPr>
          <w:rFonts w:ascii="inherit" w:hAnsi="inherit"/>
          <w:b/>
          <w:color w:val="FF0000"/>
          <w:sz w:val="45"/>
        </w:rPr>
        <w:t>[</w:t>
      </w:r>
      <w:r>
        <w:rPr>
          <w:rStyle w:val="Emphasis"/>
          <w:rFonts w:ascii="inherit" w:hAnsi="inherit"/>
          <w:b/>
          <w:color w:val="FF0000"/>
          <w:sz w:val="45"/>
        </w:rPr>
        <w:t>Essential</w:t>
      </w:r>
      <w:r>
        <w:rPr>
          <w:rFonts w:ascii="inherit" w:hAnsi="inherit"/>
          <w:b/>
          <w:color w:val="FF0000"/>
          <w:sz w:val="45"/>
        </w:rPr>
        <w:t>]</w:t>
      </w:r>
    </w:p>
    <w:p>
      <w:pPr>
        <w:pStyle w:val="BodyText"/>
        <w:widowControl/>
        <w:spacing w:before="0" w:after="150"/>
        <w:ind w:hanging="0" w:left="0" w:right="0"/>
        <w:rPr/>
      </w:pPr>
      <w:r>
        <w:rPr>
          <w:rStyle w:val="Emphasis"/>
          <w:rFonts w:ascii="Helvetica Neue;Helvetica;Arial;sans-serif" w:hAnsi="Helvetica Neue;Helvetica;Arial;sans-serif"/>
          <w:b/>
          <w:i w:val="false"/>
          <w:caps w:val="false"/>
          <w:smallCaps w:val="false"/>
          <w:color w:val="333333"/>
          <w:spacing w:val="0"/>
          <w:sz w:val="21"/>
        </w:rPr>
        <w:t>NOTES: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 for the sack of simplicity. I will only use Wrench normalization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spacing w:lineRule="auto" w:line="264" w:before="300" w:after="150"/>
        <w:ind w:hanging="0" w:left="0" w:right="0"/>
        <w:rPr/>
      </w:pPr>
      <w:r>
        <w:rPr>
          <w:rFonts w:ascii="inherit" w:hAnsi="inherit"/>
          <w:b/>
          <w:sz w:val="36"/>
        </w:rPr>
        <w:t>1.1 Negative controls were collected in every step in the pipeline. </w:t>
      </w:r>
      <w:r>
        <w:rPr>
          <w:rFonts w:ascii="inherit" w:hAnsi="inherit"/>
          <w:b/>
          <w:color w:val="FF0000"/>
          <w:sz w:val="36"/>
        </w:rPr>
        <w:t>[</w:t>
      </w:r>
      <w:r>
        <w:rPr>
          <w:rStyle w:val="Emphasis"/>
          <w:rFonts w:ascii="inherit" w:hAnsi="inherit"/>
          <w:b/>
          <w:color w:val="FF0000"/>
          <w:sz w:val="36"/>
        </w:rPr>
        <w:t>Essential</w:t>
      </w:r>
      <w:r>
        <w:rPr>
          <w:rFonts w:ascii="inherit" w:hAnsi="inherit"/>
          <w:b/>
          <w:color w:val="FF0000"/>
          <w:sz w:val="36"/>
        </w:rPr>
        <w:t>]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1.A: NCT collection and associated metadata collection.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jc w:val="left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Table 1: Negative control types </w:t>
      </w:r>
      <w:bookmarkStart w:id="0" w:name="MathJax-Element-1-Frame"/>
      <w:bookmarkStart w:id="1" w:name="MathJax-Span-1"/>
      <w:bookmarkStart w:id="2" w:name="MathJax-Span-2"/>
      <w:bookmarkStart w:id="3" w:name="MathJax-Span-3"/>
      <w:bookmarkEnd w:id="0"/>
      <w:bookmarkEnd w:id="1"/>
      <w:bookmarkEnd w:id="2"/>
      <w:bookmarkEnd w:id="3"/>
      <w:r>
        <w:rPr>
          <w:rFonts w:ascii="STIXGeneral" w:hAnsi="STIXGeneral"/>
          <w:b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26"/>
          <w:u w:val="none"/>
          <w:effect w:val="none"/>
        </w:rPr>
        <w:t>×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 years, values are the number of NCT samples.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Content: description of the collection as well as comment on the number of NCT types.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spacing w:lineRule="auto" w:line="264" w:before="30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1.2 Different negative control (NCT) types harbor their own contaminant profile.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00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0000"/>
          <w:spacing w:val="0"/>
          <w:sz w:val="21"/>
          <w:szCs w:val="21"/>
        </w:rPr>
        <w:t>Essential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0000"/>
          <w:spacing w:val="0"/>
          <w:sz w:val="21"/>
          <w:szCs w:val="21"/>
        </w:rPr>
        <w:t>]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1.B: alpha diversity of NCT w.r.t control types.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1.C: beta diversity of NCT w.r.t control types.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S1: supplementary figures of alpha/beta diversity w.r.t year/season/LP.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Better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Content: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Describe alpha and beta diversity w.r.t control types, highlight significant differences.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Similarly, describe the diversity w.r.t year/season/LP and highlight important findings.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Better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spacing w:lineRule="auto" w:line="264" w:before="30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1.3 Many environmental taxa are found in NCT, with different levels of abundance.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Better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]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1.D: heatmap (abund. &amp; prev.) of top selected taxa (genus, by abundance) in NCT samples.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Highlight any noticeable patterns, e.g cluster, in the plot. Also describing a few taxa, including well-known contaminant and mixed of environmental taxa and tumor-resided taxa.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S2: supplementary figures for similar heatmap plots with different taxa rank and by abund/prev.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1.E: plots of differential abundance analyses (MaAsLin2, species rank) w.r.t control types.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Insights of the above DAA plots, as well as certain degree of explanation and speculation.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S3: supplementary figures for DAA plots with different taxa rank as well as different softwares (ANCOM-BC2, Aldex2).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spacing w:lineRule="auto" w:line="264" w:before="30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2. Laboratory personel influences microbiome more than processing environments.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Better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spacing w:lineRule="auto" w:line="264" w:before="300" w:after="150"/>
        <w:ind w:hanging="0" w:left="0" w:right="0"/>
        <w:rPr/>
      </w:pPr>
      <w:r>
        <w:rPr>
          <w:rFonts w:ascii="inherit" w:hAnsi="inherit"/>
          <w:b/>
          <w:sz w:val="36"/>
        </w:rPr>
        <w:t>2.1 LP impacts strongly on microbiome profile of NCT. </w:t>
      </w:r>
      <w:r>
        <w:rPr>
          <w:rFonts w:ascii="inherit" w:hAnsi="inherit"/>
          <w:b/>
          <w:color w:val="FFA500"/>
          <w:sz w:val="36"/>
        </w:rPr>
        <w:t>[</w:t>
      </w:r>
      <w:r>
        <w:rPr>
          <w:rStyle w:val="Emphasis"/>
          <w:rFonts w:ascii="inherit" w:hAnsi="inherit"/>
          <w:b/>
          <w:color w:val="FFA500"/>
          <w:sz w:val="36"/>
        </w:rPr>
        <w:t>Better</w:t>
      </w:r>
      <w:r>
        <w:rPr>
          <w:rFonts w:ascii="inherit" w:hAnsi="inherit"/>
          <w:b/>
          <w:color w:val="FFA500"/>
          <w:sz w:val="36"/>
        </w:rPr>
        <w:t>]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2.A: alpha diversity w.r.t LP and environment.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2.B: beta diversity, grouped by environment and icon by LP.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Description the differences.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spacing w:lineRule="auto" w:line="264" w:before="30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2.2 Oral and skin residence flora mainly drive the impact.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Best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]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2.C: differential abundant analyses w.r.t LP, and describe.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Better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S4: DAA plot w.r.t LP or environment with different taxa rank and different softwares.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Best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spacing w:lineRule="auto" w:line="264" w:before="30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3. Multiple-layer statistical testing approach could reliably remove contaminants.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00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0000"/>
          <w:spacing w:val="0"/>
          <w:sz w:val="21"/>
          <w:szCs w:val="21"/>
        </w:rPr>
        <w:t>Essential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0000"/>
          <w:spacing w:val="0"/>
          <w:sz w:val="21"/>
          <w:szCs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spacing w:lineRule="auto" w:line="264" w:before="300" w:after="150"/>
        <w:ind w:hanging="0" w:left="0" w:right="0"/>
        <w:rPr/>
      </w:pPr>
      <w:r>
        <w:rPr>
          <w:rFonts w:ascii="inherit" w:hAnsi="inherit"/>
          <w:b/>
          <w:sz w:val="36"/>
        </w:rPr>
        <w:t>3.1 Benchmarking is needed, especially when working with low-biomass sample such as intratumoral one. </w:t>
      </w:r>
      <w:r>
        <w:rPr>
          <w:rFonts w:ascii="inherit" w:hAnsi="inherit"/>
          <w:b/>
          <w:color w:val="FF0000"/>
          <w:sz w:val="36"/>
        </w:rPr>
        <w:t>[</w:t>
      </w:r>
      <w:r>
        <w:rPr>
          <w:rStyle w:val="Emphasis"/>
          <w:rFonts w:ascii="inherit" w:hAnsi="inherit"/>
          <w:b/>
          <w:color w:val="FF0000"/>
          <w:sz w:val="36"/>
        </w:rPr>
        <w:t>Essential</w:t>
      </w:r>
      <w:r>
        <w:rPr>
          <w:rFonts w:ascii="inherit" w:hAnsi="inherit"/>
          <w:b/>
          <w:color w:val="FF0000"/>
          <w:sz w:val="36"/>
        </w:rPr>
        <w:t>]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Literature review and justification for the need of decontamination method benchmarking. Emphasize on the tricky situation dealing with low-biomass samples.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Highlight the following three different ways for benchmarking when lacking of the ground truth.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4"/>
        <w:widowControl/>
        <w:spacing w:lineRule="auto" w:line="264" w:before="150" w:after="150"/>
        <w:ind w:hanging="0" w:left="0" w:right="0"/>
        <w:rPr/>
      </w:pPr>
      <w:r>
        <w:rPr>
          <w:rFonts w:ascii="inherit" w:hAnsi="inherit"/>
          <w:b/>
          <w:sz w:val="27"/>
        </w:rPr>
        <w:t>3.1.1 Benchmarking with longitudinal negative survey. </w:t>
      </w:r>
      <w:r>
        <w:rPr>
          <w:rFonts w:ascii="inherit" w:hAnsi="inherit"/>
          <w:b/>
          <w:color w:val="FF0000"/>
          <w:sz w:val="27"/>
        </w:rPr>
        <w:t>[</w:t>
      </w:r>
      <w:r>
        <w:rPr>
          <w:rStyle w:val="Emphasis"/>
          <w:rFonts w:ascii="inherit" w:hAnsi="inherit"/>
          <w:b/>
          <w:i/>
          <w:iCs/>
          <w:color w:val="FF0000"/>
          <w:sz w:val="27"/>
        </w:rPr>
        <w:t>Essential</w:t>
      </w:r>
      <w:r>
        <w:rPr>
          <w:rFonts w:ascii="inherit" w:hAnsi="inherit"/>
          <w:b/>
          <w:color w:val="FF0000"/>
          <w:sz w:val="27"/>
        </w:rPr>
        <w:t>]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Explanation of the composite score without much technical details.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3.A: paired Wilcox-test plot with p-values.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Essential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0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Highlight the significant differences and describe the results.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Better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FFA5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Table for supplementary: pairwise comparison among non-decontaminated (ND) data and data from decontamination methods.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Best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]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S5: plot in supplementary using Linear Mixed Model with random effect as SampleID as an alternative to pair wilcox-test.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Best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4"/>
        <w:widowControl/>
        <w:spacing w:lineRule="auto" w:line="264" w:before="15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3.1.2 Benchmarking with technical replicas.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Better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]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Explanation of using the technical replicas for benchmarking, intra-sample distance.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3.B: paired Wilco-test plot with p-values, among NP and 4 decontamination methods.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Highlight the significant differences and emphasize on the best perfomced method.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Table for supplementary: similarly, pairwise comparison among non-decontaminated (ND) data and data from decontamination methods.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Best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]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S6: plot in supplementary using LMM as an alternative. 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[</w:t>
      </w:r>
      <w:r>
        <w:rPr>
          <w:rStyle w:val="Emphasis"/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Best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8000"/>
          <w:spacing w:val="0"/>
          <w:sz w:val="21"/>
        </w:rPr>
        <w:t>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4"/>
        <w:widowControl/>
        <w:spacing w:lineRule="auto" w:line="264" w:before="15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3.1.3 Benchmarking with overall-overlap ratio.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Best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]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Explanation what is that ratio and how it could be used for the benchmarking.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Describe the comparison and highlight best method.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3.C: paired Wilcox-test with p-values.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Pairwise comparison table for supplementary.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S7 for supplementary, using LMM.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spacing w:lineRule="auto" w:line="264" w:before="30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3.2 Technical replicas combined with deconmatimantion method could be useful to reveal reliable microbiome profile for low-biomass samples.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Better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FFA500"/>
          <w:spacing w:val="0"/>
          <w:sz w:val="21"/>
          <w:szCs w:val="21"/>
        </w:rPr>
        <w:t>]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Describe using Nj-based method on 2 replica and the intersection of them to reveal the reliable microbiome profile.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Figure 3.D: a barplot showing bacterial composition of 2 replicas and their overlap.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eading2"/>
        <w:widowControl/>
        <w:spacing w:lineRule="auto" w:line="264" w:before="300" w:after="150"/>
        <w:ind w:hanging="0" w:left="0" w:right="0"/>
        <w:rPr/>
      </w:pP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  <w:t>4. FFPE samples are not reliable for intratumoral microbiome profile. 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[</w:t>
      </w:r>
      <w:r>
        <w:rPr>
          <w:rStyle w:val="Emphasis"/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Best</w:t>
      </w:r>
      <w:r>
        <w:rPr>
          <w:rFonts w:eastAsia="Helvetica Neue;Helvetica;Arial;sans-serif" w:cs="Helvetica Neue;Helvetica;Arial;sans-serif" w:ascii="Helvetica Neue;Helvetica;Arial;sans-serif" w:hAnsi="Helvetica Neue;Helvetica;Arial;sans-serif"/>
          <w:b w:val="false"/>
          <w:bCs w:val="false"/>
          <w:i w:val="false"/>
          <w:iCs w:val="false"/>
          <w:caps w:val="false"/>
          <w:smallCaps w:val="false"/>
          <w:color w:val="008000"/>
          <w:spacing w:val="0"/>
          <w:sz w:val="21"/>
          <w:szCs w:val="21"/>
        </w:rPr>
        <w:t>]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150"/>
        <w:ind w:hanging="283" w:left="709" w:right="0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Report the remaining taxa after decontaminated and compared them with core taxa found from the above section.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80" w:after="180"/>
        <w:rPr/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inherit">
    <w:charset w:val="01"/>
    <w:family w:val="auto"/>
    <w:pitch w:val="default"/>
  </w:font>
  <w:font w:name="Helvetica Neue">
    <w:altName w:val="Helvetica"/>
    <w:charset w:val="01"/>
    <w:family w:val="auto"/>
    <w:pitch w:val="default"/>
  </w:font>
  <w:font w:name="STIXGeneral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4</Pages>
  <Words>710</Words>
  <Characters>4209</Characters>
  <CharactersWithSpaces>4822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2026-07-07T10:26:21Z</dcterms:created>
  <dc:creator/>
  <dc:description/>
  <dc:language>en-US</dc:language>
  <cp:lastModifiedBy>Linh Dang</cp:lastModifiedBy>
  <dcterms:modified xsi:type="dcterms:W3CDTF">2026-07-07T16:43:28Z</dcterms:modified>
  <cp:revision>1</cp:revision>
  <dc:subject/>
  <dc:title>WBS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