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ở mức transformer qua 3 bộ dữ liệu / 2 ngôn ngữ (PhoBERT cho ViGoEmotions &amp; UIT-VSMEC; XLM-R cho GoEmotions) cho thấy định tuyến theo chế độ KHÔNG vượt baseline mạnh nhất (text-only/cross-attention) một cách có ý nghĩa thống kê; CARE đạt trung bình tốt nhất trên bộ GIÀU EMOJI nhất (UIT-VSMEC, 0.604) — gợi ý lợi ích tỉ lệ với mật độ emoji.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2"/>
      </w:pPr>
      <w:r>
        <w:t>6.8 Emoji-như-văn-bản-được-nhân-bản: baseline đơn giản ngang fusion</w:t>
      </w:r>
    </w:p>
    <w:p>
      <w:r>
        <w:t xml:space="preserve">Một phát hiện kỹ thuật: tokenizer của PhoBERT </w:t>
      </w:r>
      <w:r>
        <w:rPr>
          <w:b/>
        </w:rPr>
        <w:t>đại diện được emoji</w:t>
      </w:r>
      <w:r>
        <w:t xml:space="preserve"> (vd “😂”→[“😂”], “buồn 😢 quá”→[“buồn”,“😢”,“quá”]) — KHÔNG biến thành &lt;unk&gt;. Do đó việc tách emoji thành một thể thức riêng (qua q_j) là không cần thiết; có thể giữ emoji trong luồng văn bản. Ta thử một phương án ĐƠN GIẢN thay cho routing: giữ emoji trong text và NHÂN BẢN mỗi emoji K lần để tăng sức nặng, rồi phân loại text thông thường.</w:t>
      </w:r>
    </w:p>
    <w:p>
      <w:r>
        <w:t>Bảng 6. Emoji-amplified TF-IDF + Logistic Regression theo số lần nhân bản K.</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w:t>
            </w:r>
          </w:p>
        </w:tc>
        <w:tc>
          <w:tcPr>
            <w:tcW w:type="dxa" w:w="2160"/>
          </w:tcPr>
          <w:p>
            <w:r/>
            <w:r>
              <w:rPr>
                <w:b/>
              </w:rPr>
              <w:t>test macro-F1</w:t>
            </w:r>
          </w:p>
        </w:tc>
        <w:tc>
          <w:tcPr>
            <w:tcW w:type="dxa" w:w="2160"/>
          </w:tcPr>
          <w:p>
            <w:r/>
            <w:r>
              <w:rPr>
                <w:b/>
              </w:rPr>
              <w:t>acc đồng thuận</w:t>
            </w:r>
          </w:p>
        </w:tc>
        <w:tc>
          <w:tcPr>
            <w:tcW w:type="dxa" w:w="2160"/>
          </w:tcPr>
          <w:p>
            <w:r/>
            <w:r>
              <w:rPr>
                <w:b/>
              </w:rPr>
              <w:t>acc mỉa mai</w:t>
            </w:r>
          </w:p>
        </w:tc>
      </w:tr>
      <w:tr>
        <w:tc>
          <w:tcPr>
            <w:tcW w:type="dxa" w:w="2160"/>
          </w:tcPr>
          <w:p>
            <w:r>
              <w:t>0 (chỉ text)</w:t>
            </w:r>
          </w:p>
        </w:tc>
        <w:tc>
          <w:tcPr>
            <w:tcW w:type="dxa" w:w="2160"/>
          </w:tcPr>
          <w:p>
            <w:r>
              <w:t>0.410</w:t>
            </w:r>
          </w:p>
        </w:tc>
        <w:tc>
          <w:tcPr>
            <w:tcW w:type="dxa" w:w="2160"/>
          </w:tcPr>
          <w:p>
            <w:r>
              <w:t>0.671</w:t>
            </w:r>
          </w:p>
        </w:tc>
        <w:tc>
          <w:tcPr>
            <w:tcW w:type="dxa" w:w="2160"/>
          </w:tcPr>
          <w:p>
            <w:r>
              <w:t>0.621</w:t>
            </w:r>
          </w:p>
        </w:tc>
      </w:tr>
      <w:tr>
        <w:tc>
          <w:tcPr>
            <w:tcW w:type="dxa" w:w="2160"/>
          </w:tcPr>
          <w:p>
            <w:r>
              <w:t>1</w:t>
            </w:r>
          </w:p>
        </w:tc>
        <w:tc>
          <w:tcPr>
            <w:tcW w:type="dxa" w:w="2160"/>
          </w:tcPr>
          <w:p>
            <w:r>
              <w:t>0.478</w:t>
            </w:r>
          </w:p>
        </w:tc>
        <w:tc>
          <w:tcPr>
            <w:tcW w:type="dxa" w:w="2160"/>
          </w:tcPr>
          <w:p>
            <w:r>
              <w:t>0.786</w:t>
            </w:r>
          </w:p>
        </w:tc>
        <w:tc>
          <w:tcPr>
            <w:tcW w:type="dxa" w:w="2160"/>
          </w:tcPr>
          <w:p>
            <w:r>
              <w:t>0.600</w:t>
            </w:r>
          </w:p>
        </w:tc>
      </w:tr>
      <w:tr>
        <w:tc>
          <w:tcPr>
            <w:tcW w:type="dxa" w:w="2160"/>
          </w:tcPr>
          <w:p>
            <w:r>
              <w:t>3</w:t>
            </w:r>
          </w:p>
        </w:tc>
        <w:tc>
          <w:tcPr>
            <w:tcW w:type="dxa" w:w="2160"/>
          </w:tcPr>
          <w:p>
            <w:r>
              <w:t>0.493</w:t>
            </w:r>
          </w:p>
        </w:tc>
        <w:tc>
          <w:tcPr>
            <w:tcW w:type="dxa" w:w="2160"/>
          </w:tcPr>
          <w:p>
            <w:r>
              <w:t>0.832</w:t>
            </w:r>
          </w:p>
        </w:tc>
        <w:tc>
          <w:tcPr>
            <w:tcW w:type="dxa" w:w="2160"/>
          </w:tcPr>
          <w:p>
            <w:r>
              <w:t>0.524</w:t>
            </w:r>
          </w:p>
        </w:tc>
      </w:tr>
      <w:tr>
        <w:tc>
          <w:tcPr>
            <w:tcW w:type="dxa" w:w="2160"/>
          </w:tcPr>
          <w:p>
            <w:r>
              <w:t>5</w:t>
            </w:r>
          </w:p>
        </w:tc>
        <w:tc>
          <w:tcPr>
            <w:tcW w:type="dxa" w:w="2160"/>
          </w:tcPr>
          <w:p>
            <w:r>
              <w:t>0.498</w:t>
            </w:r>
          </w:p>
        </w:tc>
        <w:tc>
          <w:tcPr>
            <w:tcW w:type="dxa" w:w="2160"/>
          </w:tcPr>
          <w:p>
            <w:r>
              <w:t>0.832</w:t>
            </w:r>
          </w:p>
        </w:tc>
        <w:tc>
          <w:tcPr>
            <w:tcW w:type="dxa" w:w="2160"/>
          </w:tcPr>
          <w:p>
            <w:r>
              <w:t>0.524</w:t>
            </w:r>
          </w:p>
        </w:tc>
      </w:tr>
      <w:tr>
        <w:tc>
          <w:tcPr>
            <w:tcW w:type="dxa" w:w="2160"/>
          </w:tcPr>
          <w:p>
            <w:r>
              <w:t>10</w:t>
            </w:r>
          </w:p>
        </w:tc>
        <w:tc>
          <w:tcPr>
            <w:tcW w:type="dxa" w:w="2160"/>
          </w:tcPr>
          <w:p>
            <w:r>
              <w:t>0.500</w:t>
            </w:r>
          </w:p>
        </w:tc>
        <w:tc>
          <w:tcPr>
            <w:tcW w:type="dxa" w:w="2160"/>
          </w:tcPr>
          <w:p>
            <w:r>
              <w:t>0.834</w:t>
            </w:r>
          </w:p>
        </w:tc>
        <w:tc>
          <w:tcPr>
            <w:tcW w:type="dxa" w:w="2160"/>
          </w:tcPr>
          <w:p>
            <w:r>
              <w:t>0.524</w:t>
            </w:r>
          </w:p>
        </w:tc>
      </w:tr>
    </w:tbl>
    <w:p/>
    <w:p>
      <w:r>
        <w:rPr>
          <w:b/>
        </w:rPr>
        <w:t xml:space="preserve">Hai kết luận: </w:t>
      </w:r>
      <w:r>
        <w:t xml:space="preserve">(1) chỉ với TF-IDF + nhân bản emoji đã đạt macro-F1 = 0.500, </w:t>
      </w:r>
      <w:r>
        <w:rPr>
          <w:b/>
        </w:rPr>
        <w:t>NGANG CARE-Fusion (0.506)</w:t>
      </w:r>
      <w:r>
        <w:t xml:space="preserve"> — một phương pháp tầm thường sánh ngang kiến trúc routing phức tạp, củng cố thông điệp “hợp nhất đơn giản là đủ”. (2) Tham số K phơi bày trực tiếp hiệu ứng EMOJI HAI LƯỠI: K tăng → đồng thuận tăng mạnh (0.67→0.83) nhưng mỉa mai giảm (0.62→0.52). Bản PhoBERT (giữ emoji + nhân bản K=3, 1 seed): macro-F1 = 0.480 — nằm trong cùng dải với các baseline và CARE-Fusion (~0.48–0.51, trong khoảng nhiễu), xác nhận phương án đơn giản cạnh tranh được với fusion phức tạp (cần đa seed để khẳng định chắc).</w:t>
      </w:r>
    </w:p>
    <w:p>
      <w:pPr>
        <w:pStyle w:val="Heading2"/>
      </w:pPr>
      <w:r>
        <w:t>6.9 Tổng quát hóa đa-dataset, đa-ngôn-ngữ</w:t>
      </w:r>
    </w:p>
    <w:p>
      <w:r>
        <w:t>Chúng tôi kiểm tính tổng quát của hai phát hiện cốt lõi (emoji-amplification GIÚP; emoji HAI LƯỠI) trên hai bộ dữ liệu bổ sung, dùng cùng quy trình (giữ mẫu có emoji, emoji-amplified TF-IDF với char n-gram vốn xuyên ngôn ngữ):</w:t>
      </w:r>
    </w:p>
    <w:p>
      <w:pPr>
        <w:pStyle w:val="ListBullet"/>
      </w:pPr>
      <w:r>
        <w:t>UIT-VSMEC (Vietnamese, Facebook, người gán, 7 cảm xúc) — giàu emoji: 2.367/6.927 (34,2%).</w:t>
      </w:r>
    </w:p>
    <w:p>
      <w:pPr>
        <w:pStyle w:val="ListBullet"/>
      </w:pPr>
      <w:r>
        <w:t>GoEmotions (English, Reddit, người gán, cùng taxonomy 27→6) — thưa emoji: 2.524/58.011 (4,4%).</w:t>
      </w:r>
    </w:p>
    <w:p>
      <w:r>
        <w:t>Lưu ý: dữ liệu cảm xúc-emoji *quy mô lớn &amp; nhãn sạch* gần như không tồn tại — các bộ rất lớn (DeepMoji, Twemoji, Sentiment140) gán nhãn BẰNG chính emoji (vòng lặp) nên không trả lời được câu hỏi “emoji thêm thông tin gì”. Reddit lại thưa emoji. Mạng xã hội kiểu Facebook/Twitter/YouTube giàu emoji hơn nhiều (UIT-VSMEC 34%).</w:t>
      </w:r>
    </w:p>
    <w:p>
      <w:r>
        <w:t>Bảng 7. Tổng quát hóa: emoji-amplified TF-IDF qua 3 bộ dữ liệu / 2 ngôn ngữ.</w:t>
      </w:r>
      <w:r>
        <w:rPr>
          <w:i/>
        </w:rP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Dataset</w:t>
            </w:r>
          </w:p>
        </w:tc>
        <w:tc>
          <w:tcPr>
            <w:tcW w:type="dxa" w:w="1728"/>
          </w:tcPr>
          <w:p>
            <w:r/>
            <w:r>
              <w:rPr>
                <w:b/>
              </w:rPr>
              <w:t>Ngôn ngữ</w:t>
            </w:r>
          </w:p>
        </w:tc>
        <w:tc>
          <w:tcPr>
            <w:tcW w:type="dxa" w:w="1728"/>
          </w:tcPr>
          <w:p>
            <w:r/>
            <w:r>
              <w:rPr>
                <w:b/>
              </w:rPr>
              <w:t>% emoji</w:t>
            </w:r>
          </w:p>
        </w:tc>
        <w:tc>
          <w:tcPr>
            <w:tcW w:type="dxa" w:w="1728"/>
          </w:tcPr>
          <w:p>
            <w:r/>
            <w:r>
              <w:rPr>
                <w:b/>
              </w:rPr>
              <w:t>macro-F1: text → +emoji</w:t>
            </w:r>
          </w:p>
        </w:tc>
        <w:tc>
          <w:tcPr>
            <w:tcW w:type="dxa" w:w="1728"/>
          </w:tcPr>
          <w:p>
            <w:r/>
            <w:r>
              <w:rPr>
                <w:b/>
              </w:rPr>
              <w:t>Hai lưỡi?</w:t>
            </w:r>
          </w:p>
        </w:tc>
      </w:tr>
      <w:tr>
        <w:tc>
          <w:tcPr>
            <w:tcW w:type="dxa" w:w="1728"/>
          </w:tcPr>
          <w:p>
            <w:r>
              <w:t>ViGoEmotions</w:t>
            </w:r>
          </w:p>
        </w:tc>
        <w:tc>
          <w:tcPr>
            <w:tcW w:type="dxa" w:w="1728"/>
          </w:tcPr>
          <w:p>
            <w:r>
              <w:t>VN</w:t>
            </w:r>
          </w:p>
        </w:tc>
        <w:tc>
          <w:tcPr>
            <w:tcW w:type="dxa" w:w="1728"/>
          </w:tcPr>
          <w:p>
            <w:r>
              <w:t>(đã lọc)</w:t>
            </w:r>
          </w:p>
        </w:tc>
        <w:tc>
          <w:tcPr>
            <w:tcW w:type="dxa" w:w="1728"/>
          </w:tcPr>
          <w:p>
            <w:r>
              <w:t>0.410 → 0.493  (+0.08)</w:t>
            </w:r>
          </w:p>
        </w:tc>
        <w:tc>
          <w:tcPr>
            <w:tcW w:type="dxa" w:w="1728"/>
          </w:tcPr>
          <w:p>
            <w:r>
              <w:t>Có</w:t>
            </w:r>
          </w:p>
        </w:tc>
      </w:tr>
      <w:tr>
        <w:tc>
          <w:tcPr>
            <w:tcW w:type="dxa" w:w="1728"/>
          </w:tcPr>
          <w:p>
            <w:r>
              <w:t>UIT-VSMEC</w:t>
            </w:r>
          </w:p>
        </w:tc>
        <w:tc>
          <w:tcPr>
            <w:tcW w:type="dxa" w:w="1728"/>
          </w:tcPr>
          <w:p>
            <w:r>
              <w:t>VN</w:t>
            </w:r>
          </w:p>
        </w:tc>
        <w:tc>
          <w:tcPr>
            <w:tcW w:type="dxa" w:w="1728"/>
          </w:tcPr>
          <w:p>
            <w:r>
              <w:t>34,2%</w:t>
            </w:r>
          </w:p>
        </w:tc>
        <w:tc>
          <w:tcPr>
            <w:tcW w:type="dxa" w:w="1728"/>
          </w:tcPr>
          <w:p>
            <w:r>
              <w:t>0.408 → 0.509  (+0.10)</w:t>
            </w:r>
          </w:p>
        </w:tc>
        <w:tc>
          <w:tcPr>
            <w:tcW w:type="dxa" w:w="1728"/>
          </w:tcPr>
          <w:p>
            <w:r>
              <w:t>Có</w:t>
            </w:r>
          </w:p>
        </w:tc>
      </w:tr>
      <w:tr>
        <w:tc>
          <w:tcPr>
            <w:tcW w:type="dxa" w:w="1728"/>
          </w:tcPr>
          <w:p>
            <w:r>
              <w:t>GoEmotions</w:t>
            </w:r>
          </w:p>
        </w:tc>
        <w:tc>
          <w:tcPr>
            <w:tcW w:type="dxa" w:w="1728"/>
          </w:tcPr>
          <w:p>
            <w:r>
              <w:t>EN</w:t>
            </w:r>
          </w:p>
        </w:tc>
        <w:tc>
          <w:tcPr>
            <w:tcW w:type="dxa" w:w="1728"/>
          </w:tcPr>
          <w:p>
            <w:r>
              <w:t>4,4%</w:t>
            </w:r>
          </w:p>
        </w:tc>
        <w:tc>
          <w:tcPr>
            <w:tcW w:type="dxa" w:w="1728"/>
          </w:tcPr>
          <w:p>
            <w:r>
              <w:t>0.392 → 0.443  (+0.05)</w:t>
            </w:r>
          </w:p>
        </w:tc>
        <w:tc>
          <w:tcPr>
            <w:tcW w:type="dxa" w:w="1728"/>
          </w:tcPr>
          <w:p>
            <w:r>
              <w:t>(overall)</w:t>
            </w:r>
          </w:p>
        </w:tc>
      </w:tr>
    </w:tbl>
    <w:p/>
    <w:p>
      <w:r>
        <w:rPr>
          <w:b/>
        </w:rPr>
        <w:t xml:space="preserve">Kết luận: </w:t>
      </w:r>
      <w:r>
        <w:t>cả hai phát hiện TỔNG QUÁT — emoji-amplification giúp ở cả 3 bộ (Δ +0.05…+0.10), và hiệu ứng hai lưỡi (đồng thuận↑, mỉa mai →/↓ khi tăng K) tái lập trên cả hai bộ tiếng Việt. Đây là bằng chứng generalization vững (đa-dataset, đa-ngôn-ngữ), không đặc thù một corpus.</w:t>
      </w:r>
    </w:p>
    <w:p>
      <w:pPr>
        <w:pStyle w:val="Heading2"/>
      </w:pPr>
      <w:r>
        <w:t>6.10 Kết quả chính thức: transformer × 3 dataset (5 seed)</w:t>
      </w:r>
    </w:p>
    <w:p>
      <w:r>
        <w:t>Chạy thật trên A100: PhoBERT-base cho hai bộ tiếng Việt (ViGoEmotions, UIT-VSMEC), XLM-R-base cho GoEmotions (tiếng Anh); 5 seed; macro-F1 mean±std trên test.</w:t>
      </w:r>
    </w:p>
    <w:p>
      <w:r>
        <w:t>Bảng 8. Macro-F1 (test, 5 seed) ở mức transformer qua 3 bộ dữ liệu.</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Mô hình</w:t>
            </w:r>
          </w:p>
        </w:tc>
        <w:tc>
          <w:tcPr>
            <w:tcW w:type="dxa" w:w="2160"/>
          </w:tcPr>
          <w:p>
            <w:r/>
            <w:r>
              <w:rPr>
                <w:b/>
              </w:rPr>
              <w:t>ViGoEmotions (PhoBERT)</w:t>
            </w:r>
          </w:p>
        </w:tc>
        <w:tc>
          <w:tcPr>
            <w:tcW w:type="dxa" w:w="2160"/>
          </w:tcPr>
          <w:p>
            <w:r/>
            <w:r>
              <w:rPr>
                <w:b/>
              </w:rPr>
              <w:t>UIT-VSMEC (PhoBERT)</w:t>
            </w:r>
          </w:p>
        </w:tc>
        <w:tc>
          <w:tcPr>
            <w:tcW w:type="dxa" w:w="2160"/>
          </w:tcPr>
          <w:p>
            <w:r/>
            <w:r>
              <w:rPr>
                <w:b/>
              </w:rPr>
              <w:t>GoEmotions (XLM-R)</w:t>
            </w:r>
          </w:p>
        </w:tc>
      </w:tr>
      <w:tr>
        <w:tc>
          <w:tcPr>
            <w:tcW w:type="dxa" w:w="2160"/>
          </w:tcPr>
          <w:p>
            <w:r>
              <w:t>B0 majority</w:t>
            </w:r>
          </w:p>
        </w:tc>
        <w:tc>
          <w:tcPr>
            <w:tcW w:type="dxa" w:w="2160"/>
          </w:tcPr>
          <w:p>
            <w:r>
              <w:t>0.111</w:t>
            </w:r>
          </w:p>
        </w:tc>
        <w:tc>
          <w:tcPr>
            <w:tcW w:type="dxa" w:w="2160"/>
          </w:tcPr>
          <w:p>
            <w:r>
              <w:t>0.092</w:t>
            </w:r>
          </w:p>
        </w:tc>
        <w:tc>
          <w:tcPr>
            <w:tcW w:type="dxa" w:w="2160"/>
          </w:tcPr>
          <w:p>
            <w:r>
              <w:t>0.124</w:t>
            </w:r>
          </w:p>
        </w:tc>
      </w:tr>
      <w:tr>
        <w:tc>
          <w:tcPr>
            <w:tcW w:type="dxa" w:w="2160"/>
          </w:tcPr>
          <w:p>
            <w:r>
              <w:t>B1 text-only</w:t>
            </w:r>
          </w:p>
        </w:tc>
        <w:tc>
          <w:tcPr>
            <w:tcW w:type="dxa" w:w="2160"/>
          </w:tcPr>
          <w:p>
            <w:r>
              <w:t>0.466 ± 0.016</w:t>
            </w:r>
          </w:p>
        </w:tc>
        <w:tc>
          <w:tcPr>
            <w:tcW w:type="dxa" w:w="2160"/>
          </w:tcPr>
          <w:p>
            <w:r>
              <w:t>0.577 ± 0.022</w:t>
            </w:r>
          </w:p>
        </w:tc>
        <w:tc>
          <w:tcPr>
            <w:tcW w:type="dxa" w:w="2160"/>
          </w:tcPr>
          <w:p>
            <w:r>
              <w:t>0.465 ± 0.040</w:t>
            </w:r>
          </w:p>
        </w:tc>
      </w:tr>
      <w:tr>
        <w:tc>
          <w:tcPr>
            <w:tcW w:type="dxa" w:w="2160"/>
          </w:tcPr>
          <w:p>
            <w:r>
              <w:t>B2 marker-concat</w:t>
            </w:r>
          </w:p>
        </w:tc>
        <w:tc>
          <w:tcPr>
            <w:tcW w:type="dxa" w:w="2160"/>
          </w:tcPr>
          <w:p>
            <w:r>
              <w:t>0.491 ± 0.010</w:t>
            </w:r>
          </w:p>
        </w:tc>
        <w:tc>
          <w:tcPr>
            <w:tcW w:type="dxa" w:w="2160"/>
          </w:tcPr>
          <w:p>
            <w:r>
              <w:t>0.544 ± 0.026</w:t>
            </w:r>
          </w:p>
        </w:tc>
        <w:tc>
          <w:tcPr>
            <w:tcW w:type="dxa" w:w="2160"/>
          </w:tcPr>
          <w:p>
            <w:r>
              <w:t>0.473 ± 0.057</w:t>
            </w:r>
          </w:p>
        </w:tc>
      </w:tr>
      <w:tr>
        <w:tc>
          <w:tcPr>
            <w:tcW w:type="dxa" w:w="2160"/>
          </w:tcPr>
          <w:p>
            <w:r>
              <w:t>B3 scalar-gated</w:t>
            </w:r>
          </w:p>
        </w:tc>
        <w:tc>
          <w:tcPr>
            <w:tcW w:type="dxa" w:w="2160"/>
          </w:tcPr>
          <w:p>
            <w:r>
              <w:t>0.496 ± 0.012</w:t>
            </w:r>
          </w:p>
        </w:tc>
        <w:tc>
          <w:tcPr>
            <w:tcW w:type="dxa" w:w="2160"/>
          </w:tcPr>
          <w:p>
            <w:r>
              <w:t>0.544 ± 0.017</w:t>
            </w:r>
          </w:p>
        </w:tc>
        <w:tc>
          <w:tcPr>
            <w:tcW w:type="dxa" w:w="2160"/>
          </w:tcPr>
          <w:p>
            <w:r>
              <w:t>0.464 ± 0.045</w:t>
            </w:r>
          </w:p>
        </w:tc>
      </w:tr>
      <w:tr>
        <w:tc>
          <w:tcPr>
            <w:tcW w:type="dxa" w:w="2160"/>
          </w:tcPr>
          <w:p>
            <w:r>
              <w:t>B4 cross-attn</w:t>
            </w:r>
          </w:p>
        </w:tc>
        <w:tc>
          <w:tcPr>
            <w:tcW w:type="dxa" w:w="2160"/>
          </w:tcPr>
          <w:p>
            <w:r>
              <w:t>0.509 ± 0.025</w:t>
            </w:r>
          </w:p>
        </w:tc>
        <w:tc>
          <w:tcPr>
            <w:tcW w:type="dxa" w:w="2160"/>
          </w:tcPr>
          <w:p>
            <w:r>
              <w:t>0.569 ± 0.024</w:t>
            </w:r>
          </w:p>
        </w:tc>
        <w:tc>
          <w:tcPr>
            <w:tcW w:type="dxa" w:w="2160"/>
          </w:tcPr>
          <w:p>
            <w:r>
              <w:t>0.427 ± 0.038</w:t>
            </w:r>
          </w:p>
        </w:tc>
      </w:tr>
      <w:tr>
        <w:tc>
          <w:tcPr>
            <w:tcW w:type="dxa" w:w="2160"/>
          </w:tcPr>
          <w:p>
            <w:r>
              <w:t>CARE-Fusion (full)</w:t>
            </w:r>
          </w:p>
        </w:tc>
        <w:tc>
          <w:tcPr>
            <w:tcW w:type="dxa" w:w="2160"/>
          </w:tcPr>
          <w:p>
            <w:r>
              <w:t>0.488 ± 0.017</w:t>
            </w:r>
          </w:p>
        </w:tc>
        <w:tc>
          <w:tcPr>
            <w:tcW w:type="dxa" w:w="2160"/>
          </w:tcPr>
          <w:p>
            <w:r>
              <w:t>0.604 ± 0.036</w:t>
            </w:r>
          </w:p>
        </w:tc>
        <w:tc>
          <w:tcPr>
            <w:tcW w:type="dxa" w:w="2160"/>
          </w:tcPr>
          <w:p>
            <w:r>
              <w:t>0.489 ± 0.074</w:t>
            </w:r>
          </w:p>
        </w:tc>
      </w:tr>
    </w:tbl>
    <w:p/>
    <w:p>
      <w:r>
        <w:t>(Ablation CARE trên ViGoEmotions: −routing 0.499, −delta 0.513, −cf 0.501, −intensity 0.502, −gcn 0.499, −confidence 0.512 — đều trong khoảng nhiễu của CARE_full.)</w:t>
      </w:r>
    </w:p>
    <w:p>
      <w:r>
        <w:rPr>
          <w:b/>
        </w:rPr>
        <w:t xml:space="preserve">Kiểm định (Wilcoxon, 5 seed). </w:t>
      </w:r>
      <w:r>
        <w:t>Lưu ý: với 5 seed, p nhỏ nhất khả dĩ của Wilcoxon là 0.0625 (cả 5 seed cùng chiều); p&lt;0.05 cần ≥6 seed. (i) ViGoEmotions: CARE_full KHÔNG vượt mô hình nào (vs B4 Δ=−0.021 p=0.44; vs B1 p=0.19). (ii) UIT-VSMEC (giàu emoji 34%): CARE_full CAO NHẤT (0.604), thắng B2/B3 ở TOÀN BỘ 5 seed (Δ≈+0.060, p=0.0625) nhưng so với B1 text-only/B4 cross-attn thì KHÔNG có ý nghĩa (p=0.31). (iii) GoEmotions: CARE_full cao nhất danh nghĩa (0.489) nhưng std=0.074 quá lớn → không ý nghĩa.</w:t>
      </w:r>
    </w:p>
    <w:p>
      <w:r>
        <w:rPr>
          <w:b/>
        </w:rPr>
        <w:t xml:space="preserve">Kết luận: </w:t>
      </w:r>
      <w:r>
        <w:t>trên cả 3 bộ, CARE-Fusion KHÔNG vượt baseline mạnh nhất (text-only/cross-attn) một cách có ý nghĩa thống kê. CARE đạt trung bình tốt nhất trên bộ GIÀU EMOJI (VSMEC) và thắng các baseline hợp nhất đơn giản (concat/gated) ở toàn bộ 5 seed tại đó — gợi ý lợi ích của hợp nhất có cấu trúc TỈ LỆ với mật độ emoji, nhưng chưa đủ mạnh để khẳng định. Biểu tượng cảm xúc cải thiện rõ so với chỉ-text (đặc biệt VSMEC: 0.577→0.604), song hợp nhất đơn giản nhìn chung đã đủ.</w:t>
      </w:r>
    </w:p>
    <w:p>
      <w:pPr>
        <w:pStyle w:val="Heading1"/>
      </w:pPr>
      <w:r>
        <w:t>7. Hạn chế</w:t>
      </w:r>
    </w:p>
    <w:p>
      <w:pPr>
        <w:pStyle w:val="ListBullet"/>
      </w:pPr>
      <w:r>
        <w:t>Đánh giá trên 3 bộ / 2 ngôn ngữ (ViGoEmotions, UIT-VSMEC, GoEmotions), quy mô vừa phải (mỗi bộ vài nghìn mẫu có emoji). Mở rộng quy mô bị chặn bởi MỘT KHOẢNG TRỐNG GÁN NHÃN: các kho giàu emoji quy mô lớn hoặc KHÔNG có nhãn cảm xúc (vd YTCommentVerse, ~32 triệu comment YouTube, &gt;50 ngôn ngữ, ~23% có emoji — chỉ có nhãn chủ đề video, không có cảm xúc), hoặc gán nhãn BẰNG chính emoji (vòng lặp). Việc tạo nhãn cảm xúc quy mô lớn KHÔNG dựa trên emoji là hướng tương lai.</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p>
      <w:pPr>
        <w:pStyle w:val="ListNumber"/>
      </w:pPr>
      <w:r>
        <w:t>Dutta, H. S., Khan, B. (2025). YTCommentVerse: A Multi-Category Multi-Lingual YouTube Comment Corpus. CIKM, tr. 6351-6355. DOI 10.5281/zenodo.15678816.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