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2DD" w:rsidRPr="007D301B" w:rsidRDefault="00842171" w:rsidP="00842171">
      <w:pPr>
        <w:pStyle w:val="ListParagraph"/>
        <w:numPr>
          <w:ilvl w:val="0"/>
          <w:numId w:val="1"/>
        </w:numPr>
        <w:rPr>
          <w:b/>
          <w:sz w:val="28"/>
          <w:szCs w:val="28"/>
          <w:u w:val="single"/>
        </w:rPr>
      </w:pPr>
      <w:r w:rsidRPr="007D301B">
        <w:rPr>
          <w:b/>
          <w:sz w:val="28"/>
          <w:szCs w:val="28"/>
          <w:u w:val="single"/>
        </w:rPr>
        <w:t>Technical Indicators:</w:t>
      </w:r>
    </w:p>
    <w:p w:rsidR="00842171" w:rsidRDefault="00842171" w:rsidP="00842171">
      <w:pPr>
        <w:pStyle w:val="ListParagraph"/>
        <w:numPr>
          <w:ilvl w:val="1"/>
          <w:numId w:val="1"/>
        </w:numPr>
        <w:rPr>
          <w:u w:val="single"/>
        </w:rPr>
      </w:pPr>
      <w:r>
        <w:rPr>
          <w:u w:val="single"/>
        </w:rPr>
        <w:t xml:space="preserve">Bollinger Band/Bollinger Band Percentage: </w:t>
      </w:r>
    </w:p>
    <w:p w:rsidR="00842171" w:rsidRDefault="007D301B" w:rsidP="00842171">
      <w:r>
        <w:rPr>
          <w:noProof/>
        </w:rPr>
        <w:drawing>
          <wp:inline distT="0" distB="0" distL="0" distR="0">
            <wp:extent cx="8658225" cy="4191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58225" cy="4191000"/>
                    </a:xfrm>
                    <a:prstGeom prst="rect">
                      <a:avLst/>
                    </a:prstGeom>
                    <a:noFill/>
                    <a:ln>
                      <a:noFill/>
                    </a:ln>
                  </pic:spPr>
                </pic:pic>
              </a:graphicData>
            </a:graphic>
          </wp:inline>
        </w:drawing>
      </w:r>
    </w:p>
    <w:p w:rsidR="00842171" w:rsidRPr="009862CE" w:rsidRDefault="00842171" w:rsidP="009862CE">
      <w:pPr>
        <w:spacing w:after="0"/>
        <w:contextualSpacing/>
        <w:rPr>
          <w:u w:val="single"/>
        </w:rPr>
      </w:pPr>
      <w:r>
        <w:tab/>
      </w:r>
      <w:r w:rsidRPr="009862CE">
        <w:rPr>
          <w:u w:val="single"/>
        </w:rPr>
        <w:t>Description:</w:t>
      </w:r>
    </w:p>
    <w:p w:rsidR="009862CE" w:rsidRDefault="009862CE" w:rsidP="009862CE">
      <w:pPr>
        <w:pStyle w:val="ListParagraph"/>
        <w:numPr>
          <w:ilvl w:val="0"/>
          <w:numId w:val="2"/>
        </w:numPr>
      </w:pPr>
      <w:r>
        <w:t xml:space="preserve">Normalize these values to 1.0 at the start. </w:t>
      </w:r>
    </w:p>
    <w:p w:rsidR="00842171" w:rsidRDefault="00842171" w:rsidP="009862CE">
      <w:pPr>
        <w:pStyle w:val="ListParagraph"/>
        <w:numPr>
          <w:ilvl w:val="0"/>
          <w:numId w:val="2"/>
        </w:numPr>
      </w:pPr>
      <w:r>
        <w:t xml:space="preserve">Generate 14 days rolling means and rolling </w:t>
      </w:r>
      <w:r w:rsidR="00F5703B">
        <w:t>stdev</w:t>
      </w:r>
      <w:r>
        <w:t>:</w:t>
      </w:r>
    </w:p>
    <w:p w:rsidR="00842171" w:rsidRDefault="00842171" w:rsidP="00842171">
      <w:pPr>
        <w:pStyle w:val="ListParagraph"/>
        <w:numPr>
          <w:ilvl w:val="1"/>
          <w:numId w:val="2"/>
        </w:numPr>
      </w:pPr>
      <w:r>
        <w:t xml:space="preserve">Top Bands = </w:t>
      </w:r>
      <w:r w:rsidR="00F5703B">
        <w:t>rolling means + (2 * rolling stdev)</w:t>
      </w:r>
    </w:p>
    <w:p w:rsidR="00283420" w:rsidRDefault="00283420" w:rsidP="00842171">
      <w:pPr>
        <w:pStyle w:val="ListParagraph"/>
        <w:numPr>
          <w:ilvl w:val="1"/>
          <w:numId w:val="2"/>
        </w:numPr>
      </w:pPr>
      <w:r>
        <w:t>Bottom Bands = rolling means – (2 * rolling stdev)</w:t>
      </w:r>
    </w:p>
    <w:p w:rsidR="00283420" w:rsidRDefault="00283420" w:rsidP="00842171">
      <w:pPr>
        <w:pStyle w:val="ListParagraph"/>
        <w:numPr>
          <w:ilvl w:val="1"/>
          <w:numId w:val="2"/>
        </w:numPr>
      </w:pPr>
      <w:r>
        <w:t>Bollinger Band Percentage (BBP) = (Price – Bottom Band)/ (Top Band – Bottom Band)</w:t>
      </w:r>
    </w:p>
    <w:p w:rsidR="009862CE" w:rsidRDefault="009862CE" w:rsidP="009862CE">
      <w:pPr>
        <w:pStyle w:val="ListParagraph"/>
        <w:numPr>
          <w:ilvl w:val="0"/>
          <w:numId w:val="2"/>
        </w:numPr>
      </w:pPr>
      <w:r>
        <w:t>Standardize BBP by subtracting it by mean and dividing by stdev.</w:t>
      </w:r>
    </w:p>
    <w:p w:rsidR="009862CE" w:rsidRDefault="00283420" w:rsidP="009862CE">
      <w:pPr>
        <w:pStyle w:val="ListParagraph"/>
        <w:numPr>
          <w:ilvl w:val="0"/>
          <w:numId w:val="2"/>
        </w:numPr>
      </w:pPr>
      <w:r>
        <w:t xml:space="preserve">A BUY signal is when BBP </w:t>
      </w:r>
      <w:r w:rsidR="006E1A9A">
        <w:t>&lt; 0</w:t>
      </w:r>
      <w:r w:rsidR="00F019B1">
        <w:t>%</w:t>
      </w:r>
      <w:r w:rsidR="006E1A9A">
        <w:t xml:space="preserve"> as the price is below the bottom band</w:t>
      </w:r>
      <w:r>
        <w:t xml:space="preserve"> and SELL signal is when BBP </w:t>
      </w:r>
      <w:r w:rsidR="006E1A9A">
        <w:t>&gt; 1</w:t>
      </w:r>
      <w:r w:rsidR="00F019B1">
        <w:t>%</w:t>
      </w:r>
      <w:r w:rsidR="006E1A9A">
        <w:t xml:space="preserve"> as the price is above the top band. </w:t>
      </w:r>
    </w:p>
    <w:p w:rsidR="00842171" w:rsidRDefault="00842171" w:rsidP="00842171">
      <w:pPr>
        <w:pStyle w:val="ListParagraph"/>
        <w:numPr>
          <w:ilvl w:val="1"/>
          <w:numId w:val="1"/>
        </w:numPr>
        <w:rPr>
          <w:u w:val="single"/>
        </w:rPr>
      </w:pPr>
      <w:r>
        <w:rPr>
          <w:u w:val="single"/>
        </w:rPr>
        <w:lastRenderedPageBreak/>
        <w:t>Momentum &amp; Volatility:</w:t>
      </w:r>
    </w:p>
    <w:p w:rsidR="00283420" w:rsidRDefault="003024F3" w:rsidP="00283420">
      <w:bookmarkStart w:id="0" w:name="_GoBack"/>
      <w:r>
        <w:rPr>
          <w:noProof/>
        </w:rPr>
        <w:drawing>
          <wp:inline distT="0" distB="0" distL="0" distR="0">
            <wp:extent cx="9001125" cy="4381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01125" cy="4381500"/>
                    </a:xfrm>
                    <a:prstGeom prst="rect">
                      <a:avLst/>
                    </a:prstGeom>
                    <a:noFill/>
                    <a:ln>
                      <a:noFill/>
                    </a:ln>
                  </pic:spPr>
                </pic:pic>
              </a:graphicData>
            </a:graphic>
          </wp:inline>
        </w:drawing>
      </w:r>
      <w:bookmarkEnd w:id="0"/>
    </w:p>
    <w:p w:rsidR="00283420" w:rsidRPr="009862CE" w:rsidRDefault="00283420" w:rsidP="00283420">
      <w:pPr>
        <w:spacing w:after="0"/>
        <w:contextualSpacing/>
        <w:rPr>
          <w:u w:val="single"/>
        </w:rPr>
      </w:pPr>
      <w:r>
        <w:tab/>
      </w:r>
      <w:r w:rsidRPr="009862CE">
        <w:rPr>
          <w:u w:val="single"/>
        </w:rPr>
        <w:t>Description:</w:t>
      </w:r>
    </w:p>
    <w:p w:rsidR="009862CE" w:rsidRDefault="009862CE" w:rsidP="00283420">
      <w:pPr>
        <w:pStyle w:val="ListParagraph"/>
        <w:numPr>
          <w:ilvl w:val="0"/>
          <w:numId w:val="3"/>
        </w:numPr>
      </w:pPr>
      <w:r>
        <w:t>Normalize price to be 1 at the start</w:t>
      </w:r>
    </w:p>
    <w:p w:rsidR="00283420" w:rsidRDefault="00283420" w:rsidP="00283420">
      <w:pPr>
        <w:pStyle w:val="ListParagraph"/>
        <w:numPr>
          <w:ilvl w:val="0"/>
          <w:numId w:val="3"/>
        </w:numPr>
      </w:pPr>
      <w:r>
        <w:t>Generate momentum and volatility for 14 days window:</w:t>
      </w:r>
    </w:p>
    <w:p w:rsidR="00283420" w:rsidRDefault="00283420" w:rsidP="00283420">
      <w:pPr>
        <w:pStyle w:val="ListParagraph"/>
        <w:numPr>
          <w:ilvl w:val="1"/>
          <w:numId w:val="3"/>
        </w:numPr>
      </w:pPr>
      <w:r>
        <w:t xml:space="preserve">Momentum = </w:t>
      </w:r>
      <w:r w:rsidRPr="00283420">
        <w:t xml:space="preserve">(price[t]/price[t-N]) </w:t>
      </w:r>
      <w:r>
        <w:t>–</w:t>
      </w:r>
      <w:r w:rsidRPr="00283420">
        <w:t xml:space="preserve"> 1</w:t>
      </w:r>
    </w:p>
    <w:p w:rsidR="00283420" w:rsidRDefault="00283420" w:rsidP="00283420">
      <w:pPr>
        <w:pStyle w:val="ListParagraph"/>
        <w:numPr>
          <w:ilvl w:val="1"/>
          <w:numId w:val="3"/>
        </w:numPr>
      </w:pPr>
      <w:r>
        <w:t>Volatility = stdev of daily returns</w:t>
      </w:r>
    </w:p>
    <w:p w:rsidR="00283420" w:rsidRDefault="00283420" w:rsidP="00283420">
      <w:pPr>
        <w:pStyle w:val="ListParagraph"/>
        <w:numPr>
          <w:ilvl w:val="0"/>
          <w:numId w:val="3"/>
        </w:numPr>
      </w:pPr>
      <w:r>
        <w:t>Standardize these values by subtracting by means and dividing by std</w:t>
      </w:r>
      <w:r w:rsidR="009862CE">
        <w:t>ev</w:t>
      </w:r>
    </w:p>
    <w:p w:rsidR="00283420" w:rsidRDefault="00283420" w:rsidP="00283420">
      <w:pPr>
        <w:pStyle w:val="ListParagraph"/>
        <w:numPr>
          <w:ilvl w:val="0"/>
          <w:numId w:val="3"/>
        </w:numPr>
      </w:pPr>
      <w:r>
        <w:t>A B</w:t>
      </w:r>
      <w:r w:rsidR="00F019B1">
        <w:t>UY</w:t>
      </w:r>
      <w:r>
        <w:t xml:space="preserve"> Signal is when Momentum </w:t>
      </w:r>
      <w:r w:rsidR="007D301B">
        <w:t>&lt;</w:t>
      </w:r>
      <w:r>
        <w:t xml:space="preserve"> 0 and Volatility &lt; 0.</w:t>
      </w:r>
      <w:r w:rsidR="007D301B">
        <w:t>1</w:t>
      </w:r>
      <w:r w:rsidR="00F019B1">
        <w:t>. Low volatility can indicate that the price is about to turn in the different direction.</w:t>
      </w:r>
    </w:p>
    <w:p w:rsidR="00283420" w:rsidRPr="00283420" w:rsidRDefault="00283420" w:rsidP="00283420">
      <w:pPr>
        <w:pStyle w:val="ListParagraph"/>
        <w:numPr>
          <w:ilvl w:val="0"/>
          <w:numId w:val="3"/>
        </w:numPr>
      </w:pPr>
      <w:r>
        <w:t>A S</w:t>
      </w:r>
      <w:r w:rsidR="00F019B1">
        <w:t>ELL</w:t>
      </w:r>
      <w:r>
        <w:t xml:space="preserve"> Signal is when Momentum </w:t>
      </w:r>
      <w:r w:rsidR="007D301B">
        <w:t>&gt;</w:t>
      </w:r>
      <w:r>
        <w:t xml:space="preserve"> 0 and Volatility &gt; 0.</w:t>
      </w:r>
      <w:r w:rsidR="007D301B">
        <w:t>3</w:t>
      </w:r>
      <w:r w:rsidR="00F019B1">
        <w:t>. These indicators signal period of turbulence in stock price, potential for drop.</w:t>
      </w:r>
    </w:p>
    <w:p w:rsidR="00842171" w:rsidRDefault="00842171" w:rsidP="00842171">
      <w:pPr>
        <w:pStyle w:val="ListParagraph"/>
        <w:numPr>
          <w:ilvl w:val="1"/>
          <w:numId w:val="1"/>
        </w:numPr>
        <w:rPr>
          <w:u w:val="single"/>
        </w:rPr>
      </w:pPr>
      <w:r>
        <w:rPr>
          <w:u w:val="single"/>
        </w:rPr>
        <w:lastRenderedPageBreak/>
        <w:t>Price/SMA:</w:t>
      </w:r>
    </w:p>
    <w:p w:rsidR="007D301B" w:rsidRDefault="007D301B" w:rsidP="007D301B">
      <w:pPr>
        <w:ind w:left="720"/>
      </w:pPr>
      <w:r>
        <w:rPr>
          <w:noProof/>
        </w:rPr>
        <w:drawing>
          <wp:inline distT="0" distB="0" distL="0" distR="0">
            <wp:extent cx="8010525" cy="5181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10525" cy="5181600"/>
                    </a:xfrm>
                    <a:prstGeom prst="rect">
                      <a:avLst/>
                    </a:prstGeom>
                    <a:noFill/>
                    <a:ln>
                      <a:noFill/>
                    </a:ln>
                  </pic:spPr>
                </pic:pic>
              </a:graphicData>
            </a:graphic>
          </wp:inline>
        </w:drawing>
      </w:r>
    </w:p>
    <w:p w:rsidR="007D301B" w:rsidRPr="009862CE" w:rsidRDefault="007D301B" w:rsidP="007D301B">
      <w:pPr>
        <w:spacing w:after="0"/>
        <w:ind w:left="720"/>
        <w:contextualSpacing/>
        <w:rPr>
          <w:u w:val="single"/>
        </w:rPr>
      </w:pPr>
      <w:r w:rsidRPr="009862CE">
        <w:rPr>
          <w:u w:val="single"/>
        </w:rPr>
        <w:t>Description:</w:t>
      </w:r>
    </w:p>
    <w:p w:rsidR="007D301B" w:rsidRDefault="009862CE" w:rsidP="007D301B">
      <w:pPr>
        <w:pStyle w:val="ListParagraph"/>
        <w:numPr>
          <w:ilvl w:val="0"/>
          <w:numId w:val="4"/>
        </w:numPr>
        <w:ind w:left="720"/>
      </w:pPr>
      <w:r>
        <w:t>Normalize Price to be 1.0 at the start and generate SMA for 14 days window</w:t>
      </w:r>
    </w:p>
    <w:p w:rsidR="009862CE" w:rsidRDefault="009862CE" w:rsidP="007D301B">
      <w:pPr>
        <w:pStyle w:val="ListParagraph"/>
        <w:numPr>
          <w:ilvl w:val="0"/>
          <w:numId w:val="4"/>
        </w:numPr>
        <w:ind w:left="720"/>
      </w:pPr>
      <w:r>
        <w:t>Then compute SMAP = price/SMA</w:t>
      </w:r>
    </w:p>
    <w:p w:rsidR="009862CE" w:rsidRDefault="009862CE" w:rsidP="007D301B">
      <w:pPr>
        <w:pStyle w:val="ListParagraph"/>
        <w:numPr>
          <w:ilvl w:val="0"/>
          <w:numId w:val="4"/>
        </w:numPr>
        <w:ind w:left="720"/>
      </w:pPr>
      <w:r>
        <w:t>A BUY signal is when SMAP &lt; 0.95</w:t>
      </w:r>
      <w:r w:rsidR="00F019B1">
        <w:t xml:space="preserve"> as stock is oversold</w:t>
      </w:r>
      <w:r>
        <w:t xml:space="preserve"> and a SELL signal is when SMAP &gt; 1.05</w:t>
      </w:r>
      <w:r w:rsidR="00F019B1">
        <w:t xml:space="preserve"> as stock is overbought</w:t>
      </w:r>
    </w:p>
    <w:p w:rsidR="00842171" w:rsidRDefault="00842171" w:rsidP="00842171">
      <w:pPr>
        <w:pStyle w:val="ListParagraph"/>
        <w:numPr>
          <w:ilvl w:val="0"/>
          <w:numId w:val="1"/>
        </w:numPr>
        <w:rPr>
          <w:b/>
          <w:sz w:val="28"/>
          <w:szCs w:val="28"/>
          <w:u w:val="single"/>
        </w:rPr>
      </w:pPr>
      <w:r w:rsidRPr="007D301B">
        <w:rPr>
          <w:b/>
          <w:sz w:val="28"/>
          <w:szCs w:val="28"/>
          <w:u w:val="single"/>
        </w:rPr>
        <w:lastRenderedPageBreak/>
        <w:t>Best Possible Strategy:</w:t>
      </w:r>
    </w:p>
    <w:p w:rsidR="009862CE" w:rsidRDefault="009862CE" w:rsidP="009862CE">
      <w:pPr>
        <w:rPr>
          <w:sz w:val="28"/>
          <w:szCs w:val="28"/>
        </w:rPr>
      </w:pPr>
      <w:r>
        <w:rPr>
          <w:noProof/>
          <w:sz w:val="28"/>
          <w:szCs w:val="28"/>
        </w:rPr>
        <w:drawing>
          <wp:inline distT="0" distB="0" distL="0" distR="0">
            <wp:extent cx="8601075" cy="4162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01075" cy="4162425"/>
                    </a:xfrm>
                    <a:prstGeom prst="rect">
                      <a:avLst/>
                    </a:prstGeom>
                    <a:noFill/>
                    <a:ln>
                      <a:noFill/>
                    </a:ln>
                  </pic:spPr>
                </pic:pic>
              </a:graphicData>
            </a:graphic>
          </wp:inline>
        </w:drawing>
      </w:r>
    </w:p>
    <w:p w:rsidR="009862CE" w:rsidRDefault="00F94211" w:rsidP="00F14200">
      <w:pPr>
        <w:spacing w:after="0"/>
        <w:contextualSpacing/>
      </w:pPr>
      <w:r w:rsidRPr="00F019B1">
        <w:t>Portfolio values are normalized to start at 1.0 at the beginning.</w:t>
      </w:r>
      <w:r w:rsidR="00AC314F">
        <w:t xml:space="preserve"> Orders are made with no 0 impact and $0 commission. To determine orders,</w:t>
      </w:r>
      <w:r w:rsidRPr="00F019B1">
        <w:t xml:space="preserve"> </w:t>
      </w:r>
      <w:r w:rsidR="00AC314F">
        <w:t>w</w:t>
      </w:r>
      <w:r w:rsidR="00F019B1">
        <w:t>e examine our current position and peek into the future 1 day, see the daily return of the next day, and decide:</w:t>
      </w:r>
    </w:p>
    <w:p w:rsidR="00F019B1" w:rsidRDefault="00F019B1" w:rsidP="00F019B1">
      <w:pPr>
        <w:pStyle w:val="ListParagraph"/>
        <w:numPr>
          <w:ilvl w:val="0"/>
          <w:numId w:val="6"/>
        </w:numPr>
      </w:pPr>
      <w:r>
        <w:t>If we are longing the stock and it goes up or down, we will do nothing/short 2000 respectively</w:t>
      </w:r>
    </w:p>
    <w:p w:rsidR="00F019B1" w:rsidRDefault="00F019B1" w:rsidP="00F019B1">
      <w:pPr>
        <w:pStyle w:val="ListParagraph"/>
        <w:numPr>
          <w:ilvl w:val="0"/>
          <w:numId w:val="6"/>
        </w:numPr>
      </w:pPr>
      <w:r>
        <w:t>If we are shorting the stock and it goes up or down, we will long 2000 or do nothing respectively.</w:t>
      </w:r>
    </w:p>
    <w:p w:rsidR="00F019B1" w:rsidRPr="00F019B1" w:rsidRDefault="00F019B1" w:rsidP="00F019B1">
      <w:pPr>
        <w:pStyle w:val="ListParagraph"/>
        <w:numPr>
          <w:ilvl w:val="0"/>
          <w:numId w:val="6"/>
        </w:numPr>
      </w:pPr>
      <w:r>
        <w:t>If we have no position and the stock goes up or down, we will long 1000 or short 1000 respectively.</w:t>
      </w:r>
    </w:p>
    <w:tbl>
      <w:tblPr>
        <w:tblStyle w:val="TableGrid"/>
        <w:tblW w:w="0" w:type="auto"/>
        <w:tblLook w:val="04A0" w:firstRow="1" w:lastRow="0" w:firstColumn="1" w:lastColumn="0" w:noHBand="0" w:noVBand="1"/>
      </w:tblPr>
      <w:tblGrid>
        <w:gridCol w:w="4392"/>
        <w:gridCol w:w="4392"/>
        <w:gridCol w:w="4392"/>
      </w:tblGrid>
      <w:tr w:rsidR="00F94211" w:rsidRPr="00F019B1" w:rsidTr="00F94211">
        <w:tc>
          <w:tcPr>
            <w:tcW w:w="4392" w:type="dxa"/>
          </w:tcPr>
          <w:p w:rsidR="00F94211" w:rsidRPr="00F019B1" w:rsidRDefault="00F94211" w:rsidP="009862CE">
            <w:pPr>
              <w:rPr>
                <w:b/>
              </w:rPr>
            </w:pPr>
            <w:r w:rsidRPr="00F019B1">
              <w:rPr>
                <w:b/>
              </w:rPr>
              <w:t>Statistics\Portfolio</w:t>
            </w:r>
          </w:p>
        </w:tc>
        <w:tc>
          <w:tcPr>
            <w:tcW w:w="4392" w:type="dxa"/>
          </w:tcPr>
          <w:p w:rsidR="00F94211" w:rsidRPr="00F019B1" w:rsidRDefault="00F94211" w:rsidP="009862CE">
            <w:pPr>
              <w:rPr>
                <w:b/>
              </w:rPr>
            </w:pPr>
            <w:r w:rsidRPr="00F019B1">
              <w:rPr>
                <w:b/>
              </w:rPr>
              <w:t>Best Possible Portfolio</w:t>
            </w:r>
          </w:p>
        </w:tc>
        <w:tc>
          <w:tcPr>
            <w:tcW w:w="4392" w:type="dxa"/>
          </w:tcPr>
          <w:p w:rsidR="00F94211" w:rsidRPr="00F019B1" w:rsidRDefault="00F94211" w:rsidP="009862CE">
            <w:pPr>
              <w:rPr>
                <w:b/>
              </w:rPr>
            </w:pPr>
            <w:r w:rsidRPr="00F019B1">
              <w:rPr>
                <w:b/>
              </w:rPr>
              <w:t>Benchmark</w:t>
            </w:r>
          </w:p>
        </w:tc>
      </w:tr>
      <w:tr w:rsidR="00F94211" w:rsidTr="00F94211">
        <w:tc>
          <w:tcPr>
            <w:tcW w:w="4392" w:type="dxa"/>
          </w:tcPr>
          <w:p w:rsidR="00F94211" w:rsidRPr="00F019B1" w:rsidRDefault="00F94211" w:rsidP="009862CE">
            <w:r w:rsidRPr="00F019B1">
              <w:t>Cumulative Return</w:t>
            </w:r>
          </w:p>
        </w:tc>
        <w:tc>
          <w:tcPr>
            <w:tcW w:w="4392" w:type="dxa"/>
          </w:tcPr>
          <w:p w:rsidR="00F94211" w:rsidRPr="00F019B1" w:rsidRDefault="00F94211" w:rsidP="009862CE">
            <w:r w:rsidRPr="00F019B1">
              <w:t>5.7861</w:t>
            </w:r>
          </w:p>
        </w:tc>
        <w:tc>
          <w:tcPr>
            <w:tcW w:w="4392" w:type="dxa"/>
          </w:tcPr>
          <w:p w:rsidR="00F94211" w:rsidRPr="00F019B1" w:rsidRDefault="00F94211" w:rsidP="009862CE">
            <w:r w:rsidRPr="00F019B1">
              <w:t>0.0123</w:t>
            </w:r>
          </w:p>
        </w:tc>
      </w:tr>
      <w:tr w:rsidR="00F94211" w:rsidTr="00F94211">
        <w:tc>
          <w:tcPr>
            <w:tcW w:w="4392" w:type="dxa"/>
          </w:tcPr>
          <w:p w:rsidR="00F94211" w:rsidRPr="00F019B1" w:rsidRDefault="00F94211" w:rsidP="009862CE">
            <w:r w:rsidRPr="00F019B1">
              <w:t>Standard Deviation of Daily Return</w:t>
            </w:r>
          </w:p>
        </w:tc>
        <w:tc>
          <w:tcPr>
            <w:tcW w:w="4392" w:type="dxa"/>
          </w:tcPr>
          <w:p w:rsidR="00F94211" w:rsidRPr="00F019B1" w:rsidRDefault="00F94211" w:rsidP="009862CE">
            <w:r w:rsidRPr="00F019B1">
              <w:t>0.00454782319791</w:t>
            </w:r>
          </w:p>
        </w:tc>
        <w:tc>
          <w:tcPr>
            <w:tcW w:w="4392" w:type="dxa"/>
          </w:tcPr>
          <w:p w:rsidR="00F94211" w:rsidRPr="00F019B1" w:rsidRDefault="00F94211" w:rsidP="009862CE">
            <w:r w:rsidRPr="00F019B1">
              <w:t>0.0170043662712</w:t>
            </w:r>
          </w:p>
        </w:tc>
      </w:tr>
      <w:tr w:rsidR="00F94211" w:rsidTr="00F94211">
        <w:tc>
          <w:tcPr>
            <w:tcW w:w="4392" w:type="dxa"/>
          </w:tcPr>
          <w:p w:rsidR="00F94211" w:rsidRPr="00F019B1" w:rsidRDefault="00F94211" w:rsidP="009862CE">
            <w:r w:rsidRPr="00F019B1">
              <w:t>Average Daily Return</w:t>
            </w:r>
          </w:p>
        </w:tc>
        <w:tc>
          <w:tcPr>
            <w:tcW w:w="4392" w:type="dxa"/>
          </w:tcPr>
          <w:p w:rsidR="00F94211" w:rsidRPr="00F019B1" w:rsidRDefault="00F94211" w:rsidP="009862CE">
            <w:r w:rsidRPr="00F019B1">
              <w:t>0.00381678615086</w:t>
            </w:r>
          </w:p>
        </w:tc>
        <w:tc>
          <w:tcPr>
            <w:tcW w:w="4392" w:type="dxa"/>
          </w:tcPr>
          <w:p w:rsidR="00F94211" w:rsidRPr="00F019B1" w:rsidRDefault="00F94211" w:rsidP="009862CE">
            <w:r w:rsidRPr="00F019B1">
              <w:t>0.000168086978191</w:t>
            </w:r>
          </w:p>
        </w:tc>
      </w:tr>
    </w:tbl>
    <w:p w:rsidR="00842171" w:rsidRDefault="00842171" w:rsidP="00842171">
      <w:pPr>
        <w:pStyle w:val="ListParagraph"/>
        <w:numPr>
          <w:ilvl w:val="0"/>
          <w:numId w:val="1"/>
        </w:numPr>
        <w:rPr>
          <w:b/>
          <w:sz w:val="28"/>
          <w:szCs w:val="28"/>
          <w:u w:val="single"/>
        </w:rPr>
      </w:pPr>
      <w:r w:rsidRPr="007D301B">
        <w:rPr>
          <w:b/>
          <w:sz w:val="28"/>
          <w:szCs w:val="28"/>
          <w:u w:val="single"/>
        </w:rPr>
        <w:lastRenderedPageBreak/>
        <w:t>Manual Strategy:</w:t>
      </w:r>
    </w:p>
    <w:p w:rsidR="00F94211" w:rsidRDefault="00F94211" w:rsidP="00F94211">
      <w:pPr>
        <w:rPr>
          <w:sz w:val="28"/>
          <w:szCs w:val="28"/>
        </w:rPr>
      </w:pPr>
      <w:r>
        <w:rPr>
          <w:noProof/>
          <w:sz w:val="28"/>
          <w:szCs w:val="28"/>
        </w:rPr>
        <w:drawing>
          <wp:inline distT="0" distB="0" distL="0" distR="0">
            <wp:extent cx="9363075" cy="5648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63075" cy="5648325"/>
                    </a:xfrm>
                    <a:prstGeom prst="rect">
                      <a:avLst/>
                    </a:prstGeom>
                    <a:noFill/>
                    <a:ln>
                      <a:noFill/>
                    </a:ln>
                  </pic:spPr>
                </pic:pic>
              </a:graphicData>
            </a:graphic>
          </wp:inline>
        </w:drawing>
      </w:r>
    </w:p>
    <w:p w:rsidR="00F14200" w:rsidRDefault="0067054C" w:rsidP="00F14200">
      <w:pPr>
        <w:spacing w:after="0"/>
        <w:contextualSpacing/>
        <w:rPr>
          <w:sz w:val="28"/>
          <w:szCs w:val="28"/>
        </w:rPr>
      </w:pPr>
      <w:r>
        <w:rPr>
          <w:sz w:val="28"/>
          <w:szCs w:val="28"/>
        </w:rPr>
        <w:tab/>
      </w:r>
    </w:p>
    <w:p w:rsidR="00F94211" w:rsidRPr="00F14200" w:rsidRDefault="0067054C" w:rsidP="00F14200">
      <w:pPr>
        <w:spacing w:after="0"/>
        <w:contextualSpacing/>
        <w:rPr>
          <w:sz w:val="28"/>
          <w:szCs w:val="28"/>
        </w:rPr>
      </w:pPr>
      <w:r w:rsidRPr="0067054C">
        <w:rPr>
          <w:u w:val="single"/>
        </w:rPr>
        <w:lastRenderedPageBreak/>
        <w:t>Description:</w:t>
      </w:r>
    </w:p>
    <w:p w:rsidR="001E2AF5" w:rsidRPr="001E2AF5" w:rsidRDefault="001E2AF5" w:rsidP="001E2AF5">
      <w:pPr>
        <w:pStyle w:val="ListParagraph"/>
        <w:numPr>
          <w:ilvl w:val="0"/>
          <w:numId w:val="7"/>
        </w:numPr>
        <w:spacing w:after="0"/>
        <w:ind w:left="360"/>
        <w:rPr>
          <w:u w:val="single"/>
        </w:rPr>
      </w:pPr>
      <w:r>
        <w:t>Normalize prices and generate the following technical indicators for 14-day window</w:t>
      </w:r>
    </w:p>
    <w:p w:rsidR="001E2AF5" w:rsidRPr="001E2AF5" w:rsidRDefault="001E2AF5" w:rsidP="001E2AF5">
      <w:pPr>
        <w:pStyle w:val="ListParagraph"/>
        <w:numPr>
          <w:ilvl w:val="1"/>
          <w:numId w:val="7"/>
        </w:numPr>
        <w:spacing w:after="0"/>
        <w:ind w:left="720"/>
        <w:rPr>
          <w:u w:val="single"/>
        </w:rPr>
      </w:pPr>
      <w:r>
        <w:t xml:space="preserve">SMAP </w:t>
      </w:r>
    </w:p>
    <w:p w:rsidR="001E2AF5" w:rsidRPr="001E2AF5" w:rsidRDefault="001E2AF5" w:rsidP="001E2AF5">
      <w:pPr>
        <w:pStyle w:val="ListParagraph"/>
        <w:numPr>
          <w:ilvl w:val="1"/>
          <w:numId w:val="7"/>
        </w:numPr>
        <w:spacing w:after="0"/>
        <w:ind w:left="720"/>
        <w:rPr>
          <w:u w:val="single"/>
        </w:rPr>
      </w:pPr>
      <w:r>
        <w:t xml:space="preserve">Bollinger Band % </w:t>
      </w:r>
    </w:p>
    <w:p w:rsidR="001E2AF5" w:rsidRPr="001E2AF5" w:rsidRDefault="001E2AF5" w:rsidP="001E2AF5">
      <w:pPr>
        <w:pStyle w:val="ListParagraph"/>
        <w:numPr>
          <w:ilvl w:val="1"/>
          <w:numId w:val="7"/>
        </w:numPr>
        <w:spacing w:after="0"/>
        <w:ind w:left="720"/>
        <w:rPr>
          <w:u w:val="single"/>
        </w:rPr>
      </w:pPr>
      <w:r>
        <w:t>Momentum</w:t>
      </w:r>
    </w:p>
    <w:p w:rsidR="001E2AF5" w:rsidRPr="001E2AF5" w:rsidRDefault="001E2AF5" w:rsidP="001E2AF5">
      <w:pPr>
        <w:pStyle w:val="ListParagraph"/>
        <w:numPr>
          <w:ilvl w:val="1"/>
          <w:numId w:val="7"/>
        </w:numPr>
        <w:spacing w:after="0"/>
        <w:ind w:left="720"/>
        <w:rPr>
          <w:u w:val="single"/>
        </w:rPr>
      </w:pPr>
      <w:r>
        <w:t>Volatility</w:t>
      </w:r>
    </w:p>
    <w:tbl>
      <w:tblPr>
        <w:tblStyle w:val="TableGrid"/>
        <w:tblW w:w="0" w:type="auto"/>
        <w:tblLook w:val="04A0" w:firstRow="1" w:lastRow="0" w:firstColumn="1" w:lastColumn="0" w:noHBand="0" w:noVBand="1"/>
      </w:tblPr>
      <w:tblGrid>
        <w:gridCol w:w="6588"/>
        <w:gridCol w:w="6588"/>
      </w:tblGrid>
      <w:tr w:rsidR="0067054C" w:rsidTr="0067054C">
        <w:tc>
          <w:tcPr>
            <w:tcW w:w="6588" w:type="dxa"/>
          </w:tcPr>
          <w:p w:rsidR="0067054C" w:rsidRPr="0067054C" w:rsidRDefault="00F14200" w:rsidP="0067054C">
            <w:pPr>
              <w:pStyle w:val="ListParagraph"/>
              <w:numPr>
                <w:ilvl w:val="0"/>
                <w:numId w:val="5"/>
              </w:numPr>
            </w:pPr>
            <w:r>
              <w:t>Oversold</w:t>
            </w:r>
            <w:r w:rsidR="0067054C" w:rsidRPr="0067054C">
              <w:t xml:space="preserve"> signal</w:t>
            </w:r>
            <w:r>
              <w:t xml:space="preserve"> constituent:</w:t>
            </w:r>
          </w:p>
        </w:tc>
        <w:tc>
          <w:tcPr>
            <w:tcW w:w="6588" w:type="dxa"/>
          </w:tcPr>
          <w:p w:rsidR="0067054C" w:rsidRPr="0067054C" w:rsidRDefault="00F14200" w:rsidP="0067054C">
            <w:pPr>
              <w:pStyle w:val="ListParagraph"/>
              <w:numPr>
                <w:ilvl w:val="0"/>
                <w:numId w:val="5"/>
              </w:numPr>
              <w:rPr>
                <w:u w:val="single"/>
              </w:rPr>
            </w:pPr>
            <w:r>
              <w:t>Overbought</w:t>
            </w:r>
            <w:r w:rsidR="0067054C" w:rsidRPr="0067054C">
              <w:t xml:space="preserve"> signal</w:t>
            </w:r>
            <w:r>
              <w:t xml:space="preserve"> constituent</w:t>
            </w:r>
          </w:p>
        </w:tc>
      </w:tr>
      <w:tr w:rsidR="0067054C" w:rsidTr="0067054C">
        <w:tc>
          <w:tcPr>
            <w:tcW w:w="6588" w:type="dxa"/>
          </w:tcPr>
          <w:p w:rsidR="0067054C" w:rsidRPr="0067054C" w:rsidRDefault="0067054C" w:rsidP="0067054C">
            <w:pPr>
              <w:pStyle w:val="ListParagraph"/>
              <w:numPr>
                <w:ilvl w:val="1"/>
                <w:numId w:val="5"/>
              </w:numPr>
              <w:ind w:left="1080"/>
            </w:pPr>
            <w:r w:rsidRPr="0067054C">
              <w:t>Price/SMA (SMAP) &lt; 0.95</w:t>
            </w:r>
          </w:p>
          <w:p w:rsidR="0067054C" w:rsidRPr="0067054C" w:rsidRDefault="0067054C" w:rsidP="0067054C">
            <w:pPr>
              <w:pStyle w:val="ListParagraph"/>
              <w:numPr>
                <w:ilvl w:val="1"/>
                <w:numId w:val="5"/>
              </w:numPr>
              <w:ind w:left="1080"/>
            </w:pPr>
            <w:r w:rsidRPr="0067054C">
              <w:t>Bollinger Band % (BBP) &lt; 0</w:t>
            </w:r>
          </w:p>
          <w:p w:rsidR="0067054C" w:rsidRPr="0067054C" w:rsidRDefault="0067054C" w:rsidP="0067054C">
            <w:pPr>
              <w:pStyle w:val="ListParagraph"/>
              <w:numPr>
                <w:ilvl w:val="1"/>
                <w:numId w:val="5"/>
              </w:numPr>
              <w:ind w:left="1080"/>
            </w:pPr>
            <w:r w:rsidRPr="0067054C">
              <w:t>Momentum &lt; 0</w:t>
            </w:r>
          </w:p>
          <w:p w:rsidR="0067054C" w:rsidRPr="001E2AF5" w:rsidRDefault="0067054C" w:rsidP="0067054C">
            <w:pPr>
              <w:pStyle w:val="ListParagraph"/>
              <w:numPr>
                <w:ilvl w:val="1"/>
                <w:numId w:val="5"/>
              </w:numPr>
              <w:ind w:left="1080"/>
            </w:pPr>
            <w:r w:rsidRPr="0067054C">
              <w:t>Volatility &lt; 0.1</w:t>
            </w:r>
          </w:p>
        </w:tc>
        <w:tc>
          <w:tcPr>
            <w:tcW w:w="6588" w:type="dxa"/>
          </w:tcPr>
          <w:p w:rsidR="0067054C" w:rsidRPr="0067054C" w:rsidRDefault="0067054C" w:rsidP="0067054C">
            <w:pPr>
              <w:pStyle w:val="ListParagraph"/>
              <w:numPr>
                <w:ilvl w:val="1"/>
                <w:numId w:val="5"/>
              </w:numPr>
              <w:ind w:left="976"/>
            </w:pPr>
            <w:r w:rsidRPr="0067054C">
              <w:t xml:space="preserve">Price/SMA (SMAP) </w:t>
            </w:r>
            <w:r>
              <w:t>&gt;</w:t>
            </w:r>
            <w:r w:rsidRPr="0067054C">
              <w:t xml:space="preserve"> </w:t>
            </w:r>
            <w:r>
              <w:t>1.0</w:t>
            </w:r>
            <w:r w:rsidRPr="0067054C">
              <w:t>5</w:t>
            </w:r>
          </w:p>
          <w:p w:rsidR="0067054C" w:rsidRPr="0067054C" w:rsidRDefault="0067054C" w:rsidP="0067054C">
            <w:pPr>
              <w:pStyle w:val="ListParagraph"/>
              <w:numPr>
                <w:ilvl w:val="1"/>
                <w:numId w:val="5"/>
              </w:numPr>
              <w:ind w:left="976"/>
            </w:pPr>
            <w:r w:rsidRPr="0067054C">
              <w:t xml:space="preserve">Bollinger Band % (BBP) </w:t>
            </w:r>
            <w:r>
              <w:t>&gt;</w:t>
            </w:r>
            <w:r w:rsidRPr="0067054C">
              <w:t xml:space="preserve"> </w:t>
            </w:r>
            <w:r>
              <w:t>1</w:t>
            </w:r>
          </w:p>
          <w:p w:rsidR="0067054C" w:rsidRPr="0067054C" w:rsidRDefault="0067054C" w:rsidP="0067054C">
            <w:pPr>
              <w:pStyle w:val="ListParagraph"/>
              <w:numPr>
                <w:ilvl w:val="1"/>
                <w:numId w:val="5"/>
              </w:numPr>
              <w:ind w:left="976"/>
            </w:pPr>
            <w:r w:rsidRPr="0067054C">
              <w:t xml:space="preserve">Momentum </w:t>
            </w:r>
            <w:r>
              <w:t>&gt;</w:t>
            </w:r>
            <w:r w:rsidRPr="0067054C">
              <w:t xml:space="preserve"> 0</w:t>
            </w:r>
          </w:p>
          <w:p w:rsidR="0067054C" w:rsidRPr="001E2AF5" w:rsidRDefault="0067054C" w:rsidP="0067054C">
            <w:pPr>
              <w:pStyle w:val="ListParagraph"/>
              <w:numPr>
                <w:ilvl w:val="1"/>
                <w:numId w:val="5"/>
              </w:numPr>
              <w:ind w:left="976"/>
            </w:pPr>
            <w:r w:rsidRPr="0067054C">
              <w:t xml:space="preserve">Volatility </w:t>
            </w:r>
            <w:r>
              <w:t>&gt;</w:t>
            </w:r>
            <w:r w:rsidRPr="0067054C">
              <w:t xml:space="preserve"> 0.</w:t>
            </w:r>
            <w:r>
              <w:t>3</w:t>
            </w:r>
          </w:p>
        </w:tc>
      </w:tr>
    </w:tbl>
    <w:p w:rsidR="0067054C" w:rsidRPr="00F14200" w:rsidRDefault="00F14200" w:rsidP="00F14200">
      <w:pPr>
        <w:pStyle w:val="ListParagraph"/>
        <w:numPr>
          <w:ilvl w:val="0"/>
          <w:numId w:val="8"/>
        </w:numPr>
        <w:spacing w:after="0"/>
        <w:ind w:left="360"/>
        <w:rPr>
          <w:u w:val="single"/>
        </w:rPr>
      </w:pPr>
      <w:r>
        <w:t xml:space="preserve">We buy when we see an oversold signal and sell when we see an overbought signal. </w:t>
      </w:r>
      <w:r w:rsidR="00AC314F">
        <w:t>The idea is we buy when the price</w:t>
      </w:r>
      <w:r w:rsidR="003655B3">
        <w:t xml:space="preserve"> has been going down,</w:t>
      </w:r>
      <w:r w:rsidR="00AC314F">
        <w:t xml:space="preserve"> is traded below the average price</w:t>
      </w:r>
      <w:r w:rsidR="003655B3">
        <w:t xml:space="preserve"> and</w:t>
      </w:r>
      <w:r w:rsidR="00AC314F">
        <w:t xml:space="preserve"> below the bottom band </w:t>
      </w:r>
      <w:r w:rsidR="003655B3">
        <w:t>at low</w:t>
      </w:r>
      <w:r w:rsidR="00AC314F">
        <w:t xml:space="preserve"> volatility. This suggests an imminent turning point which is an upward momentum.</w:t>
      </w:r>
      <w:r w:rsidR="003655B3">
        <w:t xml:space="preserve"> This means we should go long.</w:t>
      </w:r>
      <w:r w:rsidR="00AC314F">
        <w:t xml:space="preserve"> Reversely, we want to sell out position when the price</w:t>
      </w:r>
      <w:r w:rsidR="003655B3">
        <w:t xml:space="preserve"> has been going up,</w:t>
      </w:r>
      <w:r w:rsidR="00AC314F">
        <w:t xml:space="preserve"> is traded above the average and above the top band at high volatility</w:t>
      </w:r>
      <w:r w:rsidR="003655B3">
        <w:t>. This signal suggests that the price will drop by reverting towards the mean, indicating we should go short.</w:t>
      </w:r>
      <w:r w:rsidR="003024F3">
        <w:t xml:space="preserve"> And we close positions when the symbol crosses through its SMA. </w:t>
      </w:r>
    </w:p>
    <w:p w:rsidR="00F14200" w:rsidRPr="00F14200" w:rsidRDefault="00F14200" w:rsidP="00F14200">
      <w:pPr>
        <w:pStyle w:val="ListParagraph"/>
        <w:spacing w:after="0"/>
        <w:ind w:left="360"/>
        <w:rPr>
          <w:u w:val="single"/>
        </w:rPr>
      </w:pPr>
    </w:p>
    <w:p w:rsidR="0051355F" w:rsidRPr="001E2AF5" w:rsidRDefault="001E2AF5" w:rsidP="0067054C">
      <w:pPr>
        <w:spacing w:after="0"/>
        <w:contextualSpacing/>
        <w:rPr>
          <w:u w:val="single"/>
        </w:rPr>
      </w:pPr>
      <w:r>
        <w:rPr>
          <w:u w:val="single"/>
        </w:rPr>
        <w:t xml:space="preserve">Performance: </w:t>
      </w:r>
    </w:p>
    <w:tbl>
      <w:tblPr>
        <w:tblStyle w:val="TableGrid"/>
        <w:tblW w:w="0" w:type="auto"/>
        <w:tblLook w:val="04A0" w:firstRow="1" w:lastRow="0" w:firstColumn="1" w:lastColumn="0" w:noHBand="0" w:noVBand="1"/>
      </w:tblPr>
      <w:tblGrid>
        <w:gridCol w:w="4392"/>
        <w:gridCol w:w="4392"/>
        <w:gridCol w:w="4392"/>
      </w:tblGrid>
      <w:tr w:rsidR="006E1A9A" w:rsidRPr="00F14200" w:rsidTr="00971182">
        <w:tc>
          <w:tcPr>
            <w:tcW w:w="4392" w:type="dxa"/>
          </w:tcPr>
          <w:p w:rsidR="006E1A9A" w:rsidRPr="00F14200" w:rsidRDefault="006E1A9A" w:rsidP="00971182">
            <w:pPr>
              <w:rPr>
                <w:b/>
              </w:rPr>
            </w:pPr>
            <w:r w:rsidRPr="00F14200">
              <w:rPr>
                <w:b/>
              </w:rPr>
              <w:t>Statistics\Portfolio</w:t>
            </w:r>
          </w:p>
        </w:tc>
        <w:tc>
          <w:tcPr>
            <w:tcW w:w="4392" w:type="dxa"/>
          </w:tcPr>
          <w:p w:rsidR="006E1A9A" w:rsidRPr="00F14200" w:rsidRDefault="006E1A9A" w:rsidP="00971182">
            <w:pPr>
              <w:rPr>
                <w:b/>
              </w:rPr>
            </w:pPr>
            <w:r w:rsidRPr="00F14200">
              <w:rPr>
                <w:b/>
              </w:rPr>
              <w:t>Manual Strategy</w:t>
            </w:r>
            <w:r w:rsidRPr="00F14200">
              <w:rPr>
                <w:b/>
              </w:rPr>
              <w:t xml:space="preserve"> Portfolio</w:t>
            </w:r>
          </w:p>
        </w:tc>
        <w:tc>
          <w:tcPr>
            <w:tcW w:w="4392" w:type="dxa"/>
          </w:tcPr>
          <w:p w:rsidR="006E1A9A" w:rsidRPr="00F14200" w:rsidRDefault="006E1A9A" w:rsidP="00971182">
            <w:pPr>
              <w:rPr>
                <w:b/>
              </w:rPr>
            </w:pPr>
            <w:r w:rsidRPr="00F14200">
              <w:rPr>
                <w:b/>
              </w:rPr>
              <w:t>Benchmark</w:t>
            </w:r>
          </w:p>
        </w:tc>
      </w:tr>
      <w:tr w:rsidR="006E1A9A" w:rsidTr="00971182">
        <w:tc>
          <w:tcPr>
            <w:tcW w:w="4392" w:type="dxa"/>
          </w:tcPr>
          <w:p w:rsidR="006E1A9A" w:rsidRPr="00F019B1" w:rsidRDefault="006E1A9A" w:rsidP="00971182">
            <w:r w:rsidRPr="00F019B1">
              <w:t>Cumulative Return</w:t>
            </w:r>
          </w:p>
        </w:tc>
        <w:tc>
          <w:tcPr>
            <w:tcW w:w="4392" w:type="dxa"/>
          </w:tcPr>
          <w:p w:rsidR="006E1A9A" w:rsidRPr="00F019B1" w:rsidRDefault="006E1A9A" w:rsidP="00971182">
            <w:r w:rsidRPr="00F019B1">
              <w:t>0.283117170158</w:t>
            </w:r>
          </w:p>
        </w:tc>
        <w:tc>
          <w:tcPr>
            <w:tcW w:w="4392" w:type="dxa"/>
          </w:tcPr>
          <w:p w:rsidR="006E1A9A" w:rsidRPr="00F019B1" w:rsidRDefault="006E1A9A" w:rsidP="00971182">
            <w:r w:rsidRPr="00F019B1">
              <w:t>0.0102362078485</w:t>
            </w:r>
          </w:p>
        </w:tc>
      </w:tr>
      <w:tr w:rsidR="006E1A9A" w:rsidTr="00971182">
        <w:tc>
          <w:tcPr>
            <w:tcW w:w="4392" w:type="dxa"/>
          </w:tcPr>
          <w:p w:rsidR="006E1A9A" w:rsidRPr="00F019B1" w:rsidRDefault="006E1A9A" w:rsidP="00971182">
            <w:r w:rsidRPr="00F019B1">
              <w:t>Standard Deviation of Daily Return</w:t>
            </w:r>
          </w:p>
        </w:tc>
        <w:tc>
          <w:tcPr>
            <w:tcW w:w="4392" w:type="dxa"/>
          </w:tcPr>
          <w:p w:rsidR="006E1A9A" w:rsidRPr="00F019B1" w:rsidRDefault="006E1A9A" w:rsidP="00971182">
            <w:r w:rsidRPr="00F019B1">
              <w:t>0.0100806621122</w:t>
            </w:r>
          </w:p>
        </w:tc>
        <w:tc>
          <w:tcPr>
            <w:tcW w:w="4392" w:type="dxa"/>
          </w:tcPr>
          <w:p w:rsidR="006E1A9A" w:rsidRPr="00F019B1" w:rsidRDefault="006E1A9A" w:rsidP="00971182">
            <w:r w:rsidRPr="00F019B1">
              <w:t>0.0170412256784</w:t>
            </w:r>
          </w:p>
        </w:tc>
      </w:tr>
      <w:tr w:rsidR="006E1A9A" w:rsidTr="00971182">
        <w:tc>
          <w:tcPr>
            <w:tcW w:w="4392" w:type="dxa"/>
          </w:tcPr>
          <w:p w:rsidR="006E1A9A" w:rsidRPr="00F019B1" w:rsidRDefault="006E1A9A" w:rsidP="00971182">
            <w:r w:rsidRPr="00F019B1">
              <w:t>Average Daily Return</w:t>
            </w:r>
          </w:p>
        </w:tc>
        <w:tc>
          <w:tcPr>
            <w:tcW w:w="4392" w:type="dxa"/>
          </w:tcPr>
          <w:p w:rsidR="006E1A9A" w:rsidRPr="00F019B1" w:rsidRDefault="006E1A9A" w:rsidP="00971182">
            <w:r w:rsidRPr="00F019B1">
              <w:t>0.000545124907955</w:t>
            </w:r>
          </w:p>
        </w:tc>
        <w:tc>
          <w:tcPr>
            <w:tcW w:w="4392" w:type="dxa"/>
          </w:tcPr>
          <w:p w:rsidR="006E1A9A" w:rsidRPr="00F019B1" w:rsidRDefault="006E1A9A" w:rsidP="00971182">
            <w:r w:rsidRPr="00F019B1">
              <w:t>0.000164660047203</w:t>
            </w:r>
          </w:p>
        </w:tc>
      </w:tr>
    </w:tbl>
    <w:p w:rsidR="006E1A9A" w:rsidRPr="006E1A9A" w:rsidRDefault="006E1A9A" w:rsidP="0067054C">
      <w:pPr>
        <w:spacing w:after="0"/>
        <w:contextualSpacing/>
      </w:pPr>
      <w:r>
        <w:t xml:space="preserve">As we can see, the manual strategy for in-sample backtests </w:t>
      </w:r>
      <w:r w:rsidR="001E2AF5">
        <w:t>out</w:t>
      </w:r>
      <w:r>
        <w:t>perform</w:t>
      </w:r>
      <w:r w:rsidR="001E2AF5">
        <w:t>s</w:t>
      </w:r>
      <w:r>
        <w:t xml:space="preserve"> the benchmark. Adjusted for impact</w:t>
      </w:r>
      <w:r w:rsidR="00F019B1">
        <w:t xml:space="preserve"> (0.005)</w:t>
      </w:r>
      <w:r>
        <w:t xml:space="preserve"> and </w:t>
      </w:r>
      <w:r w:rsidR="001E2AF5">
        <w:t>commission (</w:t>
      </w:r>
      <w:r w:rsidR="00F019B1">
        <w:t>$9.95)</w:t>
      </w:r>
      <w:r>
        <w:t>, the manual rule-based strategy has a cumulative return of 0.28311 while the benchmark has a cumulative return 0f 0.01023</w:t>
      </w:r>
      <w:r w:rsidR="001E2AF5">
        <w:t xml:space="preserve"> with lower standard deviation of daily return and higher mean daily return. As such, the Sharpe Ratio of the manual strategy is 0.858 while the Sharpe Ratio of the benchmark is 0.153</w:t>
      </w:r>
    </w:p>
    <w:p w:rsidR="006E1A9A" w:rsidRDefault="006E1A9A" w:rsidP="0067054C">
      <w:pPr>
        <w:spacing w:after="0"/>
        <w:contextualSpacing/>
        <w:rPr>
          <w:u w:val="single"/>
        </w:rPr>
      </w:pPr>
    </w:p>
    <w:p w:rsidR="006E1A9A" w:rsidRDefault="006E1A9A" w:rsidP="0067054C">
      <w:pPr>
        <w:spacing w:after="0"/>
        <w:contextualSpacing/>
        <w:rPr>
          <w:u w:val="single"/>
        </w:rPr>
      </w:pPr>
    </w:p>
    <w:p w:rsidR="006E1A9A" w:rsidRDefault="006E1A9A" w:rsidP="0067054C">
      <w:pPr>
        <w:spacing w:after="0"/>
        <w:contextualSpacing/>
        <w:rPr>
          <w:u w:val="single"/>
        </w:rPr>
      </w:pPr>
    </w:p>
    <w:p w:rsidR="006E1A9A" w:rsidRDefault="006E1A9A" w:rsidP="0067054C">
      <w:pPr>
        <w:spacing w:after="0"/>
        <w:contextualSpacing/>
        <w:rPr>
          <w:u w:val="single"/>
        </w:rPr>
      </w:pPr>
    </w:p>
    <w:p w:rsidR="006E1A9A" w:rsidRDefault="006E1A9A" w:rsidP="0067054C">
      <w:pPr>
        <w:spacing w:after="0"/>
        <w:contextualSpacing/>
        <w:rPr>
          <w:u w:val="single"/>
        </w:rPr>
      </w:pPr>
    </w:p>
    <w:p w:rsidR="006E1A9A" w:rsidRDefault="006E1A9A" w:rsidP="0067054C">
      <w:pPr>
        <w:spacing w:after="0"/>
        <w:contextualSpacing/>
        <w:rPr>
          <w:u w:val="single"/>
        </w:rPr>
      </w:pPr>
    </w:p>
    <w:p w:rsidR="006E1A9A" w:rsidRDefault="006E1A9A" w:rsidP="0067054C">
      <w:pPr>
        <w:spacing w:after="0"/>
        <w:contextualSpacing/>
        <w:rPr>
          <w:u w:val="single"/>
        </w:rPr>
      </w:pPr>
    </w:p>
    <w:p w:rsidR="006E1A9A" w:rsidRDefault="006E1A9A" w:rsidP="0067054C">
      <w:pPr>
        <w:spacing w:after="0"/>
        <w:contextualSpacing/>
        <w:rPr>
          <w:u w:val="single"/>
        </w:rPr>
      </w:pPr>
    </w:p>
    <w:p w:rsidR="00842171" w:rsidRDefault="00842171" w:rsidP="00842171">
      <w:pPr>
        <w:pStyle w:val="ListParagraph"/>
        <w:numPr>
          <w:ilvl w:val="0"/>
          <w:numId w:val="1"/>
        </w:numPr>
        <w:rPr>
          <w:b/>
          <w:sz w:val="28"/>
          <w:szCs w:val="28"/>
          <w:u w:val="single"/>
        </w:rPr>
      </w:pPr>
      <w:r w:rsidRPr="007D301B">
        <w:rPr>
          <w:b/>
          <w:sz w:val="28"/>
          <w:szCs w:val="28"/>
          <w:u w:val="single"/>
        </w:rPr>
        <w:lastRenderedPageBreak/>
        <w:t>Comparative Analysis:</w:t>
      </w:r>
    </w:p>
    <w:p w:rsidR="006E1A9A" w:rsidRDefault="001E2AF5" w:rsidP="006E1A9A">
      <w:pPr>
        <w:rPr>
          <w:sz w:val="28"/>
          <w:szCs w:val="28"/>
        </w:rPr>
      </w:pPr>
      <w:r>
        <w:rPr>
          <w:noProof/>
          <w:sz w:val="28"/>
          <w:szCs w:val="28"/>
        </w:rPr>
        <w:drawing>
          <wp:inline distT="0" distB="0" distL="0" distR="0">
            <wp:extent cx="9305925" cy="4953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05925" cy="4953000"/>
                    </a:xfrm>
                    <a:prstGeom prst="rect">
                      <a:avLst/>
                    </a:prstGeom>
                    <a:noFill/>
                    <a:ln>
                      <a:noFill/>
                    </a:ln>
                  </pic:spPr>
                </pic:pic>
              </a:graphicData>
            </a:graphic>
          </wp:inline>
        </w:drawing>
      </w:r>
    </w:p>
    <w:p w:rsidR="00226F08" w:rsidRDefault="00226F08" w:rsidP="006E1A9A">
      <w:pPr>
        <w:rPr>
          <w:sz w:val="28"/>
          <w:szCs w:val="28"/>
        </w:rPr>
      </w:pPr>
    </w:p>
    <w:p w:rsidR="00226F08" w:rsidRDefault="00226F08" w:rsidP="006E1A9A">
      <w:pPr>
        <w:rPr>
          <w:sz w:val="28"/>
          <w:szCs w:val="28"/>
        </w:rPr>
      </w:pPr>
    </w:p>
    <w:p w:rsidR="00F14200" w:rsidRDefault="00F14200" w:rsidP="006E1A9A">
      <w:pPr>
        <w:rPr>
          <w:sz w:val="28"/>
          <w:szCs w:val="28"/>
        </w:rPr>
      </w:pPr>
    </w:p>
    <w:tbl>
      <w:tblPr>
        <w:tblStyle w:val="TableGrid"/>
        <w:tblW w:w="0" w:type="auto"/>
        <w:tblLook w:val="04A0" w:firstRow="1" w:lastRow="0" w:firstColumn="1" w:lastColumn="0" w:noHBand="0" w:noVBand="1"/>
      </w:tblPr>
      <w:tblGrid>
        <w:gridCol w:w="4392"/>
        <w:gridCol w:w="2736"/>
        <w:gridCol w:w="3060"/>
        <w:gridCol w:w="3060"/>
      </w:tblGrid>
      <w:tr w:rsidR="00226F08" w:rsidRPr="00F14200" w:rsidTr="006F42FC">
        <w:tc>
          <w:tcPr>
            <w:tcW w:w="4392" w:type="dxa"/>
          </w:tcPr>
          <w:p w:rsidR="00226F08" w:rsidRPr="00F14200" w:rsidRDefault="00226F08" w:rsidP="00971182">
            <w:pPr>
              <w:rPr>
                <w:b/>
              </w:rPr>
            </w:pPr>
            <w:r w:rsidRPr="00F14200">
              <w:rPr>
                <w:b/>
              </w:rPr>
              <w:lastRenderedPageBreak/>
              <w:t>Statistics\Portfolio</w:t>
            </w:r>
          </w:p>
        </w:tc>
        <w:tc>
          <w:tcPr>
            <w:tcW w:w="2736" w:type="dxa"/>
          </w:tcPr>
          <w:p w:rsidR="00226F08" w:rsidRPr="00F14200" w:rsidRDefault="00226F08" w:rsidP="00971182">
            <w:pPr>
              <w:rPr>
                <w:b/>
              </w:rPr>
            </w:pPr>
            <w:r w:rsidRPr="00F14200">
              <w:rPr>
                <w:b/>
              </w:rPr>
              <w:t>In-Sample</w:t>
            </w:r>
            <w:r w:rsidRPr="00F14200">
              <w:rPr>
                <w:b/>
              </w:rPr>
              <w:t xml:space="preserve"> Portfolio</w:t>
            </w:r>
          </w:p>
        </w:tc>
        <w:tc>
          <w:tcPr>
            <w:tcW w:w="3060" w:type="dxa"/>
          </w:tcPr>
          <w:p w:rsidR="00226F08" w:rsidRPr="00F14200" w:rsidRDefault="00226F08" w:rsidP="00971182">
            <w:pPr>
              <w:rPr>
                <w:b/>
              </w:rPr>
            </w:pPr>
            <w:r w:rsidRPr="00F14200">
              <w:rPr>
                <w:b/>
              </w:rPr>
              <w:t>Out-of</w:t>
            </w:r>
            <w:r w:rsidRPr="00F14200">
              <w:rPr>
                <w:b/>
              </w:rPr>
              <w:t>-Sample Portfolio</w:t>
            </w:r>
          </w:p>
        </w:tc>
        <w:tc>
          <w:tcPr>
            <w:tcW w:w="3060" w:type="dxa"/>
          </w:tcPr>
          <w:p w:rsidR="00226F08" w:rsidRPr="00F14200" w:rsidRDefault="00226F08" w:rsidP="00971182">
            <w:pPr>
              <w:rPr>
                <w:b/>
              </w:rPr>
            </w:pPr>
            <w:r w:rsidRPr="00F14200">
              <w:rPr>
                <w:b/>
              </w:rPr>
              <w:t>Benchmark</w:t>
            </w:r>
          </w:p>
        </w:tc>
      </w:tr>
      <w:tr w:rsidR="00226F08" w:rsidTr="006F42FC">
        <w:tc>
          <w:tcPr>
            <w:tcW w:w="4392" w:type="dxa"/>
          </w:tcPr>
          <w:p w:rsidR="00226F08" w:rsidRPr="001E2AF5" w:rsidRDefault="00226F08" w:rsidP="00226F08">
            <w:r w:rsidRPr="001E2AF5">
              <w:t>Period</w:t>
            </w:r>
          </w:p>
        </w:tc>
        <w:tc>
          <w:tcPr>
            <w:tcW w:w="2736" w:type="dxa"/>
          </w:tcPr>
          <w:p w:rsidR="00226F08" w:rsidRPr="001E2AF5" w:rsidRDefault="00226F08" w:rsidP="00226F08">
            <w:r w:rsidRPr="001E2AF5">
              <w:t>01/01/2008 – 12/31/2009</w:t>
            </w:r>
          </w:p>
        </w:tc>
        <w:tc>
          <w:tcPr>
            <w:tcW w:w="3060" w:type="dxa"/>
          </w:tcPr>
          <w:p w:rsidR="00226F08" w:rsidRPr="001E2AF5" w:rsidRDefault="00226F08" w:rsidP="00226F08">
            <w:r w:rsidRPr="001E2AF5">
              <w:t>01/01/20</w:t>
            </w:r>
            <w:r w:rsidRPr="001E2AF5">
              <w:t>10</w:t>
            </w:r>
            <w:r w:rsidRPr="001E2AF5">
              <w:t xml:space="preserve"> – 12/31/20</w:t>
            </w:r>
            <w:r w:rsidRPr="001E2AF5">
              <w:t>11</w:t>
            </w:r>
          </w:p>
        </w:tc>
        <w:tc>
          <w:tcPr>
            <w:tcW w:w="3060" w:type="dxa"/>
          </w:tcPr>
          <w:p w:rsidR="00226F08" w:rsidRPr="001E2AF5" w:rsidRDefault="00226F08" w:rsidP="00226F08">
            <w:r w:rsidRPr="001E2AF5">
              <w:t>01/01/2010 – 12/31/2011</w:t>
            </w:r>
          </w:p>
        </w:tc>
      </w:tr>
      <w:tr w:rsidR="00226F08" w:rsidTr="006F42FC">
        <w:tc>
          <w:tcPr>
            <w:tcW w:w="4392" w:type="dxa"/>
          </w:tcPr>
          <w:p w:rsidR="00226F08" w:rsidRPr="001E2AF5" w:rsidRDefault="00226F08" w:rsidP="00226F08">
            <w:r>
              <w:t>Sharpe Ratio</w:t>
            </w:r>
          </w:p>
        </w:tc>
        <w:tc>
          <w:tcPr>
            <w:tcW w:w="2736" w:type="dxa"/>
          </w:tcPr>
          <w:p w:rsidR="00226F08" w:rsidRPr="001E2AF5" w:rsidRDefault="00226F08" w:rsidP="00226F08">
            <w:pPr>
              <w:tabs>
                <w:tab w:val="left" w:pos="1260"/>
              </w:tabs>
            </w:pPr>
            <w:r w:rsidRPr="00226F08">
              <w:t>0.85843464875</w:t>
            </w:r>
            <w:r>
              <w:tab/>
            </w:r>
          </w:p>
        </w:tc>
        <w:tc>
          <w:tcPr>
            <w:tcW w:w="3060" w:type="dxa"/>
          </w:tcPr>
          <w:p w:rsidR="00226F08" w:rsidRPr="001E2AF5" w:rsidRDefault="00226F08" w:rsidP="00226F08">
            <w:r w:rsidRPr="00226F08">
              <w:t>0.239267050482</w:t>
            </w:r>
          </w:p>
        </w:tc>
        <w:tc>
          <w:tcPr>
            <w:tcW w:w="3060" w:type="dxa"/>
          </w:tcPr>
          <w:p w:rsidR="00226F08" w:rsidRPr="00226F08" w:rsidRDefault="00226F08" w:rsidP="00226F08">
            <w:r w:rsidRPr="00226F08">
              <w:t>-0.263617228461</w:t>
            </w:r>
          </w:p>
        </w:tc>
      </w:tr>
      <w:tr w:rsidR="00226F08" w:rsidTr="006F42FC">
        <w:tc>
          <w:tcPr>
            <w:tcW w:w="4392" w:type="dxa"/>
          </w:tcPr>
          <w:p w:rsidR="00226F08" w:rsidRPr="001E2AF5" w:rsidRDefault="00226F08" w:rsidP="00226F08">
            <w:r w:rsidRPr="001E2AF5">
              <w:t>Cumulative Return</w:t>
            </w:r>
          </w:p>
        </w:tc>
        <w:tc>
          <w:tcPr>
            <w:tcW w:w="2736" w:type="dxa"/>
          </w:tcPr>
          <w:p w:rsidR="00226F08" w:rsidRPr="001E2AF5" w:rsidRDefault="00226F08" w:rsidP="00226F08">
            <w:r w:rsidRPr="001E2AF5">
              <w:t>0.283117170158</w:t>
            </w:r>
          </w:p>
        </w:tc>
        <w:tc>
          <w:tcPr>
            <w:tcW w:w="3060" w:type="dxa"/>
          </w:tcPr>
          <w:p w:rsidR="00226F08" w:rsidRPr="001E2AF5" w:rsidRDefault="00226F08" w:rsidP="00226F08">
            <w:r w:rsidRPr="001E2AF5">
              <w:t>0.0353855208593</w:t>
            </w:r>
          </w:p>
        </w:tc>
        <w:tc>
          <w:tcPr>
            <w:tcW w:w="3060" w:type="dxa"/>
          </w:tcPr>
          <w:p w:rsidR="00226F08" w:rsidRPr="001E2AF5" w:rsidRDefault="00226F08" w:rsidP="00226F08">
            <w:r w:rsidRPr="00226F08">
              <w:t>-0.0853088167944</w:t>
            </w:r>
          </w:p>
        </w:tc>
      </w:tr>
      <w:tr w:rsidR="00226F08" w:rsidTr="006F42FC">
        <w:tc>
          <w:tcPr>
            <w:tcW w:w="4392" w:type="dxa"/>
          </w:tcPr>
          <w:p w:rsidR="00226F08" w:rsidRPr="001E2AF5" w:rsidRDefault="00226F08" w:rsidP="00226F08">
            <w:r w:rsidRPr="001E2AF5">
              <w:t>Standard Deviation of Daily Return</w:t>
            </w:r>
          </w:p>
        </w:tc>
        <w:tc>
          <w:tcPr>
            <w:tcW w:w="2736" w:type="dxa"/>
          </w:tcPr>
          <w:p w:rsidR="00226F08" w:rsidRPr="001E2AF5" w:rsidRDefault="00226F08" w:rsidP="00226F08">
            <w:r w:rsidRPr="001E2AF5">
              <w:t>0.0100806621122</w:t>
            </w:r>
          </w:p>
        </w:tc>
        <w:tc>
          <w:tcPr>
            <w:tcW w:w="3060" w:type="dxa"/>
          </w:tcPr>
          <w:p w:rsidR="00226F08" w:rsidRPr="001E2AF5" w:rsidRDefault="00226F08" w:rsidP="00226F08">
            <w:r w:rsidRPr="001E2AF5">
              <w:t>0.00564063509598</w:t>
            </w:r>
          </w:p>
        </w:tc>
        <w:tc>
          <w:tcPr>
            <w:tcW w:w="3060" w:type="dxa"/>
          </w:tcPr>
          <w:p w:rsidR="00226F08" w:rsidRPr="001E2AF5" w:rsidRDefault="00226F08" w:rsidP="00226F08">
            <w:r w:rsidRPr="00226F08">
              <w:t>0.00850128395312</w:t>
            </w:r>
          </w:p>
        </w:tc>
      </w:tr>
      <w:tr w:rsidR="00226F08" w:rsidTr="006F42FC">
        <w:tc>
          <w:tcPr>
            <w:tcW w:w="4392" w:type="dxa"/>
          </w:tcPr>
          <w:p w:rsidR="00226F08" w:rsidRPr="001E2AF5" w:rsidRDefault="00226F08" w:rsidP="00226F08">
            <w:r w:rsidRPr="001E2AF5">
              <w:t>Average Daily Return</w:t>
            </w:r>
          </w:p>
        </w:tc>
        <w:tc>
          <w:tcPr>
            <w:tcW w:w="2736" w:type="dxa"/>
          </w:tcPr>
          <w:p w:rsidR="00226F08" w:rsidRPr="001E2AF5" w:rsidRDefault="00226F08" w:rsidP="00226F08">
            <w:r w:rsidRPr="001E2AF5">
              <w:t>0.000545124907955</w:t>
            </w:r>
          </w:p>
        </w:tc>
        <w:tc>
          <w:tcPr>
            <w:tcW w:w="3060" w:type="dxa"/>
          </w:tcPr>
          <w:p w:rsidR="00226F08" w:rsidRPr="001E2AF5" w:rsidRDefault="00226F08" w:rsidP="00226F08">
            <w:r w:rsidRPr="001E2AF5">
              <w:t>8.50179503905e-05</w:t>
            </w:r>
          </w:p>
        </w:tc>
        <w:tc>
          <w:tcPr>
            <w:tcW w:w="3060" w:type="dxa"/>
          </w:tcPr>
          <w:p w:rsidR="00226F08" w:rsidRPr="001E2AF5" w:rsidRDefault="00226F08" w:rsidP="00226F08">
            <w:r w:rsidRPr="00226F08">
              <w:t>-0.000141175079753</w:t>
            </w:r>
          </w:p>
        </w:tc>
      </w:tr>
    </w:tbl>
    <w:p w:rsidR="00F14200" w:rsidRDefault="00226F08" w:rsidP="00F94211">
      <w:r>
        <w:tab/>
      </w:r>
    </w:p>
    <w:p w:rsidR="00F94211" w:rsidRDefault="00226F08" w:rsidP="00F14200">
      <w:pPr>
        <w:spacing w:after="0"/>
        <w:rPr>
          <w:u w:val="single"/>
        </w:rPr>
      </w:pPr>
      <w:r>
        <w:rPr>
          <w:u w:val="single"/>
        </w:rPr>
        <w:t>Performance:</w:t>
      </w:r>
    </w:p>
    <w:p w:rsidR="00226F08" w:rsidRPr="00226F08" w:rsidRDefault="00226F08" w:rsidP="00F94211">
      <w:r>
        <w:t xml:space="preserve">Similar to the performance of the strategy for the in-sample period, the manual strategy also outperforms the benchmark in the out-of-sample period. </w:t>
      </w:r>
      <w:r>
        <w:t>Adjusted for impact (0.005) and commission ($9.95), the manual rule-based strategy has a cumulative return of 0.</w:t>
      </w:r>
      <w:r>
        <w:t>0354</w:t>
      </w:r>
      <w:r>
        <w:t xml:space="preserve"> while the benchmark has a cumulative return 0f </w:t>
      </w:r>
      <w:r>
        <w:t>-</w:t>
      </w:r>
      <w:r>
        <w:t>0.</w:t>
      </w:r>
      <w:r>
        <w:t>0853</w:t>
      </w:r>
      <w:r>
        <w:t xml:space="preserve"> with lower standard deviation of daily return and higher mean daily return. As such, the Sharpe Ratio of the manual strategy is 0.</w:t>
      </w:r>
      <w:r>
        <w:t>239</w:t>
      </w:r>
      <w:r>
        <w:t xml:space="preserve"> while the Sharpe Ratio of the benchmark is </w:t>
      </w:r>
      <w:r>
        <w:t>-0.264.</w:t>
      </w:r>
    </w:p>
    <w:p w:rsidR="00226F08" w:rsidRPr="00F94211" w:rsidRDefault="00226F08" w:rsidP="00F94211">
      <w:pPr>
        <w:rPr>
          <w:sz w:val="28"/>
          <w:szCs w:val="28"/>
        </w:rPr>
      </w:pPr>
    </w:p>
    <w:sectPr w:rsidR="00226F08" w:rsidRPr="00F94211" w:rsidSect="00922526">
      <w:headerReference w:type="default" r:id="rId20"/>
      <w:footerReference w:type="default" r:id="rId21"/>
      <w:pgSz w:w="15840" w:h="12240" w:orient="landscape"/>
      <w:pgMar w:top="810" w:right="1170" w:bottom="63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4298" w:rsidRDefault="00454298" w:rsidP="00F5703B">
      <w:pPr>
        <w:spacing w:after="0" w:line="240" w:lineRule="auto"/>
      </w:pPr>
      <w:r>
        <w:separator/>
      </w:r>
    </w:p>
  </w:endnote>
  <w:endnote w:type="continuationSeparator" w:id="0">
    <w:p w:rsidR="00454298" w:rsidRDefault="00454298" w:rsidP="00F57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975930"/>
      <w:docPartObj>
        <w:docPartGallery w:val="Page Numbers (Bottom of Page)"/>
        <w:docPartUnique/>
      </w:docPartObj>
    </w:sdtPr>
    <w:sdtEndPr>
      <w:rPr>
        <w:noProof/>
      </w:rPr>
    </w:sdtEndPr>
    <w:sdtContent>
      <w:p w:rsidR="00922526" w:rsidRDefault="00922526">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922526" w:rsidRDefault="00922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4298" w:rsidRDefault="00454298" w:rsidP="00F5703B">
      <w:pPr>
        <w:spacing w:after="0" w:line="240" w:lineRule="auto"/>
      </w:pPr>
      <w:r>
        <w:separator/>
      </w:r>
    </w:p>
  </w:footnote>
  <w:footnote w:type="continuationSeparator" w:id="0">
    <w:p w:rsidR="00454298" w:rsidRDefault="00454298" w:rsidP="00F570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200" w:rsidRDefault="00F14200">
    <w:pPr>
      <w:pStyle w:val="Header"/>
    </w:pPr>
    <w:r>
      <w:t>Dung Nguyen (dnguyen333)</w:t>
    </w:r>
  </w:p>
  <w:p w:rsidR="00F14200" w:rsidRDefault="00F142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9364C"/>
    <w:multiLevelType w:val="hybridMultilevel"/>
    <w:tmpl w:val="72442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67242"/>
    <w:multiLevelType w:val="hybridMultilevel"/>
    <w:tmpl w:val="21A87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902E7"/>
    <w:multiLevelType w:val="hybridMultilevel"/>
    <w:tmpl w:val="E190D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E73355"/>
    <w:multiLevelType w:val="hybridMultilevel"/>
    <w:tmpl w:val="E6F28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BD649C"/>
    <w:multiLevelType w:val="hybridMultilevel"/>
    <w:tmpl w:val="2746FF74"/>
    <w:lvl w:ilvl="0" w:tplc="2D42B51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4362C3"/>
    <w:multiLevelType w:val="hybridMultilevel"/>
    <w:tmpl w:val="29EC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315030"/>
    <w:multiLevelType w:val="hybridMultilevel"/>
    <w:tmpl w:val="294CB29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1A126D"/>
    <w:multiLevelType w:val="hybridMultilevel"/>
    <w:tmpl w:val="4162C8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3"/>
  </w:num>
  <w:num w:numId="5">
    <w:abstractNumId w:val="2"/>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PWAFNeedToUniquify" w:val="false"/>
    <w:docVar w:name="APWAFVersion" w:val="5.0"/>
  </w:docVars>
  <w:rsids>
    <w:rsidRoot w:val="00842171"/>
    <w:rsid w:val="00097266"/>
    <w:rsid w:val="00194E01"/>
    <w:rsid w:val="001B6F7B"/>
    <w:rsid w:val="001E2AF5"/>
    <w:rsid w:val="001F2B8E"/>
    <w:rsid w:val="00226F08"/>
    <w:rsid w:val="00283420"/>
    <w:rsid w:val="003024F3"/>
    <w:rsid w:val="003655B3"/>
    <w:rsid w:val="00454298"/>
    <w:rsid w:val="0051355F"/>
    <w:rsid w:val="00584B6A"/>
    <w:rsid w:val="0065711B"/>
    <w:rsid w:val="0067054C"/>
    <w:rsid w:val="006E1A9A"/>
    <w:rsid w:val="007D301B"/>
    <w:rsid w:val="007D3BF9"/>
    <w:rsid w:val="00842171"/>
    <w:rsid w:val="00922526"/>
    <w:rsid w:val="009862CE"/>
    <w:rsid w:val="00AC314F"/>
    <w:rsid w:val="00F019B1"/>
    <w:rsid w:val="00F14200"/>
    <w:rsid w:val="00F5703B"/>
    <w:rsid w:val="00F94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0DCF9"/>
  <w15:docId w15:val="{578987DD-2B34-4389-AA88-28B33FEFA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171"/>
    <w:pPr>
      <w:ind w:left="720"/>
      <w:contextualSpacing/>
    </w:pPr>
  </w:style>
  <w:style w:type="character" w:styleId="CommentReference">
    <w:name w:val="annotation reference"/>
    <w:basedOn w:val="DefaultParagraphFont"/>
    <w:uiPriority w:val="99"/>
    <w:semiHidden/>
    <w:unhideWhenUsed/>
    <w:rsid w:val="00842171"/>
    <w:rPr>
      <w:sz w:val="16"/>
      <w:szCs w:val="16"/>
    </w:rPr>
  </w:style>
  <w:style w:type="paragraph" w:styleId="CommentText">
    <w:name w:val="annotation text"/>
    <w:basedOn w:val="Normal"/>
    <w:link w:val="CommentTextChar"/>
    <w:uiPriority w:val="99"/>
    <w:semiHidden/>
    <w:unhideWhenUsed/>
    <w:rsid w:val="00842171"/>
    <w:pPr>
      <w:spacing w:line="240" w:lineRule="auto"/>
    </w:pPr>
    <w:rPr>
      <w:sz w:val="20"/>
      <w:szCs w:val="20"/>
    </w:rPr>
  </w:style>
  <w:style w:type="character" w:customStyle="1" w:styleId="CommentTextChar">
    <w:name w:val="Comment Text Char"/>
    <w:basedOn w:val="DefaultParagraphFont"/>
    <w:link w:val="CommentText"/>
    <w:uiPriority w:val="99"/>
    <w:semiHidden/>
    <w:rsid w:val="00842171"/>
    <w:rPr>
      <w:sz w:val="20"/>
      <w:szCs w:val="20"/>
    </w:rPr>
  </w:style>
  <w:style w:type="paragraph" w:styleId="CommentSubject">
    <w:name w:val="annotation subject"/>
    <w:basedOn w:val="CommentText"/>
    <w:next w:val="CommentText"/>
    <w:link w:val="CommentSubjectChar"/>
    <w:uiPriority w:val="99"/>
    <w:semiHidden/>
    <w:unhideWhenUsed/>
    <w:rsid w:val="00842171"/>
    <w:rPr>
      <w:b/>
      <w:bCs/>
    </w:rPr>
  </w:style>
  <w:style w:type="character" w:customStyle="1" w:styleId="CommentSubjectChar">
    <w:name w:val="Comment Subject Char"/>
    <w:basedOn w:val="CommentTextChar"/>
    <w:link w:val="CommentSubject"/>
    <w:uiPriority w:val="99"/>
    <w:semiHidden/>
    <w:rsid w:val="00842171"/>
    <w:rPr>
      <w:b/>
      <w:bCs/>
      <w:sz w:val="20"/>
      <w:szCs w:val="20"/>
    </w:rPr>
  </w:style>
  <w:style w:type="paragraph" w:styleId="BalloonText">
    <w:name w:val="Balloon Text"/>
    <w:basedOn w:val="Normal"/>
    <w:link w:val="BalloonTextChar"/>
    <w:uiPriority w:val="99"/>
    <w:semiHidden/>
    <w:unhideWhenUsed/>
    <w:rsid w:val="00842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171"/>
    <w:rPr>
      <w:rFonts w:ascii="Tahoma" w:hAnsi="Tahoma" w:cs="Tahoma"/>
      <w:sz w:val="16"/>
      <w:szCs w:val="16"/>
    </w:rPr>
  </w:style>
  <w:style w:type="paragraph" w:styleId="Header">
    <w:name w:val="header"/>
    <w:basedOn w:val="Normal"/>
    <w:link w:val="HeaderChar"/>
    <w:uiPriority w:val="99"/>
    <w:unhideWhenUsed/>
    <w:rsid w:val="00F57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03B"/>
  </w:style>
  <w:style w:type="paragraph" w:styleId="Footer">
    <w:name w:val="footer"/>
    <w:basedOn w:val="Normal"/>
    <w:link w:val="FooterChar"/>
    <w:uiPriority w:val="99"/>
    <w:unhideWhenUsed/>
    <w:rsid w:val="00F57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03B"/>
  </w:style>
  <w:style w:type="table" w:styleId="TableGrid">
    <w:name w:val="Table Grid"/>
    <w:basedOn w:val="TableNormal"/>
    <w:uiPriority w:val="59"/>
    <w:unhideWhenUsed/>
    <w:rsid w:val="00F94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settings" Target="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CE2"/>
    <w:rsid w:val="00B24785"/>
    <w:rsid w:val="00D96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355582B8DB41F0864484915B4AE2A2">
    <w:name w:val="A9355582B8DB41F0864484915B4AE2A2"/>
    <w:rsid w:val="00D96C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RightsWATCHMark">2|CITI-GLOBAL-Internal|{00000000-0000-0000-0000-000000000000}</XMLData>
</file>

<file path=customXml/item2.xml><?xml version="1.0" encoding="utf-8"?>
<XMLData TextToDisplay="%CLASSIFICATIONDATETIME%">19:54 06/11/2017</XMLData>
</file>

<file path=customXml/item3.xml><?xml version="1.0" encoding="utf-8"?>
<XMLData TextToDisplay="%DOCUMENTGUID%">{00000000-0000-0000-0000-000000000000}</XMLData>
</file>

<file path=customXml/item4.xml><?xml version="1.0" encoding="utf-8"?>
<XMLData TextToDisplay="%EMAILADDRESS%">dn49152@imcnam.ssmb.com</XMLData>
</file>

<file path=customXml/item5.xml><?xml version="1.0" encoding="utf-8"?>
<XMLData TextToDisplay="%USERNAME%">dn49152</XMLData>
</file>

<file path=customXml/item6.xml><?xml version="1.0" encoding="utf-8"?>
<XMLData TextToDisplay="%HOSTNAME%">GCOTDW700143.nam.nsroot.net</XMLDat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AB356-46EA-45A4-8EC7-75BE8D806137}">
  <ds:schemaRefs/>
</ds:datastoreItem>
</file>

<file path=customXml/itemProps2.xml><?xml version="1.0" encoding="utf-8"?>
<ds:datastoreItem xmlns:ds="http://schemas.openxmlformats.org/officeDocument/2006/customXml" ds:itemID="{0EF670F1-D2C0-4E20-A31A-1F83EEB7F033}">
  <ds:schemaRefs/>
</ds:datastoreItem>
</file>

<file path=customXml/itemProps3.xml><?xml version="1.0" encoding="utf-8"?>
<ds:datastoreItem xmlns:ds="http://schemas.openxmlformats.org/officeDocument/2006/customXml" ds:itemID="{DF7C7713-1E1C-468A-90F4-386560128126}">
  <ds:schemaRefs/>
</ds:datastoreItem>
</file>

<file path=customXml/itemProps4.xml><?xml version="1.0" encoding="utf-8"?>
<ds:datastoreItem xmlns:ds="http://schemas.openxmlformats.org/officeDocument/2006/customXml" ds:itemID="{BB984417-614A-4612-8D03-6235D67F38CD}">
  <ds:schemaRefs/>
</ds:datastoreItem>
</file>

<file path=customXml/itemProps5.xml><?xml version="1.0" encoding="utf-8"?>
<ds:datastoreItem xmlns:ds="http://schemas.openxmlformats.org/officeDocument/2006/customXml" ds:itemID="{A004D0CD-D1AF-478D-8FF0-E5AE4666F29B}">
  <ds:schemaRefs/>
</ds:datastoreItem>
</file>

<file path=customXml/itemProps6.xml><?xml version="1.0" encoding="utf-8"?>
<ds:datastoreItem xmlns:ds="http://schemas.openxmlformats.org/officeDocument/2006/customXml" ds:itemID="{AF967186-BA76-49A5-9B5A-0BBA4D93AFB6}">
  <ds:schemaRefs/>
</ds:datastoreItem>
</file>

<file path=customXml/itemProps7.xml><?xml version="1.0" encoding="utf-8"?>
<ds:datastoreItem xmlns:ds="http://schemas.openxmlformats.org/officeDocument/2006/customXml" ds:itemID="{8F6501A3-C5A9-4CC1-B14C-FBE0D9A4F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8</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Bill [RISK]</dc:creator>
  <cp:lastModifiedBy>Bill Nguyen</cp:lastModifiedBy>
  <cp:revision>8</cp:revision>
  <cp:lastPrinted>2017-11-07T01:51:00Z</cp:lastPrinted>
  <dcterms:created xsi:type="dcterms:W3CDTF">2017-11-06T19:42:00Z</dcterms:created>
  <dcterms:modified xsi:type="dcterms:W3CDTF">2017-11-07T01:52:00Z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2|CITI-GLOBAL-Internal|{00000000-0000-0000-0000-000000000000}</vt:lpwstr>
  </property>
</Properties>
</file>