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42bbd6223d4b88" /><Relationship Type="http://schemas.openxmlformats.org/package/2006/relationships/metadata/core-properties" Target="/docProps/core.xml" Id="R40b87d0625f3411d" /><Relationship Type="http://schemas.openxmlformats.org/officeDocument/2006/relationships/extended-properties" Target="/docProps/app.xml" Id="Rd659256f9fca4fe1" /><Relationship Type="http://schemas.openxmlformats.org/officeDocument/2006/relationships/custom-properties" Target="/docProps/custom.xml" Id="Rc96defabb29c4ba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2">
      <w:pPr>
        <w:pBdr>
          <w:bottom w:val="single" w:color="B22222" w:sz="8"/>
        </w:pBdr>
        <w:spacing w:after="40"/>
      </w:pPr>
      <w:r>
        <w:rPr>
          <w:b/>
          <w:color w:val="B22222"/>
          <w:sz w:val="20"/>
        </w:rPr>
        <w:t xml:space="preserve">MEMORANDUM</w:t>
      </w:r>
    </w:p>
    <w:p w14:paraId="00100003" w14:textId="00100004">
      <w:pPr>
        <w:pStyle w:val="Title"/>
        <w:spacing w:before="280" w:after="280"/>
      </w:pPr>
      <w:r>
        <w:rPr/>
        <w:t xml:space="preserve">Pricing change for the mid-market tier</w:t>
      </w:r>
    </w:p>
    <w:p w14:paraId="00100005" w14:textId="00100006">
      <w:pPr>
        <w:tabs>
          <w:tab w:val="left" w:pos="1440"/>
        </w:tabs>
        <w:spacing w:after="40"/>
      </w:pPr>
      <w:r>
        <w:rPr>
          <w:sz w:val="22"/>
        </w:rPr>
        <w:t xml:space="preserve">TO:</w:t>
        <w:tab/>
        <w:t xml:space="preserve">Executive Committee</w:t>
      </w:r>
    </w:p>
    <w:p w14:paraId="00100007" w14:textId="00100008">
      <w:pPr>
        <w:tabs>
          <w:tab w:val="left" w:pos="1440"/>
        </w:tabs>
        <w:spacing w:after="40"/>
      </w:pPr>
      <w:r>
        <w:rPr>
          <w:sz w:val="22"/>
        </w:rPr>
        <w:t xml:space="preserve">FROM:</w:t>
        <w:tab/>
        <w:t xml:space="preserve">Pricing and Commercial Strategy</w:t>
      </w:r>
    </w:p>
    <w:p w14:paraId="00100009" w14:textId="0010000A">
      <w:pPr>
        <w:tabs>
          <w:tab w:val="left" w:pos="1440"/>
        </w:tabs>
        <w:spacing w:after="40"/>
      </w:pPr>
      <w:r>
        <w:rPr>
          <w:sz w:val="22"/>
        </w:rPr>
        <w:t xml:space="preserve">DATE:</w:t>
        <w:tab/>
        <w:t xml:space="preserve">14 March</w:t>
      </w:r>
    </w:p>
    <w:p w14:paraId="0010000B" w14:textId="0010000C">
      <w:pPr>
        <w:tabs>
          <w:tab w:val="left" w:pos="1440"/>
        </w:tabs>
        <w:spacing w:after="320"/>
      </w:pPr>
      <w:r>
        <w:rPr>
          <w:sz w:val="22"/>
        </w:rPr>
        <w:t xml:space="preserve">RE:</w:t>
        <w:tab/>
        <w:t xml:space="preserve">Proposed 6% list-price increase, effective next quarter</w:t>
      </w:r>
    </w:p>
    <w:p w14:paraId="0010000D" w14:textId="0010000E">
      <w:pPr>
        <w:pStyle w:val="Heading2"/>
        <w:spacing w:before="0"/>
      </w:pPr>
      <w:r>
        <w:rPr/>
        <w:t xml:space="preserve">Recommendation</w:t>
      </w:r>
    </w:p>
    <w:p w14:paraId="0010000F" w14:textId="00100010">
      <w:pPr>
        <w:shd w:val="clear" w:fill="F4F4F4"/>
        <w:spacing w:after="280"/>
        <w:ind w:left="120"/>
      </w:pPr>
      <w:r>
        <w:rPr>
          <w:b/>
        </w:rPr>
        <w:t xml:space="preserve">Approve the 6% list-price increase for the mid-market tier, with existing contracts held at current pricing until renewal. We recommend a decision by 28 March so the change lands before the competitive set finishes repricing.</w:t>
      </w:r>
    </w:p>
    <w:p w14:paraId="00100011" w14:textId="00100012">
      <w:pPr>
        <w:pStyle w:val="Heading2"/>
      </w:pPr>
      <w:r>
        <w:rPr/>
        <w:t xml:space="preserve">Why now</w:t>
      </w:r>
    </w:p>
    <w:p w14:paraId="00100013" w14:textId="00100014">
      <w:pPr/>
      <w:r>
        <w:rPr/>
        <w:t xml:space="preserve">Mid-market list pricing has not moved in seven quarters while input costs rose 11% over the same period. Gross margin in the tier has compressed from 31% to 26%, and the trend has not flattened. Two of the four principal competitors repriced upward this quarter, which narrows the risk that an increase makes us an outlier.</w:t>
      </w:r>
    </w:p>
    <w:p w14:paraId="00100015" w14:textId="00100016">
      <w:pPr/>
      <w:r>
        <w:rPr/>
        <w:t xml:space="preserve">Holding existing contracts at current pricing until renewal limits churn exposure to new business and to the renewal cohort, roughly a third of the base in any given quarter.</w:t>
      </w:r>
    </w:p>
    <w:p w14:paraId="00100017" w14:textId="00100018">
      <w:pPr>
        <w:pStyle w:val="Heading2"/>
      </w:pPr>
      <w:r>
        <w:rPr/>
        <w:t xml:space="preserve">Options considered</w:t>
      </w:r>
    </w:p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3600"/>
        <w:gridCol w:w="3600"/>
      </w:tblGrid>
      <w:tr>
        <w:trPr>
          <w:tblHeader/>
        </w:trPr>
        <w:tc>
          <w:p w14:paraId="00100019" w14:textId="0010001A">
            <w:r>
              <w:t xml:space="preserve">Option</w:t>
            </w:r>
          </w:p>
        </w:tc>
        <w:tc>
          <w:p w14:paraId="0010001B" w14:textId="0010001C">
            <w:r>
              <w:t xml:space="preserve">Effect on margin</w:t>
            </w:r>
          </w:p>
        </w:tc>
        <w:tc>
          <w:p w14:paraId="0010001D" w14:textId="0010001E">
            <w:r>
              <w:t xml:space="preserve">Principal risk</w:t>
            </w:r>
          </w:p>
        </w:tc>
      </w:tr>
      <w:tr>
        <w:trPr/>
        <w:tc>
          <w:p w14:paraId="0010001F" w14:textId="00100020">
            <w:r>
              <w:t xml:space="preserve">Hold pricing</w:t>
            </w:r>
          </w:p>
        </w:tc>
        <w:tc>
          <w:p w14:paraId="00100021" w14:textId="00100022">
            <w:r>
              <w:t xml:space="preserve">Continued compression</w:t>
            </w:r>
          </w:p>
        </w:tc>
        <w:tc>
          <w:p w14:paraId="00100023" w14:textId="00100024">
            <w:r>
              <w:t xml:space="preserve">Margin falls below plan by year end</w:t>
            </w:r>
          </w:p>
        </w:tc>
      </w:tr>
      <w:tr>
        <w:trPr/>
        <w:tc>
          <w:p w14:paraId="00100025" w14:textId="00100026">
            <w:r>
              <w:t xml:space="preserve">Increase 6%</w:t>
            </w:r>
          </w:p>
        </w:tc>
        <w:tc>
          <w:p w14:paraId="00100027" w14:textId="00100028">
            <w:r>
              <w:t xml:space="preserve">Recovers ~4 points</w:t>
            </w:r>
          </w:p>
        </w:tc>
        <w:tc>
          <w:p w14:paraId="00100029" w14:textId="0010002A">
            <w:r>
              <w:t xml:space="preserve">Churn in the renewal cohort</w:t>
            </w:r>
          </w:p>
        </w:tc>
      </w:tr>
      <w:tr>
        <w:trPr/>
        <w:tc>
          <w:p w14:paraId="0010002B" w14:textId="0010002C">
            <w:r>
              <w:t xml:space="preserve">Increase 12%</w:t>
            </w:r>
          </w:p>
        </w:tc>
        <w:tc>
          <w:p w14:paraId="0010002D" w14:textId="0010002E">
            <w:r>
              <w:t xml:space="preserve">Recovers ~8 points</w:t>
            </w:r>
          </w:p>
        </w:tc>
        <w:tc>
          <w:p w14:paraId="0010002F" w14:textId="00100030">
            <w:r>
              <w:t xml:space="preserve">Prices above the competitive set</w:t>
            </w:r>
          </w:p>
        </w:tc>
      </w:tr>
    </w:tbl>
    <w:p w14:paraId="00100031" w14:textId="00100032">
      <w:pPr>
        <w:spacing w:before="120" w:after="280"/>
      </w:pPr>
      <w:r>
        <w:rPr>
          <w:i/>
          <w:color w:val="666666"/>
          <w:sz w:val="20"/>
        </w:rPr>
        <w:t xml:space="preserve">A 12% increase recovers margin faster but prices the tier above every competitor, which the win-rate data does not support.</w:t>
      </w:r>
    </w:p>
    <w:p w14:paraId="00100033" w14:textId="00100034">
      <w:pPr>
        <w:pStyle w:val="Heading2"/>
      </w:pPr>
      <w:r>
        <w:rPr/>
        <w:t xml:space="preserve">What we need</w:t>
      </w:r>
    </w:p>
    <w:p w14:paraId="00100035" w14:textId="00100036">
      <w:pPr>
        <w:numPr>
          <w:ilvl w:val="0"/>
          <w:numId w:val="1"/>
        </w:numPr>
        <w:spacing w:after="80"/>
      </w:pPr>
      <w:r>
        <w:rPr>
          <w:sz w:val="22"/>
        </w:rPr>
        <w:t xml:space="preserve">A decision on the 6% increase by 28 March.</w:t>
      </w:r>
    </w:p>
    <w:p w14:paraId="00100037" w14:textId="00100038">
      <w:pPr>
        <w:numPr>
          <w:ilvl w:val="0"/>
          <w:numId w:val="1"/>
        </w:numPr>
        <w:spacing w:after="80"/>
      </w:pPr>
      <w:r>
        <w:rPr>
          <w:sz w:val="22"/>
        </w:rPr>
        <w:t xml:space="preserve">Confirmation that existing contracts are held until renewal.</w:t>
      </w:r>
    </w:p>
    <w:p w14:paraId="00100039" w14:textId="0010003A">
      <w:pPr>
        <w:numPr>
          <w:ilvl w:val="0"/>
          <w:numId w:val="1"/>
        </w:numPr>
        <w:spacing w:after="80"/>
      </w:pPr>
      <w:r>
        <w:rPr>
          <w:sz w:val="22"/>
        </w:rPr>
        <w:t xml:space="preserve">Sign-off from Legal on the renewal notice wording.</w:t>
      </w:r>
    </w:p>
    <w:sectPr>
      <w:pgSz w:w="12240" w:h="15840"/>
      <w:pgMar w:top="1440" w:right="1440" w:bottom="1440" w:left="144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>
    <w:name w:val="Normal"/>
    <w:pPr>
      <w:spacing w:after="160"/>
    </w:pPr>
    <w:rPr>
      <w:rFonts w:ascii="Calibri" w:hAnsi="Calibri" w:eastAsia="Calibri"/>
      <w:color w:val="111111"/>
      <w:sz w:val="22"/>
    </w:rPr>
  </w:style>
  <w:style w:type="paragraph" w:styleId="Title">
    <w:name w:val="Title"/>
    <w:basedOn w:val="Normal"/>
    <w:qFormat/>
    <w:pPr>
      <w:spacing w:after="160"/>
    </w:pPr>
    <w:rPr>
      <w:rFonts w:ascii="Calibri" w:hAnsi="Calibri" w:eastAsia="Calibri"/>
      <w:b/>
      <w:color w:val="111111"/>
      <w:sz w:val="44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rFonts w:ascii="Calibri" w:hAnsi="Calibri" w:eastAsia="Calibri"/>
      <w:b/>
      <w:color w:val="111111"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Calibri" w:hAnsi="Calibri" w:eastAsia="Calibri"/>
      <w:b/>
      <w:color w:val="111111"/>
      <w:sz w:val="2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Calibri" w:hAnsi="Calibri" w:eastAsia="Calibri"/>
      <w:b/>
      <w:color w:val="111111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f3cda358069466d" /><Relationship Type="http://schemas.openxmlformats.org/officeDocument/2006/relationships/styles" Target="/word/styles.xml" Id="R4c0e0ce9d35c46ad" /><Relationship Type="http://schemas.openxmlformats.org/officeDocument/2006/relationships/theme" Target="/word/theme/theme1.xml" Id="R9638a818a5c4444d" /><Relationship Type="http://schemas.openxmlformats.org/officeDocument/2006/relationships/numbering" Target="/word/numbering.xml" Id="R9208559aa2684d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2026-07-28T05:03:20Z</dcterms:created>
  <cp:lastModifiedBy>OfficeCLI</cp:lastModifiedBy>
  <dcterms:modified xsi:type="dcterms:W3CDTF">2026-07-28T05:03:20Z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1.0.142</vt:lpwstr>
  </op:property>
  <op:property fmtid="{D5CDD505-2E9C-101B-9397-08002B2CF9AE}" pid="3" name="OfficeCLI.LastModified">
    <vt:lpwstr xmlns:vt="http://schemas.openxmlformats.org/officeDocument/2006/docPropsVTypes">2026-07-28T05:03:51Z</vt:lpwstr>
  </op:property>
</op:Properties>
</file>