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0bf8e24de94839" /><Relationship Type="http://schemas.openxmlformats.org/package/2006/relationships/metadata/core-properties" Target="/docProps/core.xml" Id="R66352d2cf8014379" /><Relationship Type="http://schemas.openxmlformats.org/officeDocument/2006/relationships/extended-properties" Target="/docProps/app.xml" Id="R9b49f70d03974a43" /><Relationship Type="http://schemas.openxmlformats.org/officeDocument/2006/relationships/custom-properties" Target="/docProps/custom.xml" Id="R858bb6d1b5eb467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40"/>
      </w:pPr>
      <w:r>
        <w:rPr>
          <w:b/>
          <w:color w:val="0E7C7B"/>
          <w:sz w:val="18"/>
        </w:rPr>
        <w:t xml:space="preserve">STANDARD OPERATING PROCEDURE</w:t>
      </w:r>
    </w:p>
    <w:p w14:paraId="00100002" w14:textId="00100003">
      <w:pPr>
        <w:pStyle w:val="Title"/>
        <w:spacing w:after="80"/>
      </w:pPr>
      <w:r>
        <w:rPr/>
        <w:t xml:space="preserve">Production Release Procedure</w:t>
      </w:r>
    </w:p>
    <w:p w14:paraId="00100004" w14:textId="00100006">
      <w:pPr>
        <w:pBdr>
          <w:bottom w:val="single" w:color="0E7C7B" w:sz="6"/>
        </w:pBdr>
        <w:spacing w:after="80"/>
      </w:pPr>
      <w:r>
        <w:rPr>
          <w:color w:val="7B8794"/>
          <w:sz w:val="18"/>
        </w:rPr>
        <w:t xml:space="preserve">Owner: Platform Operations · Review cycle: quarterly · Version 1.0</w:t>
      </w:r>
    </w:p>
    <w:p w14:paraId="00100007" w14:textId="00100008">
      <w:pPr>
        <w:pStyle w:val="Heading2"/>
        <w:spacing w:before="320"/>
      </w:pPr>
      <w:r>
        <w:rPr/>
        <w:t xml:space="preserve">Scope</w:t>
      </w:r>
    </w:p>
    <w:p w14:paraId="00100009" w14:textId="0010000A">
      <w:pPr>
        <w:spacing w:after="40"/>
      </w:pPr>
      <w:r>
        <w:rPr>
          <w:sz w:val="22"/>
        </w:rPr>
        <w:t xml:space="preserve">Applies to: all production deployments of the customer-facing platform.</w:t>
      </w:r>
    </w:p>
    <w:p w14:paraId="0010000B" w14:textId="0010000C">
      <w:pPr>
        <w:spacing w:after="40"/>
      </w:pPr>
      <w:r>
        <w:rPr>
          <w:sz w:val="22"/>
        </w:rPr>
        <w:t xml:space="preserve">Does not apply to: internal tooling, staging, and documentation-only changes.</w:t>
      </w:r>
    </w:p>
    <w:p w14:paraId="0010000D" w14:textId="0010000E">
      <w:pPr/>
      <w:r>
        <w:rPr>
          <w:sz w:val="22"/>
        </w:rPr>
        <w:t xml:space="preserve">Prerequisites: release branch cut, change record raised, on-call engineer identified.</w:t>
      </w:r>
    </w:p>
    <w:p w14:paraId="0010000F" w14:textId="00100010">
      <w:pPr>
        <w:pStyle w:val="Heading2"/>
      </w:pPr>
      <w:r>
        <w:rPr/>
        <w:t xml:space="preserve">Procedure</w:t>
      </w:r>
    </w:p>
    <w:p w14:paraId="00100011" w14:textId="00100012">
      <w:pPr>
        <w:spacing w:after="160"/>
      </w:pPr>
      <w:r>
        <w:rPr>
          <w:sz w:val="22"/>
        </w:rPr>
        <w:t xml:space="preserve">Complete every step in order. Do not skip a step because it appears to have been done already — confirm it.</w:t>
      </w:r>
    </w:p>
    <w:p w14:paraId="00100013" w14:textId="00100014">
      <w:pPr>
        <w:numPr>
          <w:ilvl w:val="0"/>
          <w:numId w:val="1"/>
        </w:numPr>
        <w:spacing w:after="80"/>
      </w:pPr>
      <w:r>
        <w:rPr>
          <w:sz w:val="22"/>
        </w:rPr>
        <w:t xml:space="preserve">Confirm the change record is approved and the deployment window is open.</w:t>
      </w:r>
    </w:p>
    <w:p w14:paraId="00100015" w14:textId="00100016">
      <w:pPr>
        <w:numPr>
          <w:ilvl w:val="0"/>
          <w:numId w:val="1"/>
        </w:numPr>
        <w:spacing w:after="80"/>
      </w:pPr>
      <w:r>
        <w:rPr>
          <w:sz w:val="22"/>
        </w:rPr>
        <w:t xml:space="preserve">Verify the release branch builds green and the artifact digest matches the build record.</w:t>
      </w:r>
    </w:p>
    <w:p w14:paraId="00100017" w14:textId="00100018">
      <w:pPr>
        <w:numPr>
          <w:ilvl w:val="0"/>
          <w:numId w:val="1"/>
        </w:numPr>
        <w:spacing w:after="80"/>
      </w:pPr>
      <w:r>
        <w:rPr>
          <w:sz w:val="22"/>
        </w:rPr>
        <w:t xml:space="preserve">Announce the start of the deployment in the operations channel.</w:t>
      </w:r>
    </w:p>
    <w:p w14:paraId="00100019" w14:textId="0010001A">
      <w:pPr>
        <w:numPr>
          <w:ilvl w:val="0"/>
          <w:numId w:val="1"/>
        </w:numPr>
        <w:spacing w:after="80"/>
      </w:pPr>
      <w:r>
        <w:rPr>
          <w:sz w:val="22"/>
        </w:rPr>
        <w:t xml:space="preserve">Deploy to the canary fleet and hold for the full soak period.</w:t>
      </w:r>
    </w:p>
    <w:p w14:paraId="0010001B" w14:textId="0010001C">
      <w:pPr>
        <w:numPr>
          <w:ilvl w:val="0"/>
          <w:numId w:val="1"/>
        </w:numPr>
        <w:spacing w:after="80"/>
      </w:pPr>
      <w:r>
        <w:rPr>
          <w:sz w:val="22"/>
        </w:rPr>
        <w:t xml:space="preserve">Check error rate, latency, and saturation against the pre-deployment baseline.</w:t>
      </w:r>
    </w:p>
    <w:p w14:paraId="0010001D" w14:textId="0010001E">
      <w:pPr>
        <w:numPr>
          <w:ilvl w:val="0"/>
          <w:numId w:val="1"/>
        </w:numPr>
        <w:spacing w:after="80"/>
      </w:pPr>
      <w:r>
        <w:rPr>
          <w:sz w:val="22"/>
        </w:rPr>
        <w:t xml:space="preserve">Promote to the remaining fleet in two waves, confirming health between waves.</w:t>
      </w:r>
    </w:p>
    <w:p w14:paraId="0010001F" w14:textId="00100020">
      <w:pPr>
        <w:numPr>
          <w:ilvl w:val="0"/>
          <w:numId w:val="1"/>
        </w:numPr>
        <w:spacing w:after="80"/>
      </w:pPr>
      <w:r>
        <w:rPr>
          <w:sz w:val="22"/>
        </w:rPr>
        <w:t xml:space="preserve">Announce completion and record the deployment in the change log.</w:t>
      </w:r>
    </w:p>
    <w:p w14:paraId="00100021" w14:textId="00100022">
      <w:pPr>
        <w:shd w:val="clear" w:fill="FDF3E3"/>
        <w:spacing w:before="200" w:after="280"/>
        <w:ind w:left="120"/>
      </w:pPr>
      <w:r>
        <w:rPr>
          <w:b/>
          <w:sz w:val="20"/>
        </w:rPr>
        <w:t xml:space="preserve">Do not promote past the canary while any health signal is degraded, even if the degradation predates the deployment. Stop, investigate, and record the finding before continuing.</w:t>
      </w:r>
    </w:p>
    <w:p w14:paraId="00100023" w14:textId="00100024">
      <w:pPr>
        <w:pStyle w:val="Heading2"/>
      </w:pPr>
      <w:r>
        <w:rPr/>
        <w:t xml:space="preserve">Rollback</w:t>
      </w:r>
    </w:p>
    <w:p w14:paraId="00100025" w14:textId="00100026">
      <w:pPr>
        <w:spacing w:after="160"/>
      </w:pPr>
      <w:r>
        <w:rPr>
          <w:sz w:val="22"/>
        </w:rPr>
        <w:t xml:space="preserve">Roll back immediately — without waiting for a root cause — if any threshold in the table below is breached.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60"/>
        <w:gridCol w:w="2000"/>
        <w:gridCol w:w="4000"/>
      </w:tblGrid>
      <w:tr>
        <w:trPr>
          <w:tblHeader/>
        </w:trPr>
        <w:tc>
          <w:p w14:paraId="00100027" w14:textId="00100028">
            <w:r>
              <w:t xml:space="preserve">Signal</w:t>
            </w:r>
          </w:p>
        </w:tc>
        <w:tc>
          <w:p w14:paraId="00100029" w14:textId="0010002A">
            <w:r>
              <w:t xml:space="preserve">Threshold</w:t>
            </w:r>
          </w:p>
        </w:tc>
        <w:tc>
          <w:p w14:paraId="0010002B" w14:textId="0010002C">
            <w:r>
              <w:t xml:space="preserve">Action</w:t>
            </w:r>
          </w:p>
        </w:tc>
      </w:tr>
      <w:tr>
        <w:trPr/>
        <w:tc>
          <w:p w14:paraId="0010002D" w14:textId="0010002E">
            <w:r>
              <w:t xml:space="preserve">Error rate</w:t>
            </w:r>
          </w:p>
        </w:tc>
        <w:tc>
          <w:p w14:paraId="0010002F" w14:textId="00100030">
            <w:r>
              <w:t xml:space="preserve">&gt; 2× baseline</w:t>
            </w:r>
          </w:p>
        </w:tc>
        <w:tc>
          <w:p w14:paraId="00100031" w14:textId="00100032">
            <w:r>
              <w:t xml:space="preserve">Roll back the current wave</w:t>
            </w:r>
          </w:p>
        </w:tc>
      </w:tr>
      <w:tr>
        <w:trPr/>
        <w:tc>
          <w:p w14:paraId="00100033" w14:textId="00100034">
            <w:r>
              <w:t xml:space="preserve">p99 latency</w:t>
            </w:r>
          </w:p>
        </w:tc>
        <w:tc>
          <w:p w14:paraId="00100035" w14:textId="00100036">
            <w:r>
              <w:t xml:space="preserve">&gt; 1.5× baseline</w:t>
            </w:r>
          </w:p>
        </w:tc>
        <w:tc>
          <w:p w14:paraId="00100037" w14:textId="00100038">
            <w:r>
              <w:t xml:space="preserve">Hold; investigate before promoting</w:t>
            </w:r>
          </w:p>
        </w:tc>
      </w:tr>
      <w:tr>
        <w:trPr/>
        <w:tc>
          <w:p w14:paraId="00100039" w14:textId="0010003A">
            <w:r>
              <w:t xml:space="preserve">Saturation</w:t>
            </w:r>
          </w:p>
        </w:tc>
        <w:tc>
          <w:p w14:paraId="0010003B" w14:textId="0010003C">
            <w:r>
              <w:t xml:space="preserve">&gt; 85%</w:t>
            </w:r>
          </w:p>
        </w:tc>
        <w:tc>
          <w:p w14:paraId="0010003D" w14:textId="0010003E">
            <w:r>
              <w:t xml:space="preserve">Hold; scale out before promoting</w:t>
            </w:r>
          </w:p>
        </w:tc>
      </w:tr>
      <w:tr>
        <w:trPr/>
        <w:tc>
          <w:p w14:paraId="0010003F" w14:textId="00100040">
            <w:r>
              <w:t xml:space="preserve">Failed health check</w:t>
            </w:r>
          </w:p>
        </w:tc>
        <w:tc>
          <w:p w14:paraId="00100041" w14:textId="00100042">
            <w:r>
              <w:t xml:space="preserve">any</w:t>
            </w:r>
          </w:p>
        </w:tc>
        <w:tc>
          <w:p w14:paraId="00100043" w14:textId="00100044">
            <w:r>
              <w:t xml:space="preserve">Roll back the current wave</w:t>
            </w:r>
          </w:p>
        </w:tc>
      </w:tr>
    </w:tbl>
    <w:p w14:paraId="00100045" w14:textId="00100046">
      <w:pPr>
        <w:spacing w:before="120" w:after="280"/>
      </w:pPr>
      <w:r>
        <w:rPr>
          <w:i/>
          <w:color w:val="7B8794"/>
          <w:sz w:val="18"/>
        </w:rPr>
        <w:t xml:space="preserve">Table 1 — Rollback thresholds, measured against the pre-deployment baseline.</w:t>
      </w:r>
    </w:p>
    <w:p w14:paraId="00100047" w14:textId="00100048">
      <w:pPr>
        <w:pStyle w:val="Heading2"/>
      </w:pPr>
      <w:r>
        <w:rPr/>
        <w:t xml:space="preserve">Completion checklist</w:t>
      </w:r>
    </w:p>
    <w:p w14:paraId="00100049" w14:textId="0010004A">
      <w:pPr>
        <w:numPr>
          <w:ilvl w:val="0"/>
          <w:numId w:val="2"/>
        </w:numPr>
        <w:spacing w:after="80"/>
      </w:pPr>
      <w:r>
        <w:rPr>
          <w:sz w:val="22"/>
        </w:rPr>
        <w:t xml:space="preserve">Change record closed with the actual deployment window recorded.</w:t>
      </w:r>
    </w:p>
    <w:p w14:paraId="0010004B" w14:textId="0010004C">
      <w:pPr>
        <w:numPr>
          <w:ilvl w:val="0"/>
          <w:numId w:val="2"/>
        </w:numPr>
        <w:spacing w:after="80"/>
      </w:pPr>
      <w:r>
        <w:rPr>
          <w:sz w:val="22"/>
        </w:rPr>
        <w:t xml:space="preserve">Health signals confirmed stable for one full hour post-promotion.</w:t>
      </w:r>
    </w:p>
    <w:p w14:paraId="0010004D" w14:textId="0010004E">
      <w:pPr>
        <w:numPr>
          <w:ilvl w:val="0"/>
          <w:numId w:val="2"/>
        </w:numPr>
        <w:spacing w:after="80"/>
      </w:pPr>
      <w:r>
        <w:rPr>
          <w:sz w:val="22"/>
        </w:rPr>
        <w:t xml:space="preserve">Deployment recorded in the change log with the artifact digest.</w:t>
      </w:r>
    </w:p>
    <w:p w14:paraId="0010004F" w14:textId="00100050">
      <w:pPr>
        <w:numPr>
          <w:ilvl w:val="0"/>
          <w:numId w:val="2"/>
        </w:numPr>
        <w:spacing w:after="80"/>
      </w:pPr>
      <w:r>
        <w:rPr>
          <w:sz w:val="22"/>
        </w:rPr>
        <w:t xml:space="preserve">Any deviation from this procedure written up and sent to the process owner.</w:t>
      </w:r>
    </w:p>
    <w:sectPr>
      <w:footerReference w:type="default" r:id="Rdf52ccc24cfe49e3"/>
      <w:pgSz w:w="12240" w:h="15840"/>
      <w:pgMar w:top="1440" w:right="1440" w:bottom="1440" w:left="144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51" w14:textId="0010005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>
    <w:name w:val="Normal"/>
    <w:pPr>
      <w:spacing w:after="160"/>
    </w:pPr>
    <w:rPr>
      <w:rFonts w:ascii="Calibri" w:hAnsi="Calibri" w:eastAsia="Calibri"/>
      <w:color w:val="1F2933"/>
      <w:sz w:val="22"/>
    </w:rPr>
  </w:style>
  <w:style w:type="paragraph" w:styleId="Title">
    <w:name w:val="Title"/>
    <w:basedOn w:val="Normal"/>
    <w:qFormat/>
    <w:pPr>
      <w:spacing w:after="160"/>
    </w:pPr>
    <w:rPr>
      <w:rFonts w:ascii="Calibri" w:hAnsi="Calibri" w:eastAsia="Calibri"/>
      <w:b/>
      <w:color w:val="0A4F4E"/>
      <w:sz w:val="48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rFonts w:ascii="Calibri" w:hAnsi="Calibri" w:eastAsia="Calibri"/>
      <w:b/>
      <w:color w:val="0A4F4E"/>
      <w:sz w:val="32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Calibri" w:hAnsi="Calibri" w:eastAsia="Calibri"/>
      <w:b/>
      <w:color w:val="1F2933"/>
      <w:sz w:val="26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Calibri" w:hAnsi="Calibri" w:eastAsia="Calibri"/>
      <w:b/>
      <w:color w:val="1F2933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3565463d8ca46d0" /><Relationship Type="http://schemas.openxmlformats.org/officeDocument/2006/relationships/styles" Target="/word/styles.xml" Id="R60f0b7d1bc964761" /><Relationship Type="http://schemas.openxmlformats.org/officeDocument/2006/relationships/theme" Target="/word/theme/theme1.xml" Id="Re34a39b354b24586" /><Relationship Type="http://schemas.openxmlformats.org/officeDocument/2006/relationships/numbering" Target="/word/numbering.xml" Id="R0d31fed964ba4507" /><Relationship Type="http://schemas.openxmlformats.org/officeDocument/2006/relationships/footer" Target="/word/footer1.xml" Id="Rdf52ccc24cfe49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2026-07-28T06:32:58Z</dcterms:created>
  <cp:lastModifiedBy>OfficeCLI</cp:lastModifiedBy>
  <dcterms:modified xsi:type="dcterms:W3CDTF">2026-07-28T06:32:58Z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1.0.142</vt:lpwstr>
  </op:property>
  <op:property fmtid="{D5CDD505-2E9C-101B-9397-08002B2CF9AE}" pid="3" name="OfficeCLI.LastModified">
    <vt:lpwstr xmlns:vt="http://schemas.openxmlformats.org/officeDocument/2006/docPropsVTypes">2026-07-28T06:33:20Z</vt:lpwstr>
  </op:property>
</op:Properties>
</file>