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82d126ec42564e4f" /><Relationship Type="http://schemas.openxmlformats.org/package/2006/relationships/metadata/core-properties" Target="/docProps/core.xml" Id="Rc1cb1891cdcb4c46" /><Relationship Type="http://schemas.openxmlformats.org/officeDocument/2006/relationships/extended-properties" Target="/docProps/app.xml" Id="Rd811c283a8874b3a" /><Relationship Type="http://schemas.openxmlformats.org/officeDocument/2006/relationships/custom-properties" Target="/docProps/custom.xml" Id="R05edb2b79e7d4f0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600"/>
        <w:jc w:val="center"/>
      </w:pPr>
      <w:r>
        <w:rPr>
          <w:color w:val="7A7269"/>
          <w:sz w:val="18"/>
        </w:rPr>
        <w:t xml:space="preserve">PROPOSAL AND STATEMENT OF WORK</w:t>
      </w:r>
    </w:p>
    <w:p w14:paraId="00100002" w14:textId="00100003">
      <w:pPr>
        <w:pStyle w:val="Title"/>
        <w:spacing w:after="80"/>
        <w:jc w:val="center"/>
      </w:pPr>
      <w:r>
        <w:rPr/>
        <w:t xml:space="preserve">Customer Data Platform</w:t>
      </w:r>
    </w:p>
    <w:p w14:paraId="00100004" w14:textId="00100005">
      <w:pPr>
        <w:spacing w:after="600"/>
        <w:jc w:val="center"/>
      </w:pPr>
      <w:r>
        <w:rPr>
          <w:i/>
          <w:color w:val="7A7269"/>
          <w:sz w:val="28"/>
        </w:rPr>
        <w:t xml:space="preserve">Discovery, build, and handover</w:t>
      </w:r>
    </w:p>
    <w:p w14:paraId="00100006" w14:textId="00100007">
      <w:pPr>
        <w:spacing w:after="40"/>
        <w:jc w:val="center"/>
      </w:pPr>
      <w:r>
        <w:rPr>
          <w:sz w:val="22"/>
        </w:rPr>
        <w:t xml:space="preserve">Prepared for: Northwind Trading Company</w:t>
      </w:r>
    </w:p>
    <w:p w14:paraId="00100008" w14:textId="00100009">
      <w:pPr>
        <w:spacing w:after="40"/>
        <w:jc w:val="center"/>
      </w:pPr>
      <w:r>
        <w:rPr>
          <w:sz w:val="22"/>
        </w:rPr>
        <w:t xml:space="preserve">Prepared by: Delivery Practice</w:t>
      </w:r>
    </w:p>
    <w:p w14:paraId="0010000A" w14:textId="0010000B">
      <w:pPr>
        <w:jc w:val="center"/>
      </w:pPr>
      <w:r>
        <w:rPr>
          <w:sz w:val="22"/>
        </w:rPr>
        <w:t xml:space="preserve">Valid until: 30 June</w:t>
      </w:r>
    </w:p>
    <w:p w14:paraId="0010000C" w14:textId="0010000D">
      <w:r>
        <w:br w:type="page"/>
      </w:r>
    </w:p>
    <w:p w14:paraId="0010000E" w14:textId="0010000F">
      <w:pPr>
        <w:pStyle w:val="Heading1"/>
        <w:spacing w:before="0"/>
      </w:pPr>
      <w:r>
        <w:rPr/>
        <w:t xml:space="preserve">Our understanding</w:t>
      </w:r>
    </w:p>
    <w:p w14:paraId="00100010" w14:textId="00100011">
      <w:pPr/>
      <w:r>
        <w:rPr/>
        <w:t xml:space="preserve">Northwind holds customer data in four systems that do not reconcile. Reporting is assembled by hand each month, which costs roughly six working days and produces numbers the commercial team does not fully trust. The objective is a single reconciled customer record that reporting and the commercial team can both rely on.</w:t>
      </w:r>
    </w:p>
    <w:p w14:paraId="00100012" w14:textId="00100013">
      <w:pPr/>
      <w:r>
        <w:rPr/>
        <w:t xml:space="preserve">This proposal covers discovery, build, and handover. It does not cover ongoing operation of the platform, which we recommend Northwind runs in-house from the outset.</w:t>
      </w:r>
    </w:p>
    <w:p w14:paraId="00100014" w14:textId="00100015">
      <w:pPr>
        <w:pStyle w:val="Heading1"/>
      </w:pPr>
      <w:r>
        <w:rPr/>
        <w:t xml:space="preserve">Scope of work</w:t>
      </w:r>
    </w:p>
    <w:p w14:paraId="00100016" w14:textId="00100017">
      <w:pPr>
        <w:pStyle w:val="Heading2"/>
      </w:pPr>
      <w:r>
        <w:rPr/>
        <w:t xml:space="preserve">Phase 1 — Discovery</w:t>
      </w:r>
    </w:p>
    <w:p w14:paraId="00100018" w14:textId="00100019">
      <w:pPr/>
      <w:r>
        <w:rPr/>
        <w:t xml:space="preserve">Map the four source systems, profile data quality, and agree the reconciliation rules with the commercial and finance teams. Produces a written data model and a signed-off rule set.</w:t>
      </w:r>
    </w:p>
    <w:p w14:paraId="0010001A" w14:textId="0010001B">
      <w:pPr>
        <w:pStyle w:val="Heading2"/>
      </w:pPr>
      <w:r>
        <w:rPr/>
        <w:t xml:space="preserve">Phase 2 — Build</w:t>
      </w:r>
    </w:p>
    <w:p w14:paraId="0010001C" w14:textId="0010001D">
      <w:pPr/>
      <w:r>
        <w:rPr/>
        <w:t xml:space="preserve">Implement ingestion from all four systems, the reconciliation layer, and the reporting views. Includes automated data-quality checks that fail loudly rather than producing quietly wrong numbers.</w:t>
      </w:r>
    </w:p>
    <w:p w14:paraId="0010001E" w14:textId="0010001F">
      <w:pPr>
        <w:pStyle w:val="Heading2"/>
      </w:pPr>
      <w:r>
        <w:rPr/>
        <w:t xml:space="preserve">Phase 3 — Handover</w:t>
      </w:r>
    </w:p>
    <w:p w14:paraId="00100020" w14:textId="00100021">
      <w:pPr/>
      <w:r>
        <w:rPr/>
        <w:t xml:space="preserve">Runbook, operational training for two Northwind engineers, and a four-week supported handover period.</w:t>
      </w:r>
    </w:p>
    <w:p w14:paraId="00100022" w14:textId="00100023">
      <w:pPr>
        <w:pStyle w:val="Heading1"/>
      </w:pPr>
      <w:r>
        <w:rPr/>
        <w:t xml:space="preserve">Timeline</w:t>
      </w:r>
    </w:p>
    <w:tbl>
      <w:tblPr>
        <w:tblW w:w="9360" w:type="dxa"/>
        <w:tblBorders>
          <w:top w:val="single" w:sz="4"/>
          <w:left w:val="single" w:sz="4"/>
          <w:bottom w:val="single" w:sz="4"/>
          <w:right w:val="single" w:sz="4"/>
          <w:insideH w:val="single" w:sz="4"/>
          <w:insideV w:val="single" w:sz="4"/>
        </w:tblBorders>
        <w:tblLayout w:type="fixed"/>
        <w:tblCellMar>
          <w:top w:w="100" w:type="dxa"/>
          <w:left w:w="100" w:type="dxa"/>
          <w:bottom w:w="100" w:type="dxa"/>
          <w:right w:w="100" w:type="dxa"/>
        </w:tblCellMar>
      </w:tblPr>
      <w:tblGrid>
        <w:gridCol w:w="2400"/>
        <w:gridCol w:w="1680"/>
        <w:gridCol w:w="5280"/>
      </w:tblGrid>
      <w:tr>
        <w:trPr>
          <w:tblHeader/>
        </w:trPr>
        <w:tc>
          <w:p w14:paraId="00100024" w14:textId="00100025">
            <w:r>
              <w:t xml:space="preserve">Phase</w:t>
            </w:r>
          </w:p>
        </w:tc>
        <w:tc>
          <w:p w14:paraId="00100026" w14:textId="00100027">
            <w:r>
              <w:t xml:space="preserve">Duration</w:t>
            </w:r>
          </w:p>
        </w:tc>
        <w:tc>
          <w:p w14:paraId="00100028" w14:textId="00100029">
            <w:r>
              <w:t xml:space="preserve">Key deliverable</w:t>
            </w:r>
          </w:p>
        </w:tc>
      </w:tr>
      <w:tr>
        <w:trPr/>
        <w:tc>
          <w:p w14:paraId="0010002A" w14:textId="0010002B">
            <w:r>
              <w:t xml:space="preserve">Discovery</w:t>
            </w:r>
          </w:p>
        </w:tc>
        <w:tc>
          <w:p w14:paraId="0010002C" w14:textId="0010002D">
            <w:r>
              <w:t xml:space="preserve">3 weeks</w:t>
            </w:r>
          </w:p>
        </w:tc>
        <w:tc>
          <w:p w14:paraId="0010002E" w14:textId="0010002F">
            <w:r>
              <w:t xml:space="preserve">Data model and signed-off reconciliation rules</w:t>
            </w:r>
          </w:p>
        </w:tc>
      </w:tr>
      <w:tr>
        <w:trPr/>
        <w:tc>
          <w:p w14:paraId="00100030" w14:textId="00100031">
            <w:r>
              <w:t xml:space="preserve">Build</w:t>
            </w:r>
          </w:p>
        </w:tc>
        <w:tc>
          <w:p w14:paraId="00100032" w14:textId="00100033">
            <w:r>
              <w:t xml:space="preserve">8 weeks</w:t>
            </w:r>
          </w:p>
        </w:tc>
        <w:tc>
          <w:p w14:paraId="00100034" w14:textId="00100035">
            <w:r>
              <w:t xml:space="preserve">Ingestion, reconciliation layer, reporting views</w:t>
            </w:r>
          </w:p>
        </w:tc>
      </w:tr>
      <w:tr>
        <w:trPr/>
        <w:tc>
          <w:p w14:paraId="00100036" w14:textId="00100037">
            <w:r>
              <w:t xml:space="preserve">Handover</w:t>
            </w:r>
          </w:p>
        </w:tc>
        <w:tc>
          <w:p w14:paraId="00100038" w14:textId="00100039">
            <w:r>
              <w:t xml:space="preserve">4 weeks</w:t>
            </w:r>
          </w:p>
        </w:tc>
        <w:tc>
          <w:p w14:paraId="0010003A" w14:textId="0010003B">
            <w:r>
              <w:t xml:space="preserve">Runbook, training, supported operation</w:t>
            </w:r>
          </w:p>
        </w:tc>
      </w:tr>
    </w:tbl>
    <w:p w14:paraId="0010003C" w14:textId="0010003D">
      <w:pPr>
        <w:spacing w:before="120" w:after="280"/>
      </w:pPr>
      <w:r>
        <w:rPr>
          <w:i/>
          <w:color w:val="7A7269"/>
          <w:sz w:val="18"/>
        </w:rPr>
        <w:t xml:space="preserve">Table 1 — Indicative timeline. Phases run consecutively; the handover period overlaps the final build week.</w:t>
      </w:r>
    </w:p>
    <w:p w14:paraId="0010003E" w14:textId="0010003F">
      <w:r>
        <w:br w:type="page"/>
      </w:r>
    </w:p>
    <w:p w14:paraId="00100040" w14:textId="00100041">
      <w:pPr>
        <w:pStyle w:val="Heading1"/>
        <w:spacing w:before="0"/>
      </w:pPr>
      <w:r>
        <w:rPr/>
        <w:t xml:space="preserve">Commercials</w:t>
      </w:r>
    </w:p>
    <w:tbl>
      <w:tblPr>
        <w:tblW w:w="9360" w:type="dxa"/>
        <w:tblBorders>
          <w:top w:val="single" w:sz="4"/>
          <w:left w:val="single" w:sz="4"/>
          <w:bottom w:val="single" w:sz="4"/>
          <w:right w:val="single" w:sz="4"/>
          <w:insideH w:val="single" w:sz="4"/>
          <w:insideV w:val="single" w:sz="4"/>
        </w:tblBorders>
        <w:tblLayout w:type="fixed"/>
        <w:tblCellMar>
          <w:top w:w="100" w:type="dxa"/>
          <w:left w:w="100" w:type="dxa"/>
          <w:bottom w:w="100" w:type="dxa"/>
          <w:right w:w="100" w:type="dxa"/>
        </w:tblCellMar>
      </w:tblPr>
      <w:tblGrid>
        <w:gridCol w:w="4560"/>
        <w:gridCol w:w="2400"/>
        <w:gridCol w:w="2400"/>
      </w:tblGrid>
      <w:tr>
        <w:trPr>
          <w:tblHeader/>
        </w:trPr>
        <w:tc>
          <w:p w14:paraId="00100042" w14:textId="00100043">
            <w:r>
              <w:t xml:space="preserve">Item</w:t>
            </w:r>
          </w:p>
        </w:tc>
        <w:tc>
          <w:p w14:paraId="00100044" w14:textId="00100045">
            <w:r>
              <w:t xml:space="preserve">Basis</w:t>
            </w:r>
          </w:p>
        </w:tc>
        <w:tc>
          <w:tcPr/>
          <w:p w14:paraId="00100046" w14:textId="00100047">
            <w:pPr>
              <w:jc w:val="right"/>
            </w:pPr>
            <w:r>
              <w:t xml:space="preserve">Amount</w:t>
            </w:r>
          </w:p>
        </w:tc>
      </w:tr>
      <w:tr>
        <w:trPr/>
        <w:tc>
          <w:p w14:paraId="00100048" w14:textId="00100049">
            <w:r>
              <w:t xml:space="preserve">Phase 1 — Discovery</w:t>
            </w:r>
          </w:p>
        </w:tc>
        <w:tc>
          <w:p w14:paraId="0010004A" w14:textId="0010004B">
            <w:r>
              <w:t xml:space="preserve">Fixed</w:t>
            </w:r>
          </w:p>
        </w:tc>
        <w:tc>
          <w:tcPr/>
          <w:p w14:paraId="0010004C" w14:textId="0010004D">
            <w:pPr>
              <w:jc w:val="right"/>
            </w:pPr>
            <w:r>
              <w:t xml:space="preserve">48,000</w:t>
            </w:r>
          </w:p>
        </w:tc>
      </w:tr>
      <w:tr>
        <w:trPr/>
        <w:tc>
          <w:p w14:paraId="0010004E" w14:textId="0010004F">
            <w:r>
              <w:t xml:space="preserve">Phase 2 — Build</w:t>
            </w:r>
          </w:p>
        </w:tc>
        <w:tc>
          <w:p w14:paraId="00100050" w14:textId="00100051">
            <w:r>
              <w:t xml:space="preserve">Fixed</w:t>
            </w:r>
          </w:p>
        </w:tc>
        <w:tc>
          <w:tcPr/>
          <w:p w14:paraId="00100052" w14:textId="00100053">
            <w:pPr>
              <w:jc w:val="right"/>
            </w:pPr>
            <w:r>
              <w:t xml:space="preserve">184,000</w:t>
            </w:r>
          </w:p>
        </w:tc>
      </w:tr>
      <w:tr>
        <w:trPr/>
        <w:tc>
          <w:p w14:paraId="00100054" w14:textId="00100055">
            <w:r>
              <w:t xml:space="preserve">Phase 3 — Handover</w:t>
            </w:r>
          </w:p>
        </w:tc>
        <w:tc>
          <w:p w14:paraId="00100056" w14:textId="00100057">
            <w:r>
              <w:t xml:space="preserve">Fixed</w:t>
            </w:r>
          </w:p>
        </w:tc>
        <w:tc>
          <w:tcPr/>
          <w:p w14:paraId="00100058" w14:textId="00100059">
            <w:pPr>
              <w:jc w:val="right"/>
            </w:pPr>
            <w:r>
              <w:t xml:space="preserve">52,000</w:t>
            </w:r>
          </w:p>
        </w:tc>
      </w:tr>
      <w:tr>
        <w:trPr/>
        <w:tc>
          <w:tcPr/>
          <w:p w14:paraId="0010005A" w14:textId="0010005B">
            <w:r>
              <w:rPr>
                <w:b/>
              </w:rPr>
              <w:t xml:space="preserve">Total</w:t>
            </w:r>
          </w:p>
        </w:tc>
        <w:tc>
          <w:tcPr/>
          <w:p w14:paraId="0010005C" w14:textId="0010005D">
            <w:pPr>
              <w:rPr>
                <w:b/>
              </w:rPr>
            </w:pPr>
          </w:p>
        </w:tc>
        <w:tc>
          <w:tcPr/>
          <w:p w14:paraId="0010005E" w14:textId="0010005F">
            <w:pPr>
              <w:jc w:val="right"/>
            </w:pPr>
            <w:r>
              <w:rPr>
                <w:b/>
              </w:rPr>
              <w:t xml:space="preserve">284,000</w:t>
            </w:r>
          </w:p>
        </w:tc>
      </w:tr>
    </w:tbl>
    <w:p w14:paraId="00100060" w14:textId="00100061">
      <w:pPr>
        <w:spacing w:before="120" w:after="280"/>
      </w:pPr>
      <w:r>
        <w:rPr>
          <w:i/>
          <w:color w:val="7A7269"/>
          <w:sz w:val="18"/>
        </w:rPr>
        <w:t xml:space="preserve">Table 2 — Fees exclusive of tax and of any third-party licence cost.</w:t>
      </w:r>
    </w:p>
    <w:p w14:paraId="00100062" w14:textId="00100063">
      <w:pPr>
        <w:pStyle w:val="Heading2"/>
      </w:pPr>
      <w:r>
        <w:rPr/>
        <w:t xml:space="preserve">Assumptions</w:t>
      </w:r>
    </w:p>
    <w:p w14:paraId="00100064" w14:textId="00100065">
      <w:pPr>
        <w:numPr>
          <w:ilvl w:val="0"/>
          <w:numId w:val="2"/>
        </w:numPr>
        <w:spacing w:after="80"/>
      </w:pPr>
      <w:r>
        <w:rPr>
          <w:sz w:val="22"/>
        </w:rPr>
        <w:t xml:space="preserve">Northwind provides read access to all four source systems within one week of signature.</w:t>
      </w:r>
    </w:p>
    <w:p w14:paraId="00100066" w14:textId="00100067">
      <w:pPr>
        <w:numPr>
          <w:ilvl w:val="0"/>
          <w:numId w:val="2"/>
        </w:numPr>
        <w:spacing w:after="80"/>
      </w:pPr>
      <w:r>
        <w:rPr>
          <w:sz w:val="22"/>
        </w:rPr>
        <w:t xml:space="preserve">A named business owner is available for a weekly decision forum.</w:t>
      </w:r>
    </w:p>
    <w:p w14:paraId="00100068" w14:textId="00100069">
      <w:pPr>
        <w:numPr>
          <w:ilvl w:val="0"/>
          <w:numId w:val="2"/>
        </w:numPr>
        <w:spacing w:after="80"/>
      </w:pPr>
      <w:r>
        <w:rPr>
          <w:sz w:val="22"/>
        </w:rPr>
        <w:t xml:space="preserve">Reconciliation rules are agreed in Phase 1 and are not reopened during Phase 2.</w:t>
      </w:r>
    </w:p>
    <w:p w14:paraId="0010006A" w14:textId="0010006B">
      <w:pPr>
        <w:pStyle w:val="Heading1"/>
      </w:pPr>
      <w:r>
        <w:rPr/>
        <w:t xml:space="preserve">Acceptance</w:t>
      </w:r>
    </w:p>
    <w:p w14:paraId="0010006C" w14:textId="0010006D">
      <w:pPr>
        <w:spacing w:after="600"/>
      </w:pPr>
      <w:r>
        <w:rPr/>
        <w:t xml:space="preserve">Signature of this document constitutes acceptance of the scope, timeline, and fees set out above.</w:t>
      </w:r>
    </w:p>
    <w:p w14:paraId="0010006E" w14:textId="00100070">
      <w:pPr>
        <w:pBdr>
          <w:bottom w:val="single" w:color="9A7B23" w:sz="6"/>
        </w:pBdr>
        <w:spacing w:after="440"/>
      </w:pPr>
      <w:r>
        <w:rPr>
          <w:color w:val="7A7269"/>
          <w:sz w:val="20"/>
        </w:rPr>
        <w:t xml:space="preserve">For Northwind Trading Company</w:t>
      </w:r>
    </w:p>
    <w:p w14:paraId="00100071" w14:textId="00100072">
      <w:pPr>
        <w:spacing w:after="520"/>
      </w:pPr>
      <w:r>
        <w:rPr>
          <w:color w:val="7A7269"/>
          <w:sz w:val="18"/>
        </w:rPr>
        <w:t xml:space="preserve">Name and title</w:t>
      </w:r>
    </w:p>
    <w:p w14:paraId="00100073" w14:textId="00100075">
      <w:pPr>
        <w:pBdr>
          <w:bottom w:val="single" w:color="9A7B23" w:sz="6"/>
        </w:pBdr>
        <w:spacing w:after="440"/>
      </w:pPr>
      <w:r>
        <w:rPr>
          <w:color w:val="7A7269"/>
          <w:sz w:val="20"/>
        </w:rPr>
        <w:t xml:space="preserve">For Delivery Practice</w:t>
      </w:r>
    </w:p>
    <w:p w14:paraId="00100076" w14:textId="00100077">
      <w:pPr/>
      <w:r>
        <w:rPr>
          <w:color w:val="7A7269"/>
          <w:sz w:val="18"/>
        </w:rPr>
        <w:t xml:space="preserve">Name and title</w:t>
      </w:r>
    </w:p>
    <w:sectPr>
      <w:footerReference w:type="first" r:id="R1e51d21f09fa4490"/>
      <w:footerReference w:type="default" r:id="Ra36e22f27eb345bb"/>
      <w:pgSz w:w="12240" w:h="15840"/>
      <w:pgMar w:top="1440" w:right="1440" w:bottom="1440" w:left="1440"/>
      <w:titlePg/>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078" w14:textId="00100079">
    <w:pPr>
      <w:jc w:val="center"/>
    </w:pPr>
    <w:r>
      <w:fldChar w:fldCharType="begin"/>
    </w:r>
    <w:r>
      <w:instrText xml:space="preserve"> PAGE </w:instrText>
    </w:r>
    <w:r>
      <w:fldChar w:fldCharType="separate"/>
    </w:r>
    <w:r>
      <w:t xml:space="preserve">1</w:t>
    </w:r>
    <w:r>
      <w:fldChar w:fldCharType="end"/>
    </w:r>
  </w:p>
</w:ftr>
</file>

<file path=word/footer2.xml><?xml version="1.0" encoding="utf-8"?>
<w:ftr xmlns:mc="http://schemas.openxmlformats.org/markup-compatibility/2006" xmlns:w14="http://schemas.microsoft.com/office/word/2010/wordml" xmlns:w="http://schemas.openxmlformats.org/wordprocessingml/2006/main" mc:Ignorable="w14">
  <w:p w14:paraId="0010007A" w14:textId="0010007B">
    <w:pPr/>
    <w:r>
      <w:t xml:space="preserve"/>
    </w:r>
  </w:p>
</w:ft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name w:val="Normal"/>
    <w:pPr>
      <w:spacing w:after="160"/>
    </w:pPr>
    <w:rPr>
      <w:rFonts w:ascii="Calibri" w:hAnsi="Calibri" w:eastAsia="Calibri"/>
      <w:color w:val="2B2622"/>
      <w:sz w:val="22"/>
    </w:rPr>
  </w:style>
  <w:style w:type="paragraph" w:styleId="Title">
    <w:name w:val="Title"/>
    <w:basedOn w:val="Normal"/>
    <w:qFormat/>
    <w:pPr>
      <w:spacing w:after="160"/>
    </w:pPr>
    <w:rPr>
      <w:rFonts w:ascii="Cambria" w:hAnsi="Cambria" w:eastAsia="Cambria"/>
      <w:b/>
      <w:color w:val="9A7B23"/>
      <w:sz w:val="60"/>
    </w:rPr>
  </w:style>
  <w:style w:type="paragraph" w:styleId="Heading1">
    <w:name w:val="heading 1"/>
    <w:basedOn w:val="Normal"/>
    <w:next w:val="Normal"/>
    <w:qFormat/>
    <w:pPr>
      <w:spacing w:before="360" w:after="160"/>
    </w:pPr>
    <w:rPr>
      <w:rFonts w:ascii="Cambria" w:hAnsi="Cambria" w:eastAsia="Cambria"/>
      <w:b/>
      <w:color w:val="9A7B23"/>
      <w:sz w:val="32"/>
    </w:rPr>
  </w:style>
  <w:style w:type="paragraph" w:styleId="Heading2">
    <w:name w:val="heading 2"/>
    <w:basedOn w:val="Normal"/>
    <w:next w:val="Normal"/>
    <w:qFormat/>
    <w:pPr>
      <w:spacing w:before="280" w:after="120"/>
    </w:pPr>
    <w:rPr>
      <w:rFonts w:ascii="Cambria" w:hAnsi="Cambria" w:eastAsia="Cambria"/>
      <w:b/>
      <w:color w:val="2B2622"/>
      <w:sz w:val="26"/>
    </w:rPr>
  </w:style>
  <w:style w:type="paragraph" w:styleId="Heading3">
    <w:name w:val="heading 3"/>
    <w:basedOn w:val="Normal"/>
    <w:next w:val="Normal"/>
    <w:qFormat/>
    <w:pPr>
      <w:spacing w:before="200" w:after="80"/>
    </w:pPr>
    <w:rPr>
      <w:rFonts w:ascii="Calibri" w:hAnsi="Calibri" w:eastAsia="Calibri"/>
      <w:b/>
      <w:color w:val="2B2622"/>
      <w:sz w:val="22"/>
    </w:rPr>
  </w:style>
</w:styles>
</file>

<file path=word/_rels/document.xml.rels>&#65279;<?xml version="1.0" encoding="utf-8"?><Relationships xmlns="http://schemas.openxmlformats.org/package/2006/relationships"><Relationship Type="http://schemas.openxmlformats.org/officeDocument/2006/relationships/settings" Target="/word/settings.xml" Id="R6a2d79100e3c4afb" /><Relationship Type="http://schemas.openxmlformats.org/officeDocument/2006/relationships/styles" Target="/word/styles.xml" Id="R56f7ef72727e4bd6" /><Relationship Type="http://schemas.openxmlformats.org/officeDocument/2006/relationships/theme" Target="/word/theme/theme1.xml" Id="R90e67766039e4887" /><Relationship Type="http://schemas.openxmlformats.org/officeDocument/2006/relationships/numbering" Target="/word/numbering.xml" Id="Rc554bbb2d9064571" /><Relationship Type="http://schemas.openxmlformats.org/officeDocument/2006/relationships/footer" Target="/word/footer1.xml" Id="Ra36e22f27eb345bb" /><Relationship Type="http://schemas.openxmlformats.org/officeDocument/2006/relationships/footer" Target="/word/footer2.xml" Id="R1e51d21f09fa44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2026-07-28T06:33:21Z</dcterms:created>
  <cp:lastModifiedBy>OfficeCLI</cp:lastModifiedBy>
  <dcterms:modified xsi:type="dcterms:W3CDTF">2026-07-28T06:33:21Z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2026-07-28T06:33:52Z</vt:lpwstr>
  </op:property>
</op:Properties>
</file>