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СОДЕРЖАНИЕ ТОМА</w:t>
      </w:r>
    </w:p>
    <w:p>
      <w:pPr>
        <w:jc w:val="center"/>
      </w:pPr>
      <w:r>
        <w:rPr>
          <w:b/>
          <w:sz w:val="22"/>
        </w:rPr>
        <w:t>16-25/Г-ПЗ2 — Пояснительная записка. Часть 2. Том 1.2</w:t>
      </w:r>
    </w:p>
    <w:p>
      <w:pPr>
        <w:jc w:val="center"/>
      </w:pPr>
      <w:r>
        <w:rPr>
          <w:sz w:val="18"/>
        </w:rPr>
        <w:t>Объект: «Капитальный ремонт общеобразовательного учреждения (ГБОУ „Школа № 429“), расположенного по адресу: г. Москва, 5-я ул. Соколиной Горы, д. 14». 1 этап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67"/>
        <w:gridCol w:w="8391"/>
        <w:gridCol w:w="964"/>
      </w:tblGrid>
      <w:tr>
        <w:trPr>
          <w:tblHeader w:val="true"/>
        </w:trP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839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Наименование документа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Страницы</w:t>
            </w:r>
          </w:p>
        </w:tc>
      </w:tr>
      <w:tr>
        <w:tc>
          <w:tcPr>
            <w:tcW w:type="dxa" w:w="9922"/>
            <w:gridSpan w:val="3"/>
            <w:shd w:fill="D9E2F3"/>
          </w:tcPr>
          <w:p>
            <w:pPr>
              <w:spacing w:before="100" w:after="60"/>
            </w:pPr>
            <w:r>
              <w:rPr>
                <w:b/>
                <w:sz w:val="20"/>
              </w:rPr>
              <w:t>Исходно-разрешительная документация и согласования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Свидетельство о государственной регистрации права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Выписка из ЕГРН на здание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4–7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Выписка из ЕГРН на земельный участок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8–12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Выписка из технического паспорта БТИ на здание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13–14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Справка БТИ о состоянии здания, экспликация и поэтажные планы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15–33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Письмо Департамента образования и науки города Москвы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34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Приказ Департамента образования и науки города Москвы № Пр-800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35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Письмо в Московскую государственную экспертизу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48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Соглашение о предоставлении субсидии из бюджета города Москвы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49–74</w:t>
            </w:r>
          </w:p>
        </w:tc>
      </w:tr>
      <w:tr>
        <w:tc>
          <w:tcPr>
            <w:tcW w:type="dxa" w:w="9922"/>
            <w:gridSpan w:val="3"/>
            <w:shd w:fill="D9E2F3"/>
          </w:tcPr>
          <w:p>
            <w:pPr>
              <w:spacing w:before="100" w:after="60"/>
            </w:pPr>
            <w:r>
              <w:rPr>
                <w:b/>
                <w:sz w:val="20"/>
              </w:rPr>
              <w:t>Технические условия и договоры ресурсоснабжающих организаций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Технические условия на сохранность кабельных сооружений связи ПАО «МГТС»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75–77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Контракт холодного водоснабжения и водоотведения с АО «Мосводоканал»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78–108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Технические условия на радиофикацию и СКТ ООО «Корпорация ИнформТелеСеть»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109–112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13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Технические требования к оборудованию для передачи дублирующих сигналов о пожаре (ГБУ «Система 112»)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113–117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14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Технические условия на сопряжение объектовой системы оповещения (ГБУ «Система 112»)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118–126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15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Договор о подключении к системе теплоснабжения ПАО «МОЭК»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127–153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Технические условия ГБУ «ИМЦ» (АСУПР)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154–155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17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Технические условия ГБУ «ИМЦ» (видеонаблюдение)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156–157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18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Технические условия ГБУ «ИМЦ» (диспетчеризация)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158–160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19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Технические условия на технологическое присоединение к электрическим сетям ПАО «Россети Московский регион»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161–164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20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Письмо о выдаче исходных данных ФГКУ «УВО ВНГ России по городу Москве»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165–166</w:t>
            </w:r>
          </w:p>
        </w:tc>
      </w:tr>
      <w:tr>
        <w:tc>
          <w:tcPr>
            <w:tcW w:type="dxa" w:w="9922"/>
            <w:gridSpan w:val="3"/>
            <w:shd w:fill="D9E2F3"/>
          </w:tcPr>
          <w:p>
            <w:pPr>
              <w:spacing w:before="100" w:after="60"/>
            </w:pPr>
            <w:r>
              <w:rPr>
                <w:b/>
                <w:sz w:val="20"/>
              </w:rPr>
              <w:t>Нормативно-технические и справочные материалы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21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Стандарт «Московская школа. Модернизация объектов образования»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167–232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22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Письмо Департамента образования и науки города Москвы о ходе разработки ПСД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233–236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23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Протокол сертификационных испытаний СФТК «БЕТОНИТ ТЕРМ МИН ПРО»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238–248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Сертификат соответствия системы фасадной теплоизоляционной от 17.04.2024 № RU.MCC.379.38156, система «МОССТРОЙСЕРТИФИКАЦИЯ»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25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Сертификат соответствия витража противопожарного светопрозрачного типа ВПС-EIW30 из алюминиевых профилей системы ТАТПРОФ от 10.08.2023 № НСОПБ.RU.ЭО.ПР.150.Н.02335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Сертификат соответствия средств огнезащиты стальных конструкций «Термобарьер» от 15.07.2026 № ЕАЭС RU C-RU.ПБ09.В.00605/26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27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Сертификат соответствия на двухслойную конструктивную огнезащиту «Термобарьер К» от 23.05.2026 № СЭБ.RU.ПР001.В.00134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28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Сертификат соответствия на двухслойную конструктивную огнезащиту «Термобарьер К» от 23.09.2023 № СЭБ.RU.ПР001.В.00161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29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Сертификат соответствия на двухслойную конструктивную огнезащиту «Термобарьер К» от 12.10.2023 № СЭБ.RU.ПР001.В.00168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30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Свидетельство о государственной регистрации двухкомпонентного теплоизоляционного материала «Термобарьер» Т от 11.07.2017 № RU.77.01.34.015.E.001942.07.17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31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Сертификат соответствия на двухкомпонентный теплоизоляционный материал «Термобарьер» Т от 01.09.2023 № РОСС.RU.НЕ06.Н11987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32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Свидетельство о государственной регистрации огнезащитной вспучивающейся краски «Термобарьер» от 24.12.2012 № RU.77.01.34.015.E.011365.12.12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33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Сертификат соответствия на огнезащитную вспучивающуюся краску «Термобарьер» от 04.02.2026 № РОСС.RU.МЛ10.Н13742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34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Сертификат соответствия устройств пожаротушения автономных от 02.10.2023 № ЕАЭС RU C-RU.НЕ.55.В.00028/23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35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Сертификат соответствия на фанеру трудносгораемую для строительства марки ФСФ-ТС от 10.02.2023 № RU C-RU.ПБ09.В.00385/23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36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Сертификат соответствия на плиты фанерные трудносгорающие атмосферостойкие марок ПФА-Т и ПФА-Т (комби) от 17.01.2024 № RU C-RU.АЮ 64.В.00501/24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37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Сертификат соответствия на плиты фанерные трудносгорающие атмосферостойкие маркировки ПФА-Т для покрытия полов от 24.03.2022 № RU C-RU.ПБ68.В.00866/22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38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Сертификат соответствия на плиты фанерные трудносгорающие атмосферостойственные маркировки ПФА-Т для отделки стен и потолков от 25.03.2022 № RU C-RU.ПБ68.В.00868/22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39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Выписка из технического паспорта БТИ на здание (строение) от 06.09.2021 № 1644/4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40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Сертификат соответствия кровельной системы от 30.10.2029 № НСОПБ.RU.ЭО.ПР.099.Н.00733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41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Сертификат соответствия на двухслойную конструктивную огнезащиту «Термобарьер К» от 22.05.2027 № СЭБ.RU.ПР001.В.00134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42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Сертификат соответствия на двухслойную конструктивную огнезащиту «Термобарьер К» от 22.09.2028 № СЭБ.RU.ПР001.В.00161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43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Сертификат соответствия на двухслойную конструктивную огнезащиту «Термобарьер К» от 11.10.2028 № СЭБ.RU.ПР001.В.00168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44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Сертификат соответствия на плиты фанерные трудногорючие атмосферостойкие марок ПФА-Т и ПФА-Т (комби) от 16.01.2029 № RU C-RU.АЮ 64.В.00501/24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45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Отчёт по результатам расчёта по оценке пожарного риска от 23.10.2026, № б/н, ООО «01 Групп» (экземпляр в составе справочных материалов)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46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Письмо Департамента образования и науки города Москвы об устройстве фрамуги в верхней части оконного блока с установкой ручки на высоте 1600–1700 мм от уровня чистого пола от 29.09.2026 № Исх-23173/26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249–285*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47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Выписки из единого реестра членов СРО (НОПРИЗ)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286–289</w:t>
            </w:r>
          </w:p>
        </w:tc>
      </w:tr>
      <w:tr>
        <w:tc>
          <w:tcPr>
            <w:tcW w:type="dxa" w:w="9922"/>
            <w:gridSpan w:val="3"/>
            <w:shd w:fill="D9E2F3"/>
          </w:tcPr>
          <w:p>
            <w:pPr>
              <w:spacing w:before="100" w:after="60"/>
            </w:pPr>
            <w:r>
              <w:rPr>
                <w:b/>
                <w:sz w:val="20"/>
              </w:rPr>
              <w:t>Отчёты и расчёты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48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7"/>
              </w:rPr>
              <w:t>Отчёт по результатам расчёта по оценке пожарного риска (ООО «01 Групп»)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sz w:val="17"/>
              </w:rPr>
              <w:t>290–392</w:t>
            </w:r>
          </w:p>
        </w:tc>
      </w:tr>
    </w:tbl>
    <w:p>
      <w:pPr>
        <w:spacing w:before="100"/>
      </w:pPr>
      <w:r>
        <w:rPr>
          <w:rFonts w:ascii="Times New Roman" w:hAnsi="Times New Roman"/>
          <w:i/>
          <w:sz w:val="16"/>
        </w:rPr>
        <w:t>* В предоставленном наброске индивидуальные страницы сертификатов не распределены. Для этих позиций указан общий диапазон 249–285; перед выпуском тома необходимо сверить фактические страницы каждого документа. Нумерация перечня приведена последовательно.</w:t>
      </w:r>
    </w:p>
    <w:sectPr w:rsidR="00FC693F" w:rsidRPr="0006063C" w:rsidSect="00034616"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