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color w:val="3E5A2A"/>
          <w:sz w:val="56"/>
          <w:szCs w:val="56"/>
        </w:rPr>
        <w:t xml:space="preserve">Editor-Datei</w:t>
      </w:r>
    </w:p>
    <w:p>
      <w:pPr>
        <w:spacing w:after="200"/>
        <w:jc w:val="center"/>
      </w:pPr>
      <w:r>
        <w:rPr>
          <w:color w:val="3B2F22"/>
          <w:sz w:val="30"/>
          <w:szCs w:val="30"/>
        </w:rPr>
        <w:t xml:space="preserve">Was die Natur uns schenkt · Band 2: Bäume, Sträucher &amp; Wildobst</w:t>
      </w:r>
    </w:p>
    <w:p>
      <w:pPr>
        <w:spacing w:after="600"/>
        <w:jc w:val="center"/>
      </w:pPr>
      <w:r>
        <w:rPr>
          <w:i/>
          <w:iCs/>
          <w:color w:val="3B2F22"/>
          <w:sz w:val="24"/>
          <w:szCs w:val="24"/>
        </w:rPr>
        <w:t xml:space="preserve">Nur für dich – nicht Teil des Buches</w:t>
      </w:r>
    </w:p>
    <w:p>
      <w:pPr>
        <w:spacing w:after="120" w:line="290"/>
      </w:pPr>
      <w:r>
        <w:t xml:space="preserve">In dieser Datei sammelst du alles, was du später noch ins Buch einfügen möchtest:</w:t>
      </w:r>
    </w:p>
    <w:p>
      <w:pPr>
        <w:pStyle w:val="ListParagraph"/>
        <w:numPr>
          <w:ilvl w:val="0"/>
          <w:numId w:val="2"/>
        </w:numPr>
        <w:spacing w:after="60"/>
      </w:pPr>
      <w:r>
        <w:rPr>
          <w:b/>
          <w:bCs/>
        </w:rPr>
        <w:t xml:space="preserve">Teil 1:</w:t>
      </w:r>
      <w:r>
        <w:t xml:space="preserve"> Was vor der Veröffentlichung noch offen ist – als Checkliste.</w:t>
      </w:r>
    </w:p>
    <w:p>
      <w:pPr>
        <w:pStyle w:val="ListParagraph"/>
        <w:numPr>
          <w:ilvl w:val="0"/>
          <w:numId w:val="2"/>
        </w:numPr>
        <w:spacing w:after="60"/>
      </w:pPr>
      <w:r>
        <w:rPr>
          <w:b/>
          <w:bCs/>
        </w:rPr>
        <w:t xml:space="preserve">Teil 2:</w:t>
      </w:r>
      <w:r>
        <w:t xml:space="preserve"> Platz für deine eigenen Texte zu jeder Pflanze („Aus Dianas Kräuterküche“).</w:t>
      </w:r>
    </w:p>
    <w:p>
      <w:pPr>
        <w:pStyle w:val="ListParagraph"/>
        <w:numPr>
          <w:ilvl w:val="0"/>
          <w:numId w:val="2"/>
        </w:numPr>
        <w:spacing w:after="60"/>
      </w:pPr>
      <w:r>
        <w:rPr>
          <w:b/>
          <w:bCs/>
        </w:rPr>
        <w:t xml:space="preserve">Teil 3:</w:t>
      </w:r>
      <w:r>
        <w:t xml:space="preserve"> Die Fotoliste aller 36 Pflanzen, damit du nach und nach echte Bilder besorgen kannst.</w:t>
      </w:r>
    </w:p>
    <w:p>
      <w:pPr>
        <w:spacing w:after="120" w:line="290"/>
      </w:pPr>
      <w:r>
        <w:rPr>
          <w:b/>
          <w:bCs/>
        </w:rPr>
        <w:t xml:space="preserve">So kommt alles ins Buch:</w:t>
      </w:r>
      <w:r>
        <w:t xml:space="preserve"> Schreib deine Texte hier hinein (oder schick sie mir einfach im Chat, Stichpunkte reichen). Ich setze sie dann an der richtigen Stelle ein und baue das Buch neu. Bitte trag sie nicht direkt in die Buch-Datei ein – sonst gehen sie beim nächsten Neubau verloren.</w:t>
      </w:r>
    </w:p>
    <w:p>
      <w:pPr>
        <w:pStyle w:val="Heading1"/>
        <w:pageBreakBefore/>
      </w:pPr>
      <w:r>
        <w:t xml:space="preserve">Teil 1: Noch offen vor der Veröffentlichung</w:t>
      </w:r>
    </w:p>
    <w:p>
      <w:pPr>
        <w:pStyle w:val="Heading2"/>
      </w:pPr>
      <w:r>
        <w:t xml:space="preserve">Impressum</w:t>
      </w:r>
    </w:p>
    <w:p>
      <w:pPr>
        <w:spacing w:after="80"/>
        <w:ind w:left="360" w:hanging="360"/>
      </w:pPr>
      <w:r>
        <w:rPr>
          <w:sz w:val="24"/>
          <w:szCs w:val="24"/>
        </w:rPr>
        <w:t xml:space="preserve">☐  </w:t>
      </w:r>
      <w:r>
        <w:t xml:space="preserve">Nachname eintragen</w:t>
      </w:r>
    </w:p>
    <w:p>
      <w:pPr>
        <w:spacing w:after="80"/>
        <w:ind w:left="360" w:hanging="360"/>
      </w:pPr>
      <w:r>
        <w:rPr>
          <w:sz w:val="24"/>
          <w:szCs w:val="24"/>
        </w:rPr>
        <w:t xml:space="preserve">☐  </w:t>
      </w:r>
      <w:r>
        <w:t xml:space="preserve">Anschrift (Straße, PLZ, Ort) – für ein Impressum Pflicht</w:t>
      </w:r>
    </w:p>
    <w:p>
      <w:pPr>
        <w:spacing w:after="80"/>
        <w:ind w:left="360" w:hanging="360"/>
      </w:pPr>
      <w:r>
        <w:rPr>
          <w:sz w:val="24"/>
          <w:szCs w:val="24"/>
        </w:rPr>
        <w:t xml:space="preserve">☐  </w:t>
      </w:r>
      <w:r>
        <w:t xml:space="preserve">E-Mail-Adresse</w:t>
      </w:r>
    </w:p>
    <w:p>
      <w:pPr>
        <w:spacing w:after="80"/>
        <w:ind w:left="360" w:hanging="360"/>
      </w:pPr>
      <w:r>
        <w:rPr>
          <w:sz w:val="24"/>
          <w:szCs w:val="24"/>
        </w:rPr>
        <w:t xml:space="preserve">☐  </w:t>
      </w:r>
      <w:r>
        <w:t xml:space="preserve">Druck und Vertrieb (z. B. „Independently published“ bei Amazon KDP)</w:t>
      </w:r>
    </w:p>
    <w:p>
      <w:pPr>
        <w:spacing w:after="80"/>
        <w:ind w:left="360" w:hanging="360"/>
      </w:pPr>
      <w:r>
        <w:rPr>
          <w:sz w:val="24"/>
          <w:szCs w:val="24"/>
        </w:rPr>
        <w:t xml:space="preserve">☐  </w:t>
      </w:r>
      <w:r>
        <w:t xml:space="preserve">ISBN (bekommst du kostenlos bei KDP oder kaufst sie bei der ISBN-Agentur)</w:t>
      </w:r>
    </w:p>
    <w:p>
      <w:pPr>
        <w:pStyle w:val="Heading2"/>
      </w:pPr>
      <w:r>
        <w:t xml:space="preserve">Inhalt und Sicherheit</w:t>
      </w:r>
    </w:p>
    <w:p>
      <w:pPr>
        <w:spacing w:after="80"/>
        <w:ind w:left="360" w:hanging="360"/>
      </w:pPr>
      <w:r>
        <w:rPr>
          <w:sz w:val="24"/>
          <w:szCs w:val="24"/>
        </w:rPr>
        <w:t xml:space="preserve">☐  </w:t>
      </w:r>
      <w:r>
        <w:t xml:space="preserve">Fachliche Prüfung des ganzen Buches durch eine Kräuterpädagogin, Apothekerin oder jemanden mit botanischem Fachwissen</w:t>
      </w:r>
    </w:p>
    <w:p>
      <w:pPr>
        <w:spacing w:after="80"/>
        <w:ind w:left="360" w:hanging="360"/>
      </w:pPr>
      <w:r>
        <w:rPr>
          <w:sz w:val="24"/>
          <w:szCs w:val="24"/>
        </w:rPr>
        <w:t xml:space="preserve">☐  </w:t>
      </w:r>
      <w:r>
        <w:t xml:space="preserve">Optional: Haftungsausschluss von einer Anwältin oder einem Anwalt (Verlags- oder Medienrecht) prüfen lassen</w:t>
      </w:r>
    </w:p>
    <w:p>
      <w:pPr>
        <w:spacing w:after="80"/>
        <w:ind w:left="360" w:hanging="360"/>
      </w:pPr>
      <w:r>
        <w:rPr>
          <w:sz w:val="24"/>
          <w:szCs w:val="24"/>
        </w:rPr>
        <w:t xml:space="preserve">☐  </w:t>
      </w:r>
      <w:r>
        <w:t xml:space="preserve">Fotos der 17 Pflanzen mit giftigen Doppelgängern besorgen (Teil 3, Priorität „hoch“)</w:t>
      </w:r>
    </w:p>
    <w:p>
      <w:pPr>
        <w:spacing w:after="80"/>
        <w:ind w:left="360" w:hanging="360"/>
      </w:pPr>
      <w:r>
        <w:rPr>
          <w:sz w:val="24"/>
          <w:szCs w:val="24"/>
        </w:rPr>
        <w:t xml:space="preserve">☐  </w:t>
      </w:r>
      <w:r>
        <w:t xml:space="preserve">Eigene Texte für „Aus Dianas Kräuterküche“ schreiben (Teil 2) – optional, aber sie machen das Buch persönlich</w:t>
      </w:r>
    </w:p>
    <w:p>
      <w:pPr>
        <w:pStyle w:val="Heading2"/>
      </w:pPr>
      <w:r>
        <w:t xml:space="preserve">Veröffentlichung</w:t>
      </w:r>
    </w:p>
    <w:p>
      <w:pPr>
        <w:spacing w:after="80"/>
        <w:ind w:left="360" w:hanging="360"/>
      </w:pPr>
      <w:r>
        <w:rPr>
          <w:sz w:val="24"/>
          <w:szCs w:val="24"/>
        </w:rPr>
        <w:t xml:space="preserve">☐  </w:t>
      </w:r>
      <w:r>
        <w:t xml:space="preserve">Cover gestalten (Vorderseite, Rücken, Rückseite mit Klappentext)</w:t>
      </w:r>
    </w:p>
    <w:p>
      <w:pPr>
        <w:spacing w:after="80"/>
        <w:ind w:left="360" w:hanging="360"/>
      </w:pPr>
      <w:r>
        <w:rPr>
          <w:sz w:val="24"/>
          <w:szCs w:val="24"/>
        </w:rPr>
        <w:t xml:space="preserve">☐  </w:t>
      </w:r>
      <w:r>
        <w:t xml:space="preserve">Bei Amazon KDP angeben, dass Texte und Bilder mit KI-Unterstützung erstellt wurden</w:t>
      </w:r>
    </w:p>
    <w:p>
      <w:pPr>
        <w:spacing w:after="80"/>
        <w:ind w:left="360" w:hanging="360"/>
      </w:pPr>
      <w:r>
        <w:rPr>
          <w:sz w:val="24"/>
          <w:szCs w:val="24"/>
        </w:rPr>
        <w:t xml:space="preserve">☐  </w:t>
      </w:r>
      <w:r>
        <w:t xml:space="preserve">Druckfassung bauen lassen (ohne Arbeitshinweise) und in Word als PDF speichern</w:t>
      </w:r>
    </w:p>
    <w:p>
      <w:pPr>
        <w:spacing w:after="80"/>
        <w:ind w:left="360" w:hanging="360"/>
      </w:pPr>
      <w:r>
        <w:rPr>
          <w:sz w:val="24"/>
          <w:szCs w:val="24"/>
        </w:rPr>
        <w:t xml:space="preserve">☐  </w:t>
      </w:r>
      <w:r>
        <w:t xml:space="preserve">Probedruck bestellen und durchblättern</w:t>
      </w:r>
    </w:p>
    <w:p>
      <w:pPr>
        <w:spacing w:after="80"/>
        <w:ind w:left="360" w:hanging="360"/>
      </w:pPr>
      <w:r>
        <w:rPr>
          <w:sz w:val="24"/>
          <w:szCs w:val="24"/>
        </w:rPr>
        <w:t xml:space="preserve">☐  </w:t>
      </w:r>
      <w:r>
        <w:t xml:space="preserve">GitHub-Repository auf „Private“ stellen</w:t>
      </w:r>
    </w:p>
    <w:p>
      <w:pPr>
        <w:pStyle w:val="Heading1"/>
        <w:pageBreakBefore/>
      </w:pPr>
      <w:r>
        <w:t xml:space="preserve">Teil 2: Deine eigenen Texte – „Aus Dianas Kräuterküche“</w:t>
      </w:r>
    </w:p>
    <w:p>
      <w:pPr>
        <w:spacing w:after="120" w:line="290"/>
      </w:pPr>
      <w:r>
        <w:rPr>
          <w:b/>
          <w:bCs/>
        </w:rPr>
        <w:t xml:space="preserve">Wo kommt der Text hin?</w:t>
      </w:r>
      <w:r>
        <w:t xml:space="preserve"> In jedem Pflanzenkapitel direkt nach den Rezepten, vor dem Abschnitt „Tee und traditionelle Verwendung“. Er erscheint dort als eigener Kasten mit der Überschrift „Aus Dianas Kräuterküche“.</w:t>
      </w:r>
    </w:p>
    <w:p>
      <w:pPr>
        <w:spacing w:after="120" w:line="290"/>
      </w:pPr>
      <w:r>
        <w:rPr>
          <w:b/>
          <w:bCs/>
        </w:rPr>
        <w:t xml:space="preserve">Wie lang?</w:t>
      </w:r>
      <w:r>
        <w:t xml:space="preserve"> Zwei bis fünf Sätze reichen. Lieber kurz und echt als lang. Du musst nicht zu jeder Pflanze etwas schreiben – Kapitel ohne Text bekommen einfach keinen Kasten.</w:t>
      </w:r>
    </w:p>
    <w:p>
      <w:pPr>
        <w:spacing w:after="120" w:line="290"/>
      </w:pPr>
      <w:r>
        <w:rPr>
          <w:b/>
          <w:bCs/>
        </w:rPr>
        <w:t xml:space="preserve">Ideen, worüber du schreiben kannst:</w:t>
      </w:r>
    </w:p>
    <w:p>
      <w:pPr>
        <w:pStyle w:val="ListParagraph"/>
        <w:numPr>
          <w:ilvl w:val="0"/>
          <w:numId w:val="2"/>
        </w:numPr>
        <w:spacing w:after="60"/>
      </w:pPr>
      <w:r>
        <w:t xml:space="preserve">Wo wächst die Pflanze bei dir? Seit wann kennst du sie?</w:t>
      </w:r>
    </w:p>
    <w:p>
      <w:pPr>
        <w:pStyle w:val="ListParagraph"/>
        <w:numPr>
          <w:ilvl w:val="0"/>
          <w:numId w:val="2"/>
        </w:numPr>
        <w:spacing w:after="60"/>
      </w:pPr>
      <w:r>
        <w:t xml:space="preserve">Was ist dein Lieblingsrezept damit – oder was machst du ganz anders als im Buch?</w:t>
      </w:r>
    </w:p>
    <w:p>
      <w:pPr>
        <w:pStyle w:val="ListParagraph"/>
        <w:numPr>
          <w:ilvl w:val="0"/>
          <w:numId w:val="2"/>
        </w:numPr>
        <w:spacing w:after="60"/>
      </w:pPr>
      <w:r>
        <w:t xml:space="preserve">Eine kleine Geschichte: Oma, Kindheit, ein Missgeschick beim Sammeln …</w:t>
      </w:r>
    </w:p>
    <w:p>
      <w:pPr>
        <w:pStyle w:val="ListParagraph"/>
        <w:numPr>
          <w:ilvl w:val="0"/>
          <w:numId w:val="2"/>
        </w:numPr>
        <w:spacing w:after="60"/>
      </w:pPr>
      <w:r>
        <w:t xml:space="preserve">Ein Tipp, den nur jemand kennt, der die Pflanze wirklich benutzt.</w:t>
      </w:r>
    </w:p>
    <w:p>
      <w:pPr>
        <w:pStyle w:val="Heading3"/>
        <w:keepNext/>
      </w:pPr>
      <w:r>
        <w:t xml:space="preserve">1. Hängebirke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 Gemeine Fichte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 Weißtanne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 Waldkiefer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 Silberweide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 Schwarzpappel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 Spitzahorn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8. Linde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9. Schwarzer Holunder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10. Walderdbeere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11. Himbeere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12. Brombeere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13. Heidelbeere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14. Vogelkirsche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15. Kirschpflaume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16. Felsenbirne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17. Maulbeere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18. Aronia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19. Hundsrose und Hagebutte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20. Weißdorn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21. Schlehe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22. Sanddorn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23. Kornelkirsche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24. Echte Mispel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25. Quitte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26. Zierquitte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27. Holzapfel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28. Wildbirne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29. Preiselbeere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30. Haselnuss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31. Walnuss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32. Esskastanie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33. Stieleiche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34. Rotbuche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35. Rosskastanie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36. Efeu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1"/>
        <w:pageBreakBefore/>
      </w:pPr>
      <w:r>
        <w:t xml:space="preserve">Teil 3: Fotoliste</w:t>
      </w:r>
    </w:p>
    <w:p>
      <w:pPr>
        <w:spacing w:after="120" w:line="290"/>
      </w:pPr>
      <w:r>
        <w:t xml:space="preserve">Hier stehen alle 36 Pflanzen des Buches. Fang mit den Pflanzen der Priorität </w:t>
      </w:r>
      <w:r>
        <w:rPr>
          <w:b/>
          <w:bCs/>
        </w:rPr>
        <w:t xml:space="preserve">hoch</w:t>
      </w:r>
      <w:r>
        <w:t xml:space="preserve"> an: Sie haben giftige Doppelgänger, und dort helfen echte Fotos der Bestimmungsmerkmale am meisten. Fotografiere wenn möglich auch den Doppelgänger zum Vergleich.</w:t>
      </w:r>
    </w:p>
    <w:p>
      <w:pPr>
        <w:pStyle w:val="Heading2"/>
      </w:pPr>
      <w:r>
        <w:t xml:space="preserve">Tipps für gute Pflanzenfotos</w:t>
      </w:r>
    </w:p>
    <w:p>
      <w:pPr>
        <w:pStyle w:val="ListParagraph"/>
        <w:numPr>
          <w:ilvl w:val="0"/>
          <w:numId w:val="2"/>
        </w:numPr>
        <w:spacing w:after="60"/>
      </w:pPr>
      <w:r>
        <w:rPr>
          <w:b/>
          <w:bCs/>
        </w:rPr>
        <w:t xml:space="preserve">Licht:</w:t>
      </w:r>
      <w:r>
        <w:t xml:space="preserve"> Tageslicht bei leicht bewölktem Himmel ist ideal. Pralle Mittagssonne macht harte Schatten.</w:t>
      </w:r>
    </w:p>
    <w:p>
      <w:pPr>
        <w:pStyle w:val="ListParagraph"/>
        <w:numPr>
          <w:ilvl w:val="0"/>
          <w:numId w:val="2"/>
        </w:numPr>
        <w:spacing w:after="60"/>
      </w:pPr>
      <w:r>
        <w:rPr>
          <w:b/>
          <w:bCs/>
        </w:rPr>
        <w:t xml:space="preserve">Hintergrund:</w:t>
      </w:r>
      <w:r>
        <w:t xml:space="preserve"> ruhig halten. Ein Blatt Papier oder ein Stück Pappe hinter der Pflanze wirkt Wunder.</w:t>
      </w:r>
    </w:p>
    <w:p>
      <w:pPr>
        <w:pStyle w:val="ListParagraph"/>
        <w:numPr>
          <w:ilvl w:val="0"/>
          <w:numId w:val="2"/>
        </w:numPr>
        <w:spacing w:after="60"/>
      </w:pPr>
      <w:r>
        <w:rPr>
          <w:b/>
          <w:bCs/>
        </w:rPr>
        <w:t xml:space="preserve">Maßstab:</w:t>
      </w:r>
      <w:r>
        <w:t xml:space="preserve"> Bei Nahaufnahmen eine Münze oder ein Lineal mit ins Bild legen.</w:t>
      </w:r>
    </w:p>
    <w:p>
      <w:pPr>
        <w:pStyle w:val="ListParagraph"/>
        <w:numPr>
          <w:ilvl w:val="0"/>
          <w:numId w:val="2"/>
        </w:numPr>
        <w:spacing w:after="60"/>
      </w:pPr>
      <w:r>
        <w:rPr>
          <w:b/>
          <w:bCs/>
        </w:rPr>
        <w:t xml:space="preserve">Auflösung:</w:t>
      </w:r>
      <w:r>
        <w:t xml:space="preserve"> Für eine ganze Druckseite mindestens 2500 × 3500 Pixel – jedes aktuelle Handy schafft das. Nicht digital zoomen, lieber näher rangehen.</w:t>
      </w:r>
    </w:p>
    <w:p>
      <w:pPr>
        <w:pStyle w:val="ListParagraph"/>
        <w:numPr>
          <w:ilvl w:val="0"/>
          <w:numId w:val="2"/>
        </w:numPr>
        <w:spacing w:after="60"/>
      </w:pPr>
      <w:r>
        <w:rPr>
          <w:b/>
          <w:bCs/>
        </w:rPr>
        <w:t xml:space="preserve">Dateinamen:</w:t>
      </w:r>
      <w:r>
        <w:t xml:space="preserve"> Nummer, Pflanze und Motiv, z. B. „04-baerlauch-blattunterseite.jpg“. Dann finde ich jedes Bild sofort.</w:t>
      </w:r>
    </w:p>
    <w:p>
      <w:pPr>
        <w:pStyle w:val="ListParagraph"/>
        <w:numPr>
          <w:ilvl w:val="0"/>
          <w:numId w:val="2"/>
        </w:numPr>
        <w:spacing w:after="60"/>
      </w:pPr>
      <w:r>
        <w:rPr>
          <w:b/>
          <w:bCs/>
        </w:rPr>
        <w:t xml:space="preserve">Rechte:</w:t>
      </w:r>
      <w:r>
        <w:t xml:space="preserve"> Am sichersten sind deine eigenen Fotos. Fremde Bilder nur mit einer Lizenz, die den Verkauf erlaubt. Achtung bei Wikipedia-Bildern: Viele verlangen Namensnennung und dass dein Buch unter dieselbe Lizenz gestellt wird – das ist für ein Verkaufsbuch meist ungeeignet.</w:t>
      </w:r>
    </w:p>
    <w:p>
      <w:pPr>
        <w:pStyle w:val="ListParagraph"/>
        <w:numPr>
          <w:ilvl w:val="0"/>
          <w:numId w:val="2"/>
        </w:numPr>
        <w:spacing w:after="60"/>
      </w:pPr>
      <w:r>
        <w:rPr>
          <w:b/>
          <w:bCs/>
        </w:rPr>
        <w:t xml:space="preserve">Erkennbare Personen und fremde Gärten:</w:t>
      </w:r>
      <w:r>
        <w:t xml:space="preserve"> nur mit Erlaubnis.</w:t>
      </w:r>
    </w:p>
    <w:p>
      <w:pPr>
        <w:sectPr>
          <w:footerReference w:type="default" r:id="rId7"/>
          <w:pgSz w:w="11906" w:h="16838" w:orient="portrait"/>
          <w:pgMar w:top="1418" w:right="1418" w:bottom="1418" w:left="1418" w:header="708" w:footer="708" w:gutter="0"/>
          <w:pgNumType/>
          <w:docGrid w:linePitch="360"/>
        </w:sectPr>
      </w:pPr>
    </w:p>
    <w:p>
      <w:pPr>
        <w:pStyle w:val="Heading2"/>
      </w:pPr>
      <w:r>
        <w:t xml:space="preserve">Alle Pflanzen (36) – 10 davon mit Priorität „hoch“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600"/>
        <w:gridCol w:w="6300"/>
        <w:gridCol w:w="1100"/>
        <w:gridCol w:w="1100"/>
      </w:tblGrid>
      <w:tr>
        <w:trPr>
          <w:tblHeader/>
        </w:trPr>
        <w:tc>
          <w:tcPr>
            <w:tcW w:type="dxa" w:w="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Nr.</w:t>
            </w:r>
          </w:p>
        </w:tc>
        <w:tc>
          <w:tcPr>
            <w:tcW w:type="dxa" w:w="27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Pflanze</w:t>
            </w:r>
          </w:p>
        </w:tc>
        <w:tc>
          <w:tcPr>
            <w:tcW w:type="dxa" w:w="2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Beste Fotozeit</w:t>
            </w:r>
          </w:p>
        </w:tc>
        <w:tc>
          <w:tcPr>
            <w:tcW w:type="dxa" w:w="63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Motive</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Priorität</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center"/>
            </w:pPr>
            <w:r>
              <w:rPr>
                <w:b/>
                <w:bCs/>
                <w:color w:val="FFFFFF"/>
                <w:sz w:val="18"/>
                <w:szCs w:val="18"/>
              </w:rPr>
              <w:t xml:space="preserve">Fertig</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Hängebirke</w:t>
            </w:r>
          </w:p>
          <w:p>
            <w:pPr>
              <w:jc w:val="left"/>
            </w:pPr>
            <w:r>
              <w:rPr>
                <w:sz w:val="18"/>
                <w:szCs w:val="18"/>
              </w:rPr>
              <w:t xml:space="preserve">Betula pendula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Mär–Jun</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Gemeine Fichte</w:t>
            </w:r>
          </w:p>
          <w:p>
            <w:pPr>
              <w:jc w:val="left"/>
            </w:pPr>
            <w:r>
              <w:rPr>
                <w:sz w:val="18"/>
                <w:szCs w:val="18"/>
              </w:rPr>
              <w:t xml:space="preserve">Picea abies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Eibe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Weißtanne</w:t>
            </w:r>
          </w:p>
          <w:p>
            <w:pPr>
              <w:jc w:val="left"/>
            </w:pPr>
            <w:r>
              <w:rPr>
                <w:sz w:val="18"/>
                <w:szCs w:val="18"/>
              </w:rPr>
              <w:t xml:space="preserve">Abies alba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Eibe, Nordmanntanne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Waldkiefer</w:t>
            </w:r>
          </w:p>
          <w:p>
            <w:pPr>
              <w:jc w:val="left"/>
            </w:pPr>
            <w:r>
              <w:rPr>
                <w:sz w:val="18"/>
                <w:szCs w:val="18"/>
              </w:rPr>
              <w:t xml:space="preserve">Pinus sylvestris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Silberweide</w:t>
            </w:r>
          </w:p>
          <w:p>
            <w:pPr>
              <w:jc w:val="left"/>
            </w:pPr>
            <w:r>
              <w:rPr>
                <w:sz w:val="18"/>
                <w:szCs w:val="18"/>
              </w:rPr>
              <w:t xml:space="preserve">Salix alba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Schwarzpappel</w:t>
            </w:r>
          </w:p>
          <w:p>
            <w:pPr>
              <w:jc w:val="left"/>
            </w:pPr>
            <w:r>
              <w:rPr>
                <w:sz w:val="18"/>
                <w:szCs w:val="18"/>
              </w:rPr>
              <w:t xml:space="preserve">Populus nigra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Feb–Mär</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Spitzahorn</w:t>
            </w:r>
          </w:p>
          <w:p>
            <w:pPr>
              <w:jc w:val="left"/>
            </w:pPr>
            <w:r>
              <w:rPr>
                <w:sz w:val="18"/>
                <w:szCs w:val="18"/>
              </w:rPr>
              <w:t xml:space="preserve">Acer platanoides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Feb–Mai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Linde</w:t>
            </w:r>
          </w:p>
          <w:p>
            <w:pPr>
              <w:jc w:val="left"/>
            </w:pPr>
            <w:r>
              <w:rPr>
                <w:sz w:val="18"/>
                <w:szCs w:val="18"/>
              </w:rPr>
              <w:t xml:space="preserve">Tilia cordata und Tilia platyphyllos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Schwarzer Holunder</w:t>
            </w:r>
          </w:p>
          <w:p>
            <w:pPr>
              <w:jc w:val="left"/>
            </w:pPr>
            <w:r>
              <w:rPr>
                <w:sz w:val="18"/>
                <w:szCs w:val="18"/>
              </w:rPr>
              <w:t xml:space="preserve">Sambucus nigra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Zwergholunder, Attich, Traubenholunder</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Walderdbeere</w:t>
            </w:r>
          </w:p>
          <w:p>
            <w:pPr>
              <w:jc w:val="left"/>
            </w:pPr>
            <w:r>
              <w:rPr>
                <w:sz w:val="18"/>
                <w:szCs w:val="18"/>
              </w:rPr>
              <w:t xml:space="preserve">Fragaria vesca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Himbeere</w:t>
            </w:r>
          </w:p>
          <w:p>
            <w:pPr>
              <w:jc w:val="left"/>
            </w:pPr>
            <w:r>
              <w:rPr>
                <w:sz w:val="18"/>
                <w:szCs w:val="18"/>
              </w:rPr>
              <w:t xml:space="preserve">Rubus idaeus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Brombeere</w:t>
            </w:r>
          </w:p>
          <w:p>
            <w:pPr>
              <w:jc w:val="left"/>
            </w:pPr>
            <w:r>
              <w:rPr>
                <w:sz w:val="18"/>
                <w:szCs w:val="18"/>
              </w:rPr>
              <w:t xml:space="preserve">Rubus fruticosus agg.</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Heidelbeere</w:t>
            </w:r>
          </w:p>
          <w:p>
            <w:pPr>
              <w:jc w:val="left"/>
            </w:pPr>
            <w:r>
              <w:rPr>
                <w:sz w:val="18"/>
                <w:szCs w:val="18"/>
              </w:rPr>
              <w:t xml:space="preserve">Vaccinium myrtillus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Tollkirsche, Rauschbeere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Vogelkirsche</w:t>
            </w:r>
          </w:p>
          <w:p>
            <w:pPr>
              <w:jc w:val="left"/>
            </w:pPr>
            <w:r>
              <w:rPr>
                <w:sz w:val="18"/>
                <w:szCs w:val="18"/>
              </w:rPr>
              <w:t xml:space="preserve">Prunus avium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Traubenkirsche, Kirschlorbeer</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Kirschpflaume</w:t>
            </w:r>
          </w:p>
          <w:p>
            <w:pPr>
              <w:jc w:val="left"/>
            </w:pPr>
            <w:r>
              <w:rPr>
                <w:sz w:val="18"/>
                <w:szCs w:val="18"/>
              </w:rPr>
              <w:t xml:space="preserve">Prunus cerasifera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Felsenbirne</w:t>
            </w:r>
          </w:p>
          <w:p>
            <w:pPr>
              <w:jc w:val="left"/>
            </w:pPr>
            <w:r>
              <w:rPr>
                <w:sz w:val="18"/>
                <w:szCs w:val="18"/>
              </w:rPr>
              <w:t xml:space="preserve">Amelanchier ovalis und A. lamarckii</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Maulbeere</w:t>
            </w:r>
          </w:p>
          <w:p>
            <w:pPr>
              <w:jc w:val="left"/>
            </w:pPr>
            <w:r>
              <w:rPr>
                <w:sz w:val="18"/>
                <w:szCs w:val="18"/>
              </w:rPr>
              <w:t xml:space="preserve">Morus alba und Morus nigra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Aronia</w:t>
            </w:r>
          </w:p>
          <w:p>
            <w:pPr>
              <w:jc w:val="left"/>
            </w:pPr>
            <w:r>
              <w:rPr>
                <w:sz w:val="18"/>
                <w:szCs w:val="18"/>
              </w:rPr>
              <w:t xml:space="preserve">Aronia melanocarpa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Liguster, Kirschlorbeer</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Hundsrose und Hagebutte</w:t>
            </w:r>
          </w:p>
          <w:p>
            <w:pPr>
              <w:jc w:val="left"/>
            </w:pPr>
            <w:r>
              <w:rPr>
                <w:sz w:val="18"/>
                <w:szCs w:val="18"/>
              </w:rPr>
              <w:t xml:space="preserve">Rosa canina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Weißdorn</w:t>
            </w:r>
          </w:p>
          <w:p>
            <w:pPr>
              <w:jc w:val="left"/>
            </w:pPr>
            <w:r>
              <w:rPr>
                <w:sz w:val="18"/>
                <w:szCs w:val="18"/>
              </w:rPr>
              <w:t xml:space="preserve">Crataegus monogyna und C. laevigata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Schlehe</w:t>
            </w:r>
          </w:p>
          <w:p>
            <w:pPr>
              <w:jc w:val="left"/>
            </w:pPr>
            <w:r>
              <w:rPr>
                <w:sz w:val="18"/>
                <w:szCs w:val="18"/>
              </w:rPr>
              <w:t xml:space="preserve">Prunus spinosa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Sanddorn</w:t>
            </w:r>
          </w:p>
          <w:p>
            <w:pPr>
              <w:jc w:val="left"/>
            </w:pPr>
            <w:r>
              <w:rPr>
                <w:sz w:val="18"/>
                <w:szCs w:val="18"/>
              </w:rPr>
              <w:t xml:space="preserve">Hippophae rhamnoides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Kornelkirsche</w:t>
            </w:r>
          </w:p>
          <w:p>
            <w:pPr>
              <w:jc w:val="left"/>
            </w:pPr>
            <w:r>
              <w:rPr>
                <w:sz w:val="18"/>
                <w:szCs w:val="18"/>
              </w:rPr>
              <w:t xml:space="preserve">Cornus mas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 Mispel</w:t>
            </w:r>
          </w:p>
          <w:p>
            <w:pPr>
              <w:jc w:val="left"/>
            </w:pPr>
            <w:r>
              <w:rPr>
                <w:sz w:val="18"/>
                <w:szCs w:val="18"/>
              </w:rPr>
              <w:t xml:space="preserve">Mespilus germanica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Okt–Nov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Quitte</w:t>
            </w:r>
          </w:p>
          <w:p>
            <w:pPr>
              <w:jc w:val="left"/>
            </w:pPr>
            <w:r>
              <w:rPr>
                <w:sz w:val="18"/>
                <w:szCs w:val="18"/>
              </w:rPr>
              <w:t xml:space="preserve">Cydonia oblonga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Zierquitte</w:t>
            </w:r>
          </w:p>
          <w:p>
            <w:pPr>
              <w:jc w:val="left"/>
            </w:pPr>
            <w:r>
              <w:rPr>
                <w:sz w:val="18"/>
                <w:szCs w:val="18"/>
              </w:rPr>
              <w:t xml:space="preserve">Chaenomeles japonica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Sep–Okt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Holzapfel</w:t>
            </w:r>
          </w:p>
          <w:p>
            <w:pPr>
              <w:jc w:val="left"/>
            </w:pPr>
            <w:r>
              <w:rPr>
                <w:sz w:val="18"/>
                <w:szCs w:val="18"/>
              </w:rPr>
              <w:t xml:space="preserve">Malus sylvestris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Sep–Okt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Wildbirne</w:t>
            </w:r>
          </w:p>
          <w:p>
            <w:pPr>
              <w:jc w:val="left"/>
            </w:pPr>
            <w:r>
              <w:rPr>
                <w:sz w:val="18"/>
                <w:szCs w:val="18"/>
              </w:rPr>
              <w:t xml:space="preserve">Pyrus pyraster</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Sep–Okt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Preiselbeere</w:t>
            </w:r>
          </w:p>
          <w:p>
            <w:pPr>
              <w:jc w:val="left"/>
            </w:pPr>
            <w:r>
              <w:rPr>
                <w:sz w:val="18"/>
                <w:szCs w:val="18"/>
              </w:rPr>
              <w:t xml:space="preserve">Vaccinium vitis-idaea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Haselnuss</w:t>
            </w:r>
          </w:p>
          <w:p>
            <w:pPr>
              <w:jc w:val="left"/>
            </w:pPr>
            <w:r>
              <w:rPr>
                <w:sz w:val="18"/>
                <w:szCs w:val="18"/>
              </w:rPr>
              <w:t xml:space="preserve">Corylus avellana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Walnuss</w:t>
            </w:r>
          </w:p>
          <w:p>
            <w:pPr>
              <w:jc w:val="left"/>
            </w:pPr>
            <w:r>
              <w:rPr>
                <w:sz w:val="18"/>
                <w:szCs w:val="18"/>
              </w:rPr>
              <w:t xml:space="preserve">Juglans regia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Esskastanie</w:t>
            </w:r>
          </w:p>
          <w:p>
            <w:pPr>
              <w:jc w:val="left"/>
            </w:pPr>
            <w:r>
              <w:rPr>
                <w:sz w:val="18"/>
                <w:szCs w:val="18"/>
              </w:rPr>
              <w:t xml:space="preserve">Castanea sativa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p>
            <w:pPr>
              <w:jc w:val="left"/>
            </w:pPr>
            <w:r>
              <w:rPr>
                <w:b/>
                <w:bCs/>
                <w:sz w:val="18"/>
                <w:szCs w:val="18"/>
              </w:rPr>
              <w:t xml:space="preserve">Zum Vergleich:</w:t>
            </w:r>
            <w:r>
              <w:rPr>
                <w:sz w:val="18"/>
                <w:szCs w:val="18"/>
              </w:rPr>
              <w:t xml:space="preserve"> Rosskastanie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Stieleiche</w:t>
            </w:r>
          </w:p>
          <w:p>
            <w:pPr>
              <w:jc w:val="left"/>
            </w:pPr>
            <w:r>
              <w:rPr>
                <w:sz w:val="18"/>
                <w:szCs w:val="18"/>
              </w:rPr>
              <w:t xml:space="preserve">Quercus robur</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Mär–Okt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Rotbuche</w:t>
            </w:r>
          </w:p>
          <w:p>
            <w:pPr>
              <w:jc w:val="left"/>
            </w:pPr>
            <w:r>
              <w:rPr>
                <w:sz w:val="18"/>
                <w:szCs w:val="18"/>
              </w:rPr>
              <w:t xml:space="preserve">Fagus sylvatica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Rosskastanie</w:t>
            </w:r>
          </w:p>
          <w:p>
            <w:pPr>
              <w:jc w:val="left"/>
            </w:pPr>
            <w:r>
              <w:rPr>
                <w:sz w:val="18"/>
                <w:szCs w:val="18"/>
              </w:rPr>
              <w:t xml:space="preserve">Aesculus hippocastanum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Sep–Okt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Efeu</w:t>
            </w:r>
          </w:p>
          <w:p>
            <w:pPr>
              <w:jc w:val="left"/>
            </w:pPr>
            <w:r>
              <w:rPr>
                <w:sz w:val="18"/>
                <w:szCs w:val="18"/>
              </w:rPr>
              <w:t xml:space="preserve">Hedera helix</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color w:val="3E5A2A"/>
      <w:sz w:val="28"/>
      <w:szCs w:val="28"/>
    </w:rPr>
  </w:style>
  <w:style w:type="paragraph" w:styleId="Heading3">
    <w:name w:val="Heading 3"/>
    <w:basedOn w:val="Normal"/>
    <w:next w:val="Normal"/>
    <w:qFormat/>
    <w:pPr>
      <w:keepNext/>
      <w:spacing w:after="80" w:before="24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Editor-Datei – Was die Natur uns schenkt, Band 2: Bäume, Sträucher &amp; Wildobst</dc:title>
  <dc:creator>Diana</dc:creator>
  <cp:lastModifiedBy>Un-named</cp:lastModifiedBy>
  <cp:revision>1</cp:revision>
  <dcterms:created xsi:type="dcterms:W3CDTF">2026-10-28T08:06:12.525Z</dcterms:created>
  <dcterms:modified xsi:type="dcterms:W3CDTF">2026-10-28T08:06:12.526Z</dcterms:modified>
</cp:coreProperties>
</file>

<file path=docProps/custom.xml><?xml version="1.0" encoding="utf-8"?>
<Properties xmlns="http://schemas.openxmlformats.org/officeDocument/2006/custom-properties" xmlns:vt="http://schemas.openxmlformats.org/officeDocument/2006/docPropsVTypes"/>
</file>