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Projeto Integrador I: Conhecendo o Negócio</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Faculdade de Tecnologia de Votorantim</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Curso de Ciência de Dados para Negócios</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left"/>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HOSPITAL SÍRIO-LIBANÊS</w:t>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Semestre: 1</w:t>
      </w:r>
      <w:r w:rsidDel="00000000" w:rsidR="00000000" w:rsidRPr="00000000">
        <w:rPr>
          <w:b w:val="1"/>
          <w:bCs w:val="1"/>
          <w:sz w:val="32"/>
          <w:szCs w:val="32"/>
          <w:vertAlign w:val="superscript"/>
          <w:rtl w:val="0"/>
        </w:rPr>
        <w:t xml:space="preserve">o </w:t>
      </w:r>
      <w:r w:rsidDel="00000000" w:rsidR="00000000" w:rsidRPr="00000000">
        <w:rPr>
          <w:b w:val="1"/>
          <w:bCs w:val="1"/>
          <w:sz w:val="32"/>
          <w:szCs w:val="32"/>
          <w:rtl w:val="0"/>
        </w:rPr>
        <w:t xml:space="preserve">Semestre</w:t>
      </w:r>
      <w:r w:rsidDel="00000000" w:rsidR="00000000" w:rsidRPr="00000000">
        <w:rPr>
          <w:b w:val="1"/>
          <w:bCs w:val="1"/>
          <w:sz w:val="32"/>
          <w:szCs w:val="32"/>
          <w:rtl w:val="0"/>
        </w:rPr>
        <w:t xml:space="preserve">/2026</w:t>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b w:val="1"/>
          <w:bCs w:val="1"/>
          <w:sz w:val="32"/>
          <w:szCs w:val="32"/>
          <w:rtl w:val="0"/>
        </w:rPr>
        <w:t xml:space="preserve">Nome dos Integrantes do Grupo:</w:t>
      </w:r>
      <w:r w:rsidDel="00000000" w:rsidR="00000000" w:rsidRPr="00000000">
        <w:rPr>
          <w:rtl w:val="0"/>
        </w:rPr>
      </w:r>
    </w:p>
    <w:p w:rsidR="00000000" w:rsidDel="00000000" w:rsidP="00000000" w:rsidRDefault="00000000" w:rsidRPr="00000000" w14:paraId="0000000E">
      <w:pPr>
        <w:ind w:left="720" w:firstLine="0"/>
        <w:jc w:val="center"/>
        <w:rPr>
          <w:sz w:val="32"/>
          <w:szCs w:val="32"/>
        </w:rPr>
      </w:pPr>
      <w:r w:rsidDel="00000000" w:rsidR="00000000" w:rsidRPr="00000000">
        <w:rPr>
          <w:sz w:val="32"/>
          <w:szCs w:val="32"/>
          <w:rtl w:val="0"/>
        </w:rPr>
        <w:t xml:space="preserve">Daniel Carvalho</w:t>
      </w:r>
    </w:p>
    <w:p w:rsidR="00000000" w:rsidDel="00000000" w:rsidP="00000000" w:rsidRDefault="00000000" w:rsidRPr="00000000" w14:paraId="0000000F">
      <w:pPr>
        <w:ind w:left="720" w:firstLine="0"/>
        <w:jc w:val="center"/>
        <w:rPr>
          <w:sz w:val="32"/>
          <w:szCs w:val="32"/>
        </w:rPr>
      </w:pPr>
      <w:r w:rsidDel="00000000" w:rsidR="00000000" w:rsidRPr="00000000">
        <w:rPr>
          <w:sz w:val="32"/>
          <w:szCs w:val="32"/>
          <w:rtl w:val="0"/>
        </w:rPr>
        <w:t xml:space="preserve">Danilo Willy Moreira Torres</w:t>
      </w:r>
    </w:p>
    <w:p w:rsidR="00000000" w:rsidDel="00000000" w:rsidP="00000000" w:rsidRDefault="00000000" w:rsidRPr="00000000" w14:paraId="00000010">
      <w:pPr>
        <w:ind w:left="720" w:firstLine="0"/>
        <w:jc w:val="center"/>
        <w:rPr>
          <w:sz w:val="32"/>
          <w:szCs w:val="32"/>
        </w:rPr>
      </w:pPr>
      <w:r w:rsidDel="00000000" w:rsidR="00000000" w:rsidRPr="00000000">
        <w:rPr>
          <w:sz w:val="32"/>
          <w:szCs w:val="32"/>
          <w:rtl w:val="0"/>
        </w:rPr>
        <w:t xml:space="preserve">Douglas Rafael Assis Mendes</w:t>
      </w:r>
    </w:p>
    <w:p w:rsidR="00000000" w:rsidDel="00000000" w:rsidP="00000000" w:rsidRDefault="00000000" w:rsidRPr="00000000" w14:paraId="00000011">
      <w:pPr>
        <w:ind w:left="720" w:firstLine="0"/>
        <w:jc w:val="center"/>
        <w:rPr>
          <w:sz w:val="32"/>
          <w:szCs w:val="32"/>
        </w:rPr>
      </w:pPr>
      <w:r w:rsidDel="00000000" w:rsidR="00000000" w:rsidRPr="00000000">
        <w:rPr>
          <w:sz w:val="32"/>
          <w:szCs w:val="32"/>
          <w:rtl w:val="0"/>
        </w:rPr>
        <w:t xml:space="preserve">Fabiane Raquel Motter</w:t>
      </w:r>
    </w:p>
    <w:p w:rsidR="00000000" w:rsidDel="00000000" w:rsidP="00000000" w:rsidRDefault="00000000" w:rsidRPr="00000000" w14:paraId="00000012">
      <w:pPr>
        <w:ind w:left="720" w:firstLine="0"/>
        <w:jc w:val="center"/>
        <w:rPr>
          <w:sz w:val="32"/>
          <w:szCs w:val="32"/>
        </w:rPr>
      </w:pPr>
      <w:r w:rsidDel="00000000" w:rsidR="00000000" w:rsidRPr="00000000">
        <w:rPr>
          <w:sz w:val="32"/>
          <w:szCs w:val="32"/>
          <w:rtl w:val="0"/>
        </w:rPr>
        <w:t xml:space="preserve">Felipe Duran Maciel</w:t>
      </w:r>
    </w:p>
    <w:p w:rsidR="00000000" w:rsidDel="00000000" w:rsidP="00000000" w:rsidRDefault="00000000" w:rsidRPr="00000000" w14:paraId="00000013">
      <w:pPr>
        <w:ind w:left="720" w:firstLine="0"/>
        <w:jc w:val="left"/>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VOTORANTIM, SP</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MÊS/2026</w:t>
      </w:r>
    </w:p>
    <w:p w:rsidR="00000000" w:rsidDel="00000000" w:rsidP="00000000" w:rsidRDefault="00000000" w:rsidRPr="00000000" w14:paraId="00000017">
      <w:pPr>
        <w:pStyle w:val="Heading1"/>
        <w:rPr/>
      </w:pPr>
      <w:bookmarkStart w:colFirst="0" w:colLast="0" w:name="_heading=h.z5zx5sueyta4" w:id="0"/>
      <w:bookmarkEnd w:id="0"/>
      <w:r w:rsidDel="00000000" w:rsidR="00000000" w:rsidRPr="00000000">
        <w:rPr>
          <w:rtl w:val="0"/>
        </w:rPr>
        <w:t xml:space="preserve">Sumário</w:t>
      </w:r>
    </w:p>
    <w:sdt>
      <w:sdtPr>
        <w:id w:val="183014678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5zx5sueyta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qk9h9e4wi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wltl1k24k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Missão, Visão e Valores da Empresa</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dv44qfnqk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Estrutura e Áreas Funcionais da Empresa</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gs5rbe00en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Análise de Pontos Fortes e Fracos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du69wz6tmn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Análise dos Concorrentes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scnvmg6e1x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Pesquisa Micro e Macro Ambiental</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b9nkf8qz9s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Análise SWOT e Estratégias</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6m5c2okj3r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Plano de Ação e BSC (Balanced Scorecard)</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4ua2423o9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Conclusão</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6n6ohrn2r5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Referências</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lmsw1p68d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Anexos e Materiais Suplementares</w:t>
              <w:tab/>
              <w:t xml:space="preserve">13</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pStyle w:val="Heading1"/>
        <w:spacing w:after="80" w:before="0" w:lineRule="auto"/>
        <w:rPr/>
      </w:pPr>
      <w:bookmarkStart w:colFirst="0" w:colLast="0" w:name="_heading=h.sqk9h9e4wit1" w:id="1"/>
      <w:bookmarkEnd w:id="1"/>
      <w:r w:rsidDel="00000000" w:rsidR="00000000" w:rsidRPr="00000000">
        <w:rPr>
          <w:rtl w:val="0"/>
        </w:rPr>
        <w:t xml:space="preserve">1. Introdução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Este projeto integrador (PI) tem por finalidade realizar um estudo sobre a instituição Sírio-Libanês. O projeto Integrado da Fatec Votorantim, no 1° semestre, trata-se de não apenas uma disciplina, mas competência para que possamos desenvolver nossas habilidades técnicas e habilidades introdutórias na análise de negócios. A integração das matérias existentes no 1º semestre, juntamente com o trabalho em equipe para o desenvolvimento do PI, é de grande importância para aquisição das habilidades necessárias, que precisaremos no nosso dia a dia profissional.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Sob essa perspectiva, a escolha dessa instituição justifica-se pelo fato de o Hospital Sírio-Libanês ser um centro de referência em atendimento médico especializado no Brasil e na América Latina. Fundado por um grupo de senhoras imigrantes libanesas, com o propósito de retribuir à cidade de São Paulo e ao Brasil pelo acolhimento recebido, o hospital nasceu com a missão de oferecer atendimento de qualidade à população. Atualmente, a instituição também conta com uma unidade em Brasília e atua em diversas frentes, incluindo assistência hospitalar, atenção primária, ensino e desenvolvimento de projetos voltados à saúde pública. Além disso, o hospital é reconhecido pela excelência assistencial, elevada capacidade tecnológica e busca contínua por inovação em procedimentos, práticas e serviços de saúde.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O compromisso social da instituição também constituiu um fator determinante, uma vez que a instituição vai além do atendimento privado, atuando como um parceiro estratégico do  Sistema Único de  Saúde (SUS) em projetos de alta complexidade. Essa colaboração se materializa em frentes essenciais, como a realização de transplantes, serviços de telemedicina e o compartilhamento de expertise em gestão e treinamentos para o sistema público.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A versatilidade da organização, que une assistência à saúde e educação de ponta foi outro fator motivador.   Ficamos impressionados com a estrutura de sua instituição de ensino, que forma novos médicos e enfermeiros e oferece mais de 12 cursos de pós-graduação. Além disso, o alcance global do Sírio-Libanês, por meio de parcerias com universidades internacionais de renome, reforça por que a empresa é uma referência tão rica para o nosso estudo acadêmico.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A organização também se destaca no campo da saúde populacional. Segundo informação institucional, essa frente foi lançada ao mercado em 2017 e atualmente conta com 10 ambulatórios in company, 3 unidades externas e mais de 500 mil vidas sob gestão, em modelos digitais ou híbridos.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Inserido no setor de serviços de saúde, com foco na assistência hospitalar de alta complexidade, o Hospital Sírio-Libanês caracteriza-se como uma organização de grande porte. De acordo com os relatórios de 2023 e 2024, a instituição contava com 9.330 colaboradores em São Paulo e Brasília. No mesmo período, registrou 664 leitos operacionais, 37.164 internações, 36.975 saídas hospitalares e taxa de ocupação operacional de 82,81%, indicadores que evidenciam sua expressiva capacidade operacional e sua relevância no atendimento em saúde. Além de sua ampla estrutura assistencial, o Hospital Sírio-Libanês apresenta indicadores expressivos de atendimento, com destaque para 180 mil pacientes/dia, 75,9 mil pacientes atendidos em oncologia e 26,6 mil pacientes operados, evidenciando sua relevância e capacidade de atuação em diferentes áreas da assistência à saúde.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Em vista da complexidade e da magnitude da instituição, torna-se fundamental compreender como uma organização desse porte, inserida no setor da saúde, opera, inova e gera valor para a sociedade, configurando-se, assim, como um objeto de estudo relevante para o desenvolvimento deste Projeto Integrador. Além disso, mostra-se fundamental analisar suas forças, fraquezas, oportunidades e ameaças, uma vez que essa avaliação estratégica pode contribuir para a identificação de fatores capazes de promover sua sustentabilidade e seu desenvolvimento no longo prazo.</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80" w:before="0" w:lineRule="auto"/>
        <w:rPr/>
      </w:pPr>
      <w:bookmarkStart w:colFirst="0" w:colLast="0" w:name="_heading=h.tdwltl1k24k2" w:id="2"/>
      <w:bookmarkEnd w:id="2"/>
      <w:r w:rsidDel="00000000" w:rsidR="00000000" w:rsidRPr="00000000">
        <w:rPr>
          <w:rtl w:val="0"/>
        </w:rPr>
        <w:t xml:space="preserve">2. Missão, Visão e Valores da Empresa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240" w:before="240" w:lineRule="auto"/>
        <w:ind w:firstLine="720"/>
        <w:jc w:val="both"/>
        <w:rPr>
          <w:rFonts w:ascii="Play" w:cs="Play" w:eastAsia="Play" w:hAnsi="Play"/>
        </w:rPr>
      </w:pPr>
      <w:r w:rsidDel="00000000" w:rsidR="00000000" w:rsidRPr="00000000">
        <w:rPr>
          <w:rFonts w:ascii="Play" w:cs="Play" w:eastAsia="Play" w:hAnsi="Play"/>
          <w:rtl w:val="0"/>
        </w:rPr>
        <w:t xml:space="preserve">No Hospital Sírio-Libanês, a visão é apresentada como “Excelência em filantropia e saúde de alta complexidade na América Latina”, enquanto os valores são sintetizados no acrônimo “SER: Solidariedade, Excelência e Resultado”. A instituição tambémdescreve como missão “Vida plena e digna”. Esses elementos ajudam a definir a cultura da empresa porque estabelecem os princípios que orientam sua atuação cotidiana. A ideia de “vida plena e digna” amplia o sentido do cuidado em saúde, indicando que a instituição não se limita ao tratamento de doenças, mas busca promover dignidade, bem-estar e cuidado integral. A visão de excelência em filantropia e alta complexidade mostra que o Sírio-Libanês combina dois eixos estratégicos centrais: liderança técnico-assistencial e compromisso social. Já os valores de solidariedade, excelência e resultado sinalizam uma cultura que procura equilibrar sensibilidade humana, rigor técnico e desempenho institucional.</w:t>
      </w:r>
    </w:p>
    <w:p w:rsidR="00000000" w:rsidDel="00000000" w:rsidP="00000000" w:rsidRDefault="00000000" w:rsidRPr="00000000" w14:paraId="00000031">
      <w:pPr>
        <w:spacing w:after="240" w:before="240" w:lineRule="auto"/>
        <w:ind w:firstLine="720"/>
        <w:jc w:val="both"/>
        <w:rPr>
          <w:rFonts w:ascii="Play" w:cs="Play" w:eastAsia="Play" w:hAnsi="Play"/>
        </w:rPr>
      </w:pPr>
      <w:r w:rsidDel="00000000" w:rsidR="00000000" w:rsidRPr="00000000">
        <w:rPr>
          <w:rFonts w:ascii="Play" w:cs="Play" w:eastAsia="Play" w:hAnsi="Play"/>
          <w:rtl w:val="0"/>
        </w:rPr>
        <w:t xml:space="preserve">Do ponto de vista dos objetivos organizacionais, essa base institucional direciona o hospital para uma atuação que vai além da prestação de serviços assistenciais. Ao associar missão, visão e valores à assistência, ao ensino, à pesquisa e à filantropia, o Sírio-Libanês define como objetivo não apenas oferecer cuidado de alta qualidade, mas também produzir conhecimento, formar profissionais e gerar impacto social mais amplo. Assim, esses elementos funcionam como referência para a tomada de decisão, para o posicionamento estratégico da instituição e para a construção de uma cultura organizacional voltada simultaneamente à excelência, à responsabilidade social e à geração de valor para a sociedade. </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before="0" w:lineRule="auto"/>
        <w:rPr>
          <w:b w:val="1"/>
          <w:bCs w:val="1"/>
        </w:rPr>
      </w:pPr>
      <w:bookmarkStart w:colFirst="0" w:colLast="0" w:name="_heading=h.rw8yc7vczbtx" w:id="3"/>
      <w:bookmarkEnd w:id="3"/>
      <w:r w:rsidDel="00000000" w:rsidR="00000000" w:rsidRPr="00000000">
        <w:rPr>
          <w:rtl w:val="0"/>
        </w:rPr>
        <w:t xml:space="preserve">3. Análise semiótica </w:t>
      </w:r>
      <w:r w:rsidDel="00000000" w:rsidR="00000000" w:rsidRPr="00000000">
        <w:rPr>
          <w:rtl w:val="0"/>
        </w:rPr>
      </w:r>
    </w:p>
    <w:p w:rsidR="00000000" w:rsidDel="00000000" w:rsidP="00000000" w:rsidRDefault="00000000" w:rsidRPr="00000000" w14:paraId="00000034">
      <w:pPr>
        <w:pStyle w:val="Heading1"/>
        <w:spacing w:after="80" w:before="0" w:lineRule="auto"/>
        <w:rPr/>
      </w:pPr>
      <w:bookmarkStart w:colFirst="0" w:colLast="0" w:name="_heading=h.9wdv44qfnqko" w:id="4"/>
      <w:bookmarkEnd w:id="4"/>
      <w:r w:rsidDel="00000000" w:rsidR="00000000" w:rsidRPr="00000000">
        <w:rPr>
          <w:rtl w:val="0"/>
        </w:rPr>
        <w:t xml:space="preserve">3. Estrutura e Áreas Funcionais da Empresa</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ind w:firstLine="720"/>
        <w:jc w:val="both"/>
        <w:rPr>
          <w:rFonts w:ascii="Play" w:cs="Play" w:eastAsia="Play" w:hAnsi="Play"/>
        </w:rPr>
      </w:pPr>
      <w:r w:rsidDel="00000000" w:rsidR="00000000" w:rsidRPr="00000000">
        <w:rPr>
          <w:rFonts w:ascii="Play" w:cs="Play" w:eastAsia="Play" w:hAnsi="Play"/>
          <w:rtl w:val="0"/>
        </w:rPr>
        <w:t xml:space="preserve">No que se refere à estrutura organizacional, o Sírio-Libanês disponibiliza publicamente sua estrutura de governança, ainda que não apresente em seu portal um organograma executivo completo e detalhado em formato visual. A governança institucional é composta pela Diretoria de Senhoras, pelo Conselho de Administração e por comissões e comitês temáticos ligados a áreas estratégicas, como Auditoria e Riscos, Finanças, Excelência Organizacional, Experiência do Paciente, Ensino e Pesquisa, Inovação e Tecnologia. Essa configuração demonstra uma estrutura de gestão que combina tradição filantrópica, instâncias colegiadas de decisão e mecanismos formais de supervisão estratégica.</w:t>
      </w:r>
    </w:p>
    <w:p w:rsidR="00000000" w:rsidDel="00000000" w:rsidP="00000000" w:rsidRDefault="00000000" w:rsidRPr="00000000" w14:paraId="00000037">
      <w:pPr>
        <w:spacing w:after="240" w:before="240" w:lineRule="auto"/>
        <w:ind w:left="0" w:firstLine="720"/>
        <w:jc w:val="both"/>
        <w:rPr>
          <w:rFonts w:ascii="Play" w:cs="Play" w:eastAsia="Play" w:hAnsi="Play"/>
        </w:rPr>
      </w:pPr>
      <w:r w:rsidDel="00000000" w:rsidR="00000000" w:rsidRPr="00000000">
        <w:rPr>
          <w:rFonts w:ascii="Play" w:cs="Play" w:eastAsia="Play" w:hAnsi="Play"/>
          <w:rtl w:val="0"/>
        </w:rPr>
        <w:t xml:space="preserve">A partir dessa base, é possível compreender as principais áreas funcionais da organização. A área assistencial constitui o núcleo da operação e abrange atendimento hospitalar, ambulatorial, diagnóstico, oncologia, cardiologia, pronto atendimento e outras especialidades de alta complexidade. A área de ensino e pesquisa representa outro eixo estruturante, responsável pela formação de profissionais, desenvolvimento científico e disseminação de conhecimento. O impacto social também ocupa posição central, especialmente por meio do Proadi-SUS, do Ambulatório de Filantropia e do Instituto de Responsabilidade Social Sírio-Libanês, ampliando a atuação institucional para o fortalecimento do SUS e para o atendimento de populações vulneráveis. Paralelamente, áreas de qualidade e segurança, compliance, inovação e tecnologia oferecem sustentação transversal ao funcionamento organizacional</w:t>
      </w:r>
    </w:p>
    <w:p w:rsidR="00000000" w:rsidDel="00000000" w:rsidP="00000000" w:rsidRDefault="00000000" w:rsidRPr="00000000" w14:paraId="00000038">
      <w:pPr>
        <w:numPr>
          <w:ilvl w:val="0"/>
          <w:numId w:val="3"/>
        </w:numPr>
        <w:ind w:left="720" w:hanging="360"/>
        <w:rPr/>
      </w:pPr>
      <w:r w:rsidDel="00000000" w:rsidR="00000000" w:rsidRPr="00000000">
        <w:rPr>
          <w:rFonts w:ascii="Calibri" w:cs="Calibri" w:eastAsia="Calibri" w:hAnsi="Calibri"/>
          <w:sz w:val="28"/>
          <w:szCs w:val="28"/>
          <w:rtl w:val="0"/>
        </w:rPr>
        <w:t xml:space="preserve">Conselho de Administração</w:t>
      </w:r>
      <w:r w:rsidDel="00000000" w:rsidR="00000000" w:rsidRPr="00000000">
        <w:rPr>
          <w:rtl w:val="0"/>
        </w:rPr>
      </w:r>
    </w:p>
    <w:p w:rsidR="00000000" w:rsidDel="00000000" w:rsidP="00000000" w:rsidRDefault="00000000" w:rsidRPr="00000000" w14:paraId="00000039">
      <w:pPr>
        <w:rPr>
          <w:rFonts w:ascii="Arial" w:cs="Arial" w:eastAsia="Arial" w:hAnsi="Arial"/>
          <w:sz w:val="28"/>
          <w:szCs w:val="28"/>
        </w:rPr>
      </w:pPr>
      <w:r w:rsidDel="00000000" w:rsidR="00000000" w:rsidRPr="00000000">
        <w:br w:type="page"/>
      </w:r>
      <w:r w:rsidDel="00000000" w:rsidR="00000000" w:rsidRPr="00000000">
        <w:rPr/>
        <w:drawing>
          <wp:inline distB="19050" distT="19050" distL="19050" distR="19050">
            <wp:extent cx="5348288" cy="4151238"/>
            <wp:effectExtent b="0" l="0" r="0" t="0"/>
            <wp:docPr id="1" name="image2.png"/>
            <a:graphic>
              <a:graphicData uri="http://schemas.openxmlformats.org/drawingml/2006/picture">
                <pic:pic>
                  <pic:nvPicPr>
                    <pic:cNvPr id="0" name="image2.png"/>
                    <pic:cNvPicPr preferRelativeResize="0"/>
                  </pic:nvPicPr>
                  <pic:blipFill>
                    <a:blip r:embed="rId7"/>
                    <a:srcRect b="6145" l="0" r="0" t="9786"/>
                    <a:stretch>
                      <a:fillRect/>
                    </a:stretch>
                  </pic:blipFill>
                  <pic:spPr>
                    <a:xfrm>
                      <a:off x="0" y="0"/>
                      <a:ext cx="5348288" cy="4151238"/>
                    </a:xfrm>
                    <a:prstGeom prst="rect"/>
                    <a:ln/>
                  </pic:spPr>
                </pic:pic>
              </a:graphicData>
            </a:graphic>
          </wp:inline>
        </w:drawing>
      </w:r>
      <w:r w:rsidDel="00000000" w:rsidR="00000000" w:rsidRPr="00000000">
        <w:rPr>
          <w:rFonts w:ascii="Calibri" w:cs="Calibri" w:eastAsia="Calibri" w:hAnsi="Calibri"/>
          <w:color w:val="ffffff"/>
          <w:sz w:val="28"/>
          <w:szCs w:val="28"/>
        </w:rPr>
        <w:drawing>
          <wp:inline distB="114300" distT="114300" distL="114300" distR="114300">
            <wp:extent cx="5857875" cy="1708129"/>
            <wp:effectExtent b="0" l="0" r="0" t="0"/>
            <wp:docPr id="2" name="image1.png"/>
            <a:graphic>
              <a:graphicData uri="http://schemas.openxmlformats.org/drawingml/2006/picture">
                <pic:pic>
                  <pic:nvPicPr>
                    <pic:cNvPr id="0" name="image1.png"/>
                    <pic:cNvPicPr preferRelativeResize="0"/>
                  </pic:nvPicPr>
                  <pic:blipFill>
                    <a:blip r:embed="rId8"/>
                    <a:srcRect b="5615" l="0" r="0" t="0"/>
                    <a:stretch>
                      <a:fillRect/>
                    </a:stretch>
                  </pic:blipFill>
                  <pic:spPr>
                    <a:xfrm>
                      <a:off x="0" y="0"/>
                      <a:ext cx="5857875" cy="170812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Diretoria Geral (CEO)</w:t>
      </w:r>
      <w:r w:rsidDel="00000000" w:rsidR="00000000" w:rsidRPr="00000000">
        <w:rPr>
          <w:rtl w:val="0"/>
        </w:rPr>
      </w:r>
    </w:p>
    <w:p w:rsidR="00000000" w:rsidDel="00000000" w:rsidP="00000000" w:rsidRDefault="00000000" w:rsidRPr="00000000" w14:paraId="0000003B">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Ensino</w:t>
      </w:r>
      <w:r w:rsidDel="00000000" w:rsidR="00000000" w:rsidRPr="00000000">
        <w:rPr>
          <w:rtl w:val="0"/>
        </w:rPr>
      </w:r>
    </w:p>
    <w:p w:rsidR="00000000" w:rsidDel="00000000" w:rsidP="00000000" w:rsidRDefault="00000000" w:rsidRPr="00000000" w14:paraId="0000003C">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Pesquisa</w:t>
      </w:r>
      <w:r w:rsidDel="00000000" w:rsidR="00000000" w:rsidRPr="00000000">
        <w:rPr>
          <w:rtl w:val="0"/>
        </w:rPr>
      </w:r>
    </w:p>
    <w:p w:rsidR="00000000" w:rsidDel="00000000" w:rsidP="00000000" w:rsidRDefault="00000000" w:rsidRPr="00000000" w14:paraId="0000003D">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Governança Clínica</w:t>
      </w:r>
      <w:r w:rsidDel="00000000" w:rsidR="00000000" w:rsidRPr="00000000">
        <w:rPr>
          <w:rtl w:val="0"/>
        </w:rPr>
      </w:r>
    </w:p>
    <w:p w:rsidR="00000000" w:rsidDel="00000000" w:rsidP="00000000" w:rsidRDefault="00000000" w:rsidRPr="00000000" w14:paraId="0000003E">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Medicina Diagnóstica</w:t>
      </w:r>
      <w:r w:rsidDel="00000000" w:rsidR="00000000" w:rsidRPr="00000000">
        <w:rPr>
          <w:rtl w:val="0"/>
        </w:rPr>
      </w:r>
    </w:p>
    <w:p w:rsidR="00000000" w:rsidDel="00000000" w:rsidP="00000000" w:rsidRDefault="00000000" w:rsidRPr="00000000" w14:paraId="0000003F">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Administrativa</w:t>
      </w:r>
      <w:r w:rsidDel="00000000" w:rsidR="00000000" w:rsidRPr="00000000">
        <w:rPr>
          <w:rtl w:val="0"/>
        </w:rPr>
      </w:r>
    </w:p>
    <w:p w:rsidR="00000000" w:rsidDel="00000000" w:rsidP="00000000" w:rsidRDefault="00000000" w:rsidRPr="00000000" w14:paraId="00000040">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TI e Inovação</w:t>
      </w:r>
      <w:r w:rsidDel="00000000" w:rsidR="00000000" w:rsidRPr="00000000">
        <w:rPr>
          <w:rtl w:val="0"/>
        </w:rPr>
      </w:r>
    </w:p>
    <w:p w:rsidR="00000000" w:rsidDel="00000000" w:rsidP="00000000" w:rsidRDefault="00000000" w:rsidRPr="00000000" w14:paraId="00000041">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Assistencial </w:t>
      </w:r>
      <w:r w:rsidDel="00000000" w:rsidR="00000000" w:rsidRPr="00000000">
        <w:rPr>
          <w:rtl w:val="0"/>
        </w:rPr>
      </w:r>
    </w:p>
    <w:p w:rsidR="00000000" w:rsidDel="00000000" w:rsidP="00000000" w:rsidRDefault="00000000" w:rsidRPr="00000000" w14:paraId="00000042">
      <w:pPr>
        <w:widowControl w:val="0"/>
        <w:spacing w:after="0" w:line="24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Impacto Social</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after="80" w:before="0" w:lineRule="auto"/>
        <w:rPr/>
      </w:pPr>
      <w:bookmarkStart w:colFirst="0" w:colLast="0" w:name="_heading=h.rgs5rbe00enl" w:id="5"/>
      <w:bookmarkEnd w:id="5"/>
      <w:r w:rsidDel="00000000" w:rsidR="00000000" w:rsidRPr="00000000">
        <w:rPr>
          <w:rtl w:val="0"/>
        </w:rPr>
        <w:t xml:space="preserve">4. Análise de Pontos Fortes e Fracos</w:t>
      </w:r>
    </w:p>
    <w:p w:rsidR="00000000" w:rsidDel="00000000" w:rsidP="00000000" w:rsidRDefault="00000000" w:rsidRPr="00000000" w14:paraId="00000046">
      <w:pPr>
        <w:rPr/>
      </w:pPr>
      <w:r w:rsidDel="00000000" w:rsidR="00000000" w:rsidRPr="00000000">
        <w:rPr>
          <w:b w:val="1"/>
          <w:bCs w:val="1"/>
          <w:rtl w:val="0"/>
        </w:rPr>
        <w:t xml:space="preserve">O que fazer:</w:t>
      </w: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Utilize informações coletadas para listar os pontos fortes e fracos da empresa.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Considere aspectos como inovação, localização, diversidade de produtos/serviços e capacidade financeira.</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80" w:before="0" w:lineRule="auto"/>
        <w:rPr/>
      </w:pPr>
      <w:bookmarkStart w:colFirst="0" w:colLast="0" w:name="_heading=h.7du69wz6tmnv" w:id="6"/>
      <w:bookmarkEnd w:id="6"/>
      <w:r w:rsidDel="00000000" w:rsidR="00000000" w:rsidRPr="00000000">
        <w:rPr>
          <w:rtl w:val="0"/>
        </w:rPr>
        <w:t xml:space="preserve">5. Análise dos Concorrentes</w:t>
      </w:r>
    </w:p>
    <w:p w:rsidR="00000000" w:rsidDel="00000000" w:rsidP="00000000" w:rsidRDefault="00000000" w:rsidRPr="00000000" w14:paraId="0000004B">
      <w:pPr>
        <w:spacing w:line="360" w:lineRule="auto"/>
        <w:jc w:val="both"/>
        <w:rPr>
          <w:rFonts w:ascii="Arial" w:cs="Arial" w:eastAsia="Arial" w:hAnsi="Arial"/>
        </w:rPr>
      </w:pPr>
      <w:r w:rsidDel="00000000" w:rsidR="00000000" w:rsidRPr="00000000">
        <w:rPr>
          <w:rFonts w:ascii="Arial" w:cs="Arial" w:eastAsia="Arial" w:hAnsi="Arial"/>
          <w:rtl w:val="0"/>
        </w:rPr>
        <w:t xml:space="preserve">Os principais concorrentes do Hospital Sírio-Libanês são o Hospital Albert Einstein  e o Hospital Alemão Oswaldo Cruz.</w:t>
      </w:r>
    </w:p>
    <w:p w:rsidR="00000000" w:rsidDel="00000000" w:rsidP="00000000" w:rsidRDefault="00000000" w:rsidRPr="00000000" w14:paraId="0000004C">
      <w:pPr>
        <w:spacing w:line="360" w:lineRule="auto"/>
        <w:jc w:val="both"/>
        <w:rPr>
          <w:rFonts w:ascii="Arial" w:cs="Arial" w:eastAsia="Arial" w:hAnsi="Arial"/>
        </w:rPr>
      </w:pPr>
      <w:r w:rsidDel="00000000" w:rsidR="00000000" w:rsidRPr="00000000">
        <w:rPr>
          <w:rFonts w:ascii="Arial" w:cs="Arial" w:eastAsia="Arial" w:hAnsi="Arial"/>
          <w:rtl w:val="0"/>
        </w:rPr>
        <w:t xml:space="preserve">Hospital Albert Einstein</w:t>
      </w:r>
    </w:p>
    <w:p w:rsidR="00000000" w:rsidDel="00000000" w:rsidP="00000000" w:rsidRDefault="00000000" w:rsidRPr="00000000" w14:paraId="0000004D">
      <w:pPr>
        <w:spacing w:line="360" w:lineRule="auto"/>
        <w:jc w:val="both"/>
        <w:rPr>
          <w:rFonts w:ascii="Arial" w:cs="Arial" w:eastAsia="Arial" w:hAnsi="Arial"/>
        </w:rPr>
      </w:pPr>
      <w:r w:rsidDel="00000000" w:rsidR="00000000" w:rsidRPr="00000000">
        <w:rPr>
          <w:rFonts w:ascii="Arial" w:cs="Arial" w:eastAsia="Arial" w:hAnsi="Arial"/>
          <w:rtl w:val="0"/>
        </w:rPr>
        <w:t xml:space="preserve">Fundada em 1955 pela comunidade judaica de São Paulo, a Sociedade Beneficente Israelita Brasileira Albert Einstein é uma sociedade civil sem fins lucrativos dedicada à saúde, ensino, pesquisa, inovação e responsabilidade social. O Einstein opera como um sistema de saúde integrado que busca elevar os padrões de qualidade e segurança, inspirando outras organizações do setor.</w:t>
        <w:br w:type="textWrapping"/>
        <w:t xml:space="preserve">Com a consolidação de uma presença geográfica robusta e diversificada em 2024, o Einstein alcançou a marca de 83 unidades distribuídas pelo Brasil, equilibrando sua atuação entre o setor privado e o público. Atualmente, a rede conta com 33 unidades privadas — com destaque para os hospitais Morumbi e Goiânia — e faz a gestão de 31 unidades públicas nos estados de São Paulo, Goiás e Bahia. Essa estrutura reflete uma expressiva capacidade assistencial, totalizando 2.173 leitos e resultando, apenas no último ano, em mais de 73 mil cirurgias realizadas e 614 mil atendimentos via telemedicina.</w:t>
        <w:br w:type="textWrapping"/>
        <w:t xml:space="preserve">A instituição é referência internacional em excelência, ocupando a 16ª posição no ranking dos melhores hospitais do mundo da revista Newsweek (2026) e liderando o ranking na América Latina e no Hemisfério Sul pelo sétimo ano consecutivo, portanto é o maior concorrente do Sírio-Libanês.</w:t>
      </w:r>
    </w:p>
    <w:p w:rsidR="00000000" w:rsidDel="00000000" w:rsidP="00000000" w:rsidRDefault="00000000" w:rsidRPr="00000000" w14:paraId="0000004E">
      <w:pPr>
        <w:spacing w:line="360" w:lineRule="auto"/>
        <w:jc w:val="both"/>
        <w:rPr>
          <w:rFonts w:ascii="Arial" w:cs="Arial" w:eastAsia="Arial" w:hAnsi="Arial"/>
        </w:rPr>
      </w:pPr>
      <w:r w:rsidDel="00000000" w:rsidR="00000000" w:rsidRPr="00000000">
        <w:rPr>
          <w:rFonts w:ascii="Arial" w:cs="Arial" w:eastAsia="Arial" w:hAnsi="Arial"/>
          <w:rtl w:val="0"/>
        </w:rPr>
        <w:t xml:space="preserve">Hospital Alemão Oswaldo Cruz</w:t>
      </w:r>
    </w:p>
    <w:p w:rsidR="00000000" w:rsidDel="00000000" w:rsidP="00000000" w:rsidRDefault="00000000" w:rsidRPr="00000000" w14:paraId="0000004F">
      <w:pPr>
        <w:spacing w:line="360" w:lineRule="auto"/>
        <w:jc w:val="both"/>
        <w:rPr>
          <w:rFonts w:ascii="Arial" w:cs="Arial" w:eastAsia="Arial" w:hAnsi="Arial"/>
        </w:rPr>
      </w:pPr>
      <w:r w:rsidDel="00000000" w:rsidR="00000000" w:rsidRPr="00000000">
        <w:rPr>
          <w:rFonts w:ascii="Arial" w:cs="Arial" w:eastAsia="Arial" w:hAnsi="Arial"/>
          <w:rtl w:val="0"/>
        </w:rPr>
        <w:t xml:space="preserve">É uma instituição filantrópica com 127 anos de história, fundada por imigrantes de língua alemã na cidade de São Paulo. Reconhecido como uma das seis Entidades de Saúde de Reconhecida Excelência (ESRE) no Brasil, o hospital é uma referência nacional em cuidados de alta complexidade. A atuação da instituição é guiada pelo propósito de "servir à vida" e sustenta-se em um modelo assistencial integrado que une diagnóstico, tratamento, ensino e inovação. Sua estrutura organizacional baseia-se em três pilares estratégicos: Saúde Privada, Sustentabilidade e Responsabilidade Social, e Educação, Pesquisa e Saúde Digital.</w:t>
        <w:br w:type="textWrapping"/>
        <w:t xml:space="preserve">Apresenta uma robusta estrutura assistencial concentrada em sua unidade de alta complexidade, a </w:t>
      </w:r>
      <w:r w:rsidDel="00000000" w:rsidR="00000000" w:rsidRPr="00000000">
        <w:rPr>
          <w:rFonts w:ascii="Arial" w:cs="Arial" w:eastAsia="Arial" w:hAnsi="Arial"/>
          <w:rtl w:val="0"/>
        </w:rPr>
        <w:t xml:space="preserve">Unidade Paulista</w:t>
      </w:r>
      <w:r w:rsidDel="00000000" w:rsidR="00000000" w:rsidRPr="00000000">
        <w:rPr>
          <w:rFonts w:ascii="Arial" w:cs="Arial" w:eastAsia="Arial" w:hAnsi="Arial"/>
          <w:rtl w:val="0"/>
        </w:rPr>
        <w:t xml:space="preserve">, que dispõe atualmente de </w:t>
      </w:r>
      <w:r w:rsidDel="00000000" w:rsidR="00000000" w:rsidRPr="00000000">
        <w:rPr>
          <w:rFonts w:ascii="Arial" w:cs="Arial" w:eastAsia="Arial" w:hAnsi="Arial"/>
          <w:rtl w:val="0"/>
        </w:rPr>
        <w:t xml:space="preserve">369 leitos operacionais</w:t>
      </w:r>
      <w:r w:rsidDel="00000000" w:rsidR="00000000" w:rsidRPr="00000000">
        <w:rPr>
          <w:rFonts w:ascii="Arial" w:cs="Arial" w:eastAsia="Arial" w:hAnsi="Arial"/>
          <w:rtl w:val="0"/>
        </w:rPr>
        <w:t xml:space="preserve">, subdivididos entre 315 leitos de internação e 54 leitos de Unidade de Terapia Intensiva (UTI). Visando mitigar a crescente demanda por cuidados especializados, a instituição formalizou um plano de expansão fundamentado em um investimento estratégico de </w:t>
      </w:r>
      <w:r w:rsidDel="00000000" w:rsidR="00000000" w:rsidRPr="00000000">
        <w:rPr>
          <w:rFonts w:ascii="Arial" w:cs="Arial" w:eastAsia="Arial" w:hAnsi="Arial"/>
          <w:rtl w:val="0"/>
        </w:rPr>
        <w:t xml:space="preserve">R$ 110 milhões</w:t>
      </w:r>
      <w:r w:rsidDel="00000000" w:rsidR="00000000" w:rsidRPr="00000000">
        <w:rPr>
          <w:rFonts w:ascii="Arial" w:cs="Arial" w:eastAsia="Arial" w:hAnsi="Arial"/>
          <w:rtl w:val="0"/>
        </w:rPr>
        <w:t xml:space="preserve"> até 2027, projeto este que prevê o incremento de </w:t>
      </w:r>
      <w:r w:rsidDel="00000000" w:rsidR="00000000" w:rsidRPr="00000000">
        <w:rPr>
          <w:rFonts w:ascii="Arial" w:cs="Arial" w:eastAsia="Arial" w:hAnsi="Arial"/>
          <w:rtl w:val="0"/>
        </w:rPr>
        <w:t xml:space="preserve">100 novos leitos</w:t>
      </w:r>
      <w:r w:rsidDel="00000000" w:rsidR="00000000" w:rsidRPr="00000000">
        <w:rPr>
          <w:rFonts w:ascii="Arial" w:cs="Arial" w:eastAsia="Arial" w:hAnsi="Arial"/>
          <w:rtl w:val="0"/>
        </w:rPr>
        <w:t xml:space="preserve"> à sua capacidade instalada vigente. A instituição é signatária do Pacto Global da ONU e participa ativamente do PROADI-SUS, com 29 projetos em implementação para fortalecer o sistema público de saúde brasileiro. Globalmente, foi eleito o 3º melhor hospital do Brasil e o </w:t>
      </w:r>
      <w:r w:rsidDel="00000000" w:rsidR="00000000" w:rsidRPr="00000000">
        <w:rPr>
          <w:rFonts w:ascii="Arial" w:cs="Arial" w:eastAsia="Arial" w:hAnsi="Arial"/>
          <w:color w:val="1a1a1a"/>
          <w:highlight w:val="white"/>
          <w:rtl w:val="0"/>
        </w:rPr>
        <w:t xml:space="preserve">105</w:t>
      </w:r>
      <w:r w:rsidDel="00000000" w:rsidR="00000000" w:rsidRPr="00000000">
        <w:rPr>
          <w:rFonts w:ascii="Arial" w:cs="Arial" w:eastAsia="Arial" w:hAnsi="Arial"/>
          <w:rtl w:val="0"/>
        </w:rPr>
        <w:t xml:space="preserve">º do mundo pelo ranking World 's Best Hospitals 2026 da revista Newsweek.</w:t>
      </w:r>
      <w:r w:rsidDel="00000000" w:rsidR="00000000" w:rsidRPr="00000000">
        <w:rPr>
          <w:rtl w:val="0"/>
        </w:rPr>
      </w:r>
    </w:p>
    <w:p w:rsidR="00000000" w:rsidDel="00000000" w:rsidP="00000000" w:rsidRDefault="00000000" w:rsidRPr="00000000" w14:paraId="00000050">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80" w:before="0" w:lineRule="auto"/>
        <w:rPr/>
      </w:pPr>
      <w:bookmarkStart w:colFirst="0" w:colLast="0" w:name="_heading=h.gscnvmg6e1xa" w:id="7"/>
      <w:bookmarkEnd w:id="7"/>
      <w:r w:rsidDel="00000000" w:rsidR="00000000" w:rsidRPr="00000000">
        <w:rPr>
          <w:rtl w:val="0"/>
        </w:rPr>
        <w:t xml:space="preserve">6. Pesquisa Micro e Macro Ambiental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Para compreender o posicionamento estratégico do Hospital Sírio-Libanês, é fundamental analisar o ambiente externo em duas dimensões complementares: o microambiente, composto pelos agentes diretamente relacionados à operação e à competitividade da instituição, e o macroambiente, formado por fatores estruturais mais amplos que influenciam o setor da saúde como um todo. Essa distinção permite uma leitura mais organizada do contexto em que o hospital atua e facilita a identificação de oportunidades, riscos e desafios estratégicos.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055">
      <w:pPr>
        <w:pStyle w:val="Heading1"/>
        <w:spacing w:before="0" w:lineRule="auto"/>
        <w:rPr>
          <w:sz w:val="28"/>
          <w:szCs w:val="28"/>
        </w:rPr>
      </w:pPr>
      <w:bookmarkStart w:colFirst="0" w:colLast="0" w:name="_heading=h.a225yddqqtra" w:id="8"/>
      <w:bookmarkEnd w:id="8"/>
      <w:r w:rsidDel="00000000" w:rsidR="00000000" w:rsidRPr="00000000">
        <w:rPr>
          <w:sz w:val="28"/>
          <w:szCs w:val="28"/>
          <w:rtl w:val="0"/>
        </w:rPr>
        <w:t xml:space="preserve">6.1 Microambiente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left"/>
        <w:rPr>
          <w:rFonts w:ascii="Play" w:cs="Play" w:eastAsia="Play" w:hAnsi="Play"/>
        </w:rPr>
      </w:pPr>
      <w:r w:rsidDel="00000000" w:rsidR="00000000" w:rsidRPr="00000000">
        <w:rPr>
          <w:rFonts w:ascii="Play" w:cs="Play" w:eastAsia="Play" w:hAnsi="Play"/>
          <w:rtl w:val="0"/>
        </w:rPr>
        <w:t xml:space="preserve">O microambiente do Hospital Sírio-Libanês é constituído pelos atores com os quais a instituição se relaciona de forma direta e contínua, como clientes, fornecedores e demais agentes que impactam sua capacidade de gerar valor, sustentar sua reputação e manter vantagem competitiva.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58">
      <w:pPr>
        <w:pStyle w:val="Heading1"/>
        <w:spacing w:before="0" w:lineRule="auto"/>
        <w:rPr/>
      </w:pPr>
      <w:bookmarkStart w:colFirst="0" w:colLast="0" w:name="_heading=h.7tw8by90rsi5" w:id="9"/>
      <w:bookmarkEnd w:id="9"/>
      <w:r w:rsidDel="00000000" w:rsidR="00000000" w:rsidRPr="00000000">
        <w:rPr>
          <w:sz w:val="28"/>
          <w:szCs w:val="28"/>
          <w:rtl w:val="0"/>
        </w:rPr>
        <w:t xml:space="preserve">6.1.1  Clientes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left"/>
        <w:rPr>
          <w:rFonts w:ascii="Play" w:cs="Play" w:eastAsia="Play" w:hAnsi="Play"/>
        </w:rPr>
      </w:pPr>
      <w:r w:rsidDel="00000000" w:rsidR="00000000" w:rsidRPr="00000000">
        <w:rPr>
          <w:rFonts w:ascii="Play" w:cs="Play" w:eastAsia="Play" w:hAnsi="Play"/>
          <w:rtl w:val="0"/>
        </w:rPr>
        <w:t xml:space="preserve">No caso do Sírio-Libanês, os clientes podem ser analisados em duas frentes principais: B2B (Business to Business) e B2C.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O segmento B2B  é formado principalmente por empresas, operadoras de saúde, instituições e organizações que contratam serviços de saúde corporativa para seus colaboradores ou usuários. Esse cliente não busca apenas atendimento médico, mas soluções estratégicas de saúde, prevenção e gestão de custos.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Entre os principais pontos fortes desse segmento, destaca-se seu alto valor estratégico, uma vez que as organizações tendem a compreender a saúde como investimento, e não apenas como despesa, o que favorece a contratação de soluções integradas e de longo prazo. Outro aspecto relevante é a demanda por inovação, já que clientes corporativos impulsionam a adoção de serviços modernos, como saúde digital, programas preventivos e gestão de saúde populacional. Soma-se a isso o potencial de relacionamento de longo prazo, pois contratos B2B costumam gerar parcerias mais duradouras e maior previsibilidade de receita. Além disso, esse segmento apresenta significativa escala de impacto, uma vez que um único contrato pode abranger milhares de beneficiários, ampliando o alcance institucional e o volume de vidas atendidas.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Por outro lado, o segmento B2B também apresenta fragilidades e desafios importantes. Um deles é a alta exigência por resultados, já que essas organizações demandam indicadores objetivos de desempenho, como retorno sobre investimento, redução de custos e eficiência operacional, o que exige comprovação contínua de valor. Há ainda elevada sensibilidade a custos, pois, embora busquem qualidade, esses clientes tendem a negociar preços de forma intensa, pressionando margens. Outro ponto é a complexidade do processo decisório, que geralmente envolve múltiplos atores, como áreas de recursos humanos, financeira e diretoria, além de análises técnicas e econômicas que tornam o ciclo de contratação mais longo. Também se destaca a necessidade de personalização, uma vez que diferentes organizações possuem demandas específicas, o que requer soluções sob medida e amplia a complexidade operacional.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No segmento B2C, o cliente é o paciente individual, isto é, a pessoa física que procura diretamente o hospital para consultas, exames, internações ou tratamentos, seja por convênio, seja de forma particular. Nesse caso, a relação com o serviço é mais direta e marcada por expectativas elevadas quanto à qualidade assistencial e à experiência do cuidado.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Entre os pontos fortes desse segmento, destaca-se a alta valorização da qualidade, já que o paciente tende a escolher o Hospital Sírio-Libanês com base em atributos como excelência médica, tecnologia, segurança e reputação institucional, o que fortalece a marca. Também merece destaque a busca por uma experiência diferenciada, que envolve conforto, estrutura, atendimento humanizado e acolhimento, contribuindo para ampliar a percepção de valor do serviço prestado. Outro elemento relevante é a demanda constante, pois a necessidade por cuidados em saúde, sejam eletivos ou emergenciais, mantém fluxo contínuo de pacientes. Além disso, o foco no cuidado individualizado, sustentado por equipes multidisciplinares e protocolos de segurança, reforça a confiança do paciente e agrega valor à assistência.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Em contrapartida, esse segmento também apresenta limitações. A primeira delas é a alta sensibilidade ao preço, especialmente porque os atendimentos particulares e serviços oferecidos por hospitais de alto padrão tendem a ter custos elevados, restringindo o acesso a parte da população. Soma-se a isso a expectativa muito elevada dos pacientes, que frequentemente esperam atendimento ágil, diagnóstico preciso e uma experiência sem falhas, o que pode aumentar o risco de insatisfação quando suas expectativas não são plenamente atendidas. Outro desafio é a imprevisibilidade da demanda, uma vez que casos de urgência, emergência ou alta complexidade podem gerar picos assistenciais e impactar fluxos operacionais e tempos de espera. Por fim, há a dimensão emocional do cuidado, já que, diferentemente do cliente B2B, o paciente B2C geralmente se encontra em situação de maior vulnerabilidade e fragilidade, o que torna sua experiência mais sensível e exige atenção redobrada da instituição.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pStyle w:val="Heading1"/>
        <w:spacing w:before="0" w:lineRule="auto"/>
        <w:rPr>
          <w:b w:val="1"/>
          <w:bCs w:val="1"/>
        </w:rPr>
      </w:pPr>
      <w:bookmarkStart w:colFirst="0" w:colLast="0" w:name="_heading=h.2nh4lzutstii" w:id="10"/>
      <w:bookmarkEnd w:id="10"/>
      <w:r w:rsidDel="00000000" w:rsidR="00000000" w:rsidRPr="00000000">
        <w:rPr>
          <w:sz w:val="28"/>
          <w:szCs w:val="28"/>
          <w:rtl w:val="0"/>
        </w:rPr>
        <w:t xml:space="preserve">6.1.2  Fornecedores  </w:t>
      </w:r>
      <w:r w:rsidDel="00000000" w:rsidR="00000000" w:rsidRPr="00000000">
        <w:rPr>
          <w:rtl w:val="0"/>
        </w:rPr>
      </w:r>
    </w:p>
    <w:p w:rsidR="00000000" w:rsidDel="00000000" w:rsidP="00000000" w:rsidRDefault="00000000" w:rsidRPr="00000000" w14:paraId="00000062">
      <w:pPr>
        <w:ind w:firstLine="720"/>
        <w:jc w:val="both"/>
        <w:rPr>
          <w:rFonts w:ascii="Play" w:cs="Play" w:eastAsia="Play" w:hAnsi="Play"/>
        </w:rPr>
      </w:pPr>
      <w:r w:rsidDel="00000000" w:rsidR="00000000" w:rsidRPr="00000000">
        <w:rPr>
          <w:rFonts w:ascii="Play" w:cs="Play" w:eastAsia="Play" w:hAnsi="Play"/>
          <w:rtl w:val="0"/>
        </w:rPr>
        <w:t xml:space="preserve">O Hospital Sírio-Libanês conta com uma rede diversificada de fornecedores e parceiros estratégicos, essenciais para assegurar a qualidade, a continuidade e a eficiência de seus serviços. Esses fornecedores podem ser agrupados em cinco grandes categorias: (1) Tecnologia, Saúde e Inovação; (2) Serviços Bancários e Financeiros; (3) Alimentação e Conveniência; (4) Sustentabilidade e Gestão Ambiental; e (5) Serviços Terceirizados de outras naturezas.</w:t>
      </w:r>
    </w:p>
    <w:p w:rsidR="00000000" w:rsidDel="00000000" w:rsidP="00000000" w:rsidRDefault="00000000" w:rsidRPr="00000000" w14:paraId="00000063">
      <w:pPr>
        <w:ind w:firstLine="720"/>
        <w:jc w:val="both"/>
        <w:rPr>
          <w:rFonts w:ascii="Play" w:cs="Play" w:eastAsia="Play" w:hAnsi="Play"/>
        </w:rPr>
      </w:pPr>
      <w:r w:rsidDel="00000000" w:rsidR="00000000" w:rsidRPr="00000000">
        <w:rPr>
          <w:rFonts w:ascii="Play" w:cs="Play" w:eastAsia="Play" w:hAnsi="Play"/>
          <w:rtl w:val="0"/>
        </w:rPr>
        <w:t xml:space="preserve">Na categoria Tecnologia, Saúde e Inovação, encontram-se parceiros relevantes para o fornecimento de tecnologias médicas, soluções digitais e suporte à transformação tecnológica da instituição, como 3M, IT Lean, Microsoft, JobeCam e Claroty. Esses fornecedores contribuem diretamente para a modernização da infraestrutura hospitalar, para a incorporação de inovação e para o fortalecimento dos processos assistenciais e administrativos.</w:t>
      </w:r>
    </w:p>
    <w:p w:rsidR="00000000" w:rsidDel="00000000" w:rsidP="00000000" w:rsidRDefault="00000000" w:rsidRPr="00000000" w14:paraId="00000064">
      <w:pPr>
        <w:ind w:firstLine="720"/>
        <w:jc w:val="both"/>
        <w:rPr>
          <w:rFonts w:ascii="Play" w:cs="Play" w:eastAsia="Play" w:hAnsi="Play"/>
        </w:rPr>
      </w:pPr>
      <w:r w:rsidDel="00000000" w:rsidR="00000000" w:rsidRPr="00000000">
        <w:rPr>
          <w:rFonts w:ascii="Play" w:cs="Play" w:eastAsia="Play" w:hAnsi="Play"/>
          <w:rtl w:val="0"/>
        </w:rPr>
        <w:t xml:space="preserve">No grupo de Serviços Bancários e Financeiros, destacam-se as instituições que oferecem suporte às operações financeiras e à conveniência de pacientes, acompanhantes e colaboradores, como Bradesco, Safra e Banco24Horas, presentes nas dependências do hospital.</w:t>
      </w:r>
    </w:p>
    <w:p w:rsidR="00000000" w:rsidDel="00000000" w:rsidP="00000000" w:rsidRDefault="00000000" w:rsidRPr="00000000" w14:paraId="00000065">
      <w:pPr>
        <w:ind w:firstLine="720"/>
        <w:jc w:val="both"/>
        <w:rPr>
          <w:rFonts w:ascii="Play" w:cs="Play" w:eastAsia="Play" w:hAnsi="Play"/>
        </w:rPr>
      </w:pPr>
      <w:r w:rsidDel="00000000" w:rsidR="00000000" w:rsidRPr="00000000">
        <w:rPr>
          <w:rFonts w:ascii="Play" w:cs="Play" w:eastAsia="Play" w:hAnsi="Play"/>
          <w:rtl w:val="0"/>
        </w:rPr>
        <w:t xml:space="preserve">A categoria de Alimentação e Conveniência abrange cafeterias, restaurantes e outros serviços de apoio operados por terceiros, entre eles Arábia, Kopenhagen, Padaria PÃO, Dulca, Capim Santo, Marietta e Grão Expresso. Esses serviços complementam a experiência de permanência no ambiente hospitalar, contribuindo para o conforto e a conveniência dos diferentes públicos que circulam na instituição.</w:t>
      </w:r>
    </w:p>
    <w:p w:rsidR="00000000" w:rsidDel="00000000" w:rsidP="00000000" w:rsidRDefault="00000000" w:rsidRPr="00000000" w14:paraId="00000066">
      <w:pPr>
        <w:ind w:firstLine="720"/>
        <w:jc w:val="both"/>
        <w:rPr>
          <w:rFonts w:ascii="Play" w:cs="Play" w:eastAsia="Play" w:hAnsi="Play"/>
        </w:rPr>
      </w:pPr>
      <w:r w:rsidDel="00000000" w:rsidR="00000000" w:rsidRPr="00000000">
        <w:rPr>
          <w:rFonts w:ascii="Play" w:cs="Play" w:eastAsia="Play" w:hAnsi="Play"/>
          <w:rtl w:val="0"/>
        </w:rPr>
        <w:t xml:space="preserve">No campo da Sustentabilidade e Gestão Ambiental, o hospital também estabelece parcerias alinhadas às suas metas institucionais de responsabilidade socioambiental. Entre elas, destacam-se organizações e iniciativas voltadas à compensação de emissões e ao uso de energia limpa, como Sustainable Carbon, Cerâmica CGM, projetos desenvolvidos em Ituiutaba (MG) e certificações como o I-REC, utilizado para atestar que a energia consumida provém de fontes renováveis.</w:t>
      </w:r>
    </w:p>
    <w:p w:rsidR="00000000" w:rsidDel="00000000" w:rsidP="00000000" w:rsidRDefault="00000000" w:rsidRPr="00000000" w14:paraId="00000067">
      <w:pPr>
        <w:ind w:firstLine="720"/>
        <w:jc w:val="both"/>
        <w:rPr>
          <w:rFonts w:ascii="Play" w:cs="Play" w:eastAsia="Play" w:hAnsi="Play"/>
        </w:rPr>
      </w:pPr>
      <w:r w:rsidDel="00000000" w:rsidR="00000000" w:rsidRPr="00000000">
        <w:rPr>
          <w:rFonts w:ascii="Play" w:cs="Play" w:eastAsia="Play" w:hAnsi="Play"/>
          <w:rtl w:val="0"/>
        </w:rPr>
        <w:t xml:space="preserve">Já em Outros Serviços Terceirizados, incluem-se fornecedores responsáveis por atividades complementares, mas igualmente relevantes para o funcionamento institucional, como a Bureau Veritas, responsável por auditorias; a Mediservice, operadora do plano de saúde oferecido aos colaboradores; e a Ricca Sustentabilidade, envolvida no projeto editorial, gráfico e de tradução do Relato Integrado. Além disso, o hospital dispõe de empresas credenciadas para prestação de serviços de acompanhantes, atendendo situações em que o paciente não conta com familiar disponível.</w:t>
      </w:r>
    </w:p>
    <w:p w:rsidR="00000000" w:rsidDel="00000000" w:rsidP="00000000" w:rsidRDefault="00000000" w:rsidRPr="00000000" w14:paraId="00000068">
      <w:pPr>
        <w:ind w:firstLine="720"/>
        <w:jc w:val="both"/>
        <w:rPr>
          <w:rFonts w:ascii="Play" w:cs="Play" w:eastAsia="Play" w:hAnsi="Play"/>
        </w:rPr>
      </w:pPr>
      <w:r w:rsidDel="00000000" w:rsidR="00000000" w:rsidRPr="00000000">
        <w:rPr>
          <w:rFonts w:ascii="Play" w:cs="Play" w:eastAsia="Play" w:hAnsi="Play"/>
          <w:rtl w:val="0"/>
        </w:rPr>
        <w:t xml:space="preserve">Um aspecto estratégico dessa relação com fornecedores é a existência de um Comitê de Gestão de Risco de Terceiros, responsável por avaliar continuamente a integridade, a conformidade e os riscos associados a esses parceiros antes e durante a contratação. Esse mecanismo evidencia a preocupação institucional com governança, segurança e qualidade em toda a cadeia de suprimentos. Soma-se a isso o fato de que 96,46% dos suprimentos do hospital provêm de fornecedores nacionais, o que demonstra forte inserção no mercado interno e pode contribuir para maior previsibilidade logística e proximidade operacional..</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6A">
      <w:pPr>
        <w:pStyle w:val="Heading1"/>
        <w:spacing w:before="0" w:lineRule="auto"/>
        <w:rPr>
          <w:sz w:val="28"/>
          <w:szCs w:val="28"/>
        </w:rPr>
      </w:pPr>
      <w:bookmarkStart w:colFirst="0" w:colLast="0" w:name="_heading=h.ob0jn42n7nj7" w:id="11"/>
      <w:bookmarkEnd w:id="11"/>
      <w:r w:rsidDel="00000000" w:rsidR="00000000" w:rsidRPr="00000000">
        <w:rPr>
          <w:rtl w:val="0"/>
        </w:rPr>
      </w:r>
    </w:p>
    <w:p w:rsidR="00000000" w:rsidDel="00000000" w:rsidP="00000000" w:rsidRDefault="00000000" w:rsidRPr="00000000" w14:paraId="0000006B">
      <w:pPr>
        <w:pStyle w:val="Heading1"/>
        <w:spacing w:before="0" w:lineRule="auto"/>
        <w:rPr>
          <w:sz w:val="28"/>
          <w:szCs w:val="28"/>
        </w:rPr>
      </w:pPr>
      <w:bookmarkStart w:colFirst="0" w:colLast="0" w:name="_heading=h.vbv5qosrjrpj" w:id="12"/>
      <w:bookmarkEnd w:id="12"/>
      <w:r w:rsidDel="00000000" w:rsidR="00000000" w:rsidRPr="00000000">
        <w:rPr>
          <w:sz w:val="28"/>
          <w:szCs w:val="28"/>
          <w:rtl w:val="0"/>
        </w:rPr>
        <w:t xml:space="preserve">6.1.3  Concorrentes</w:t>
      </w:r>
    </w:p>
    <w:p w:rsidR="00000000" w:rsidDel="00000000" w:rsidP="00000000" w:rsidRDefault="00000000" w:rsidRPr="00000000" w14:paraId="0000006C">
      <w:pPr>
        <w:ind w:firstLine="720"/>
        <w:jc w:val="both"/>
        <w:rPr>
          <w:rFonts w:ascii="Play" w:cs="Play" w:eastAsia="Play" w:hAnsi="Play"/>
        </w:rPr>
      </w:pPr>
      <w:r w:rsidDel="00000000" w:rsidR="00000000" w:rsidRPr="00000000">
        <w:rPr>
          <w:rFonts w:ascii="Play" w:cs="Play" w:eastAsia="Play" w:hAnsi="Play"/>
          <w:rtl w:val="0"/>
        </w:rPr>
        <w:t xml:space="preserve">No caso do Sírio-Libanês, a concorrência se dá principalmente no segmento da saúde privada de alta complexidade, no qual diferenciais como excelência assistencial, inovação tecnológica, reputação de marca, experiência do paciente, produção científica e capacidade de atrair parcerias institucionais são determinantes. Assim, a competição não ocorre apenas por pacientes, mas também por talentos, reconhecimento, contratos corporativos, protagonismo em inovação e liderança no ecossistema da saúde.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spacing w:before="0" w:lineRule="auto"/>
        <w:rPr>
          <w:b w:val="1"/>
          <w:bCs w:val="1"/>
        </w:rPr>
      </w:pPr>
      <w:bookmarkStart w:colFirst="0" w:colLast="0" w:name="_heading=h.dki1qrsxsump" w:id="13"/>
      <w:bookmarkEnd w:id="13"/>
      <w:r w:rsidDel="00000000" w:rsidR="00000000" w:rsidRPr="00000000">
        <w:rPr>
          <w:sz w:val="28"/>
          <w:szCs w:val="28"/>
          <w:rtl w:val="0"/>
        </w:rPr>
        <w:t xml:space="preserve">6.2  Macroambiente  </w:t>
      </w:r>
      <w:r w:rsidDel="00000000" w:rsidR="00000000" w:rsidRPr="00000000">
        <w:rPr>
          <w:rtl w:val="0"/>
        </w:rPr>
      </w:r>
    </w:p>
    <w:p w:rsidR="00000000" w:rsidDel="00000000" w:rsidP="00000000" w:rsidRDefault="00000000" w:rsidRPr="00000000" w14:paraId="0000006F">
      <w:pPr>
        <w:spacing w:line="276" w:lineRule="auto"/>
        <w:ind w:firstLine="720"/>
        <w:jc w:val="both"/>
        <w:rPr>
          <w:rFonts w:ascii="Play" w:cs="Play" w:eastAsia="Play" w:hAnsi="Play"/>
        </w:rPr>
      </w:pPr>
      <w:r w:rsidDel="00000000" w:rsidR="00000000" w:rsidRPr="00000000">
        <w:rPr>
          <w:rFonts w:ascii="Play" w:cs="Play" w:eastAsia="Play" w:hAnsi="Play"/>
          <w:rtl w:val="0"/>
        </w:rPr>
        <w:t xml:space="preserve">O macroambiente corresponde aos fatores externos de natureza econômica, sociocultural, tecnológica e regulatória que influenciam o desempenho das organizações de saúde, ainda que estejam fora de seu controle direto. Para o Hospital Sírio-Libanês, esses fatores são particularmente relevantes, pois moldam tanto a demanda por serviços quanto às condições para expansão, inovação e sustentabilidade institucional.</w:t>
      </w:r>
    </w:p>
    <w:p w:rsidR="00000000" w:rsidDel="00000000" w:rsidP="00000000" w:rsidRDefault="00000000" w:rsidRPr="00000000" w14:paraId="00000070">
      <w:pPr>
        <w:pStyle w:val="Heading1"/>
        <w:spacing w:before="0" w:lineRule="auto"/>
        <w:rPr>
          <w:rFonts w:ascii="Times New Roman" w:cs="Times New Roman" w:eastAsia="Times New Roman" w:hAnsi="Times New Roman"/>
        </w:rPr>
      </w:pPr>
      <w:bookmarkStart w:colFirst="0" w:colLast="0" w:name="_heading=h.wj1ddusk2a58" w:id="14"/>
      <w:bookmarkEnd w:id="14"/>
      <w:r w:rsidDel="00000000" w:rsidR="00000000" w:rsidRPr="00000000">
        <w:rPr>
          <w:sz w:val="28"/>
          <w:szCs w:val="28"/>
          <w:rtl w:val="0"/>
        </w:rPr>
        <w:t xml:space="preserve">6.2.1   Economia  </w:t>
      </w:r>
      <w:r w:rsidDel="00000000" w:rsidR="00000000" w:rsidRPr="00000000">
        <w:rPr>
          <w:rtl w:val="0"/>
        </w:rPr>
      </w:r>
    </w:p>
    <w:p w:rsidR="00000000" w:rsidDel="00000000" w:rsidP="00000000" w:rsidRDefault="00000000" w:rsidRPr="00000000" w14:paraId="00000071">
      <w:pPr>
        <w:spacing w:line="276" w:lineRule="auto"/>
        <w:jc w:val="both"/>
        <w:rPr>
          <w:rFonts w:ascii="Play" w:cs="Play" w:eastAsia="Play" w:hAnsi="Play"/>
        </w:rPr>
      </w:pPr>
      <w:r w:rsidDel="00000000" w:rsidR="00000000" w:rsidRPr="00000000">
        <w:rPr>
          <w:rFonts w:ascii="Times New Roman" w:cs="Times New Roman" w:eastAsia="Times New Roman" w:hAnsi="Times New Roman"/>
          <w:rtl w:val="0"/>
        </w:rPr>
        <w:t xml:space="preserve"> </w:t>
        <w:tab/>
        <w:t xml:space="preserve">O</w:t>
      </w:r>
      <w:r w:rsidDel="00000000" w:rsidR="00000000" w:rsidRPr="00000000">
        <w:rPr>
          <w:rFonts w:ascii="Play" w:cs="Play" w:eastAsia="Play" w:hAnsi="Play"/>
          <w:rtl w:val="0"/>
        </w:rPr>
        <w:t xml:space="preserve"> setor da saúde no Brasil tem sido fortemente impactado pela transição demográfica, marcada pelo envelhecimento progressivo da população e pela redução das taxas de fecundidade entre as pessoas em idade economicamente ativa. Esse movimento altera a estrutura etária do país e produz efeitos relevantes sobre a demanda por serviços de saúde, especialmente no que se refere ao aumento das condições crônicas, da necessidade de acompanhamento contínuo e da procura por cuidados de maior complexidade.</w:t>
      </w:r>
    </w:p>
    <w:p w:rsidR="00000000" w:rsidDel="00000000" w:rsidP="00000000" w:rsidRDefault="00000000" w:rsidRPr="00000000" w14:paraId="00000072">
      <w:pPr>
        <w:spacing w:line="276" w:lineRule="auto"/>
        <w:ind w:firstLine="720"/>
        <w:jc w:val="both"/>
        <w:rPr>
          <w:rFonts w:ascii="Play" w:cs="Play" w:eastAsia="Play" w:hAnsi="Play"/>
        </w:rPr>
      </w:pPr>
      <w:r w:rsidDel="00000000" w:rsidR="00000000" w:rsidRPr="00000000">
        <w:rPr>
          <w:rFonts w:ascii="Play" w:cs="Play" w:eastAsia="Play" w:hAnsi="Play"/>
          <w:rtl w:val="0"/>
        </w:rPr>
        <w:t xml:space="preserve">De acordo com projeções do IBGE divulgadas em 2025, até 2070 a população brasileira poderá ser composta por 37,8% de pessoas com 60 anos ou mais. Esse cenário indica a necessidade de reorientação do sistema de saúde, tanto público quanto privado, com maior ênfase em ações preventivas, acompanhamento longitudinal e modelos assistenciais mais eficientes e integrados. Nesse contexto, o envelhecimento populacional amplia a demanda por serviços especializados e tende a favorecer instituições capazes de oferecer cuidado qualificado, coordenação assistencial e incorporação tecnológica.</w:t>
      </w:r>
    </w:p>
    <w:p w:rsidR="00000000" w:rsidDel="00000000" w:rsidP="00000000" w:rsidRDefault="00000000" w:rsidRPr="00000000" w14:paraId="00000073">
      <w:pPr>
        <w:spacing w:line="276" w:lineRule="auto"/>
        <w:ind w:firstLine="720"/>
        <w:jc w:val="both"/>
        <w:rPr>
          <w:rFonts w:ascii="Play" w:cs="Play" w:eastAsia="Play" w:hAnsi="Play"/>
        </w:rPr>
      </w:pPr>
      <w:r w:rsidDel="00000000" w:rsidR="00000000" w:rsidRPr="00000000">
        <w:rPr>
          <w:rFonts w:ascii="Play" w:cs="Play" w:eastAsia="Play" w:hAnsi="Play"/>
          <w:rtl w:val="0"/>
        </w:rPr>
        <w:t xml:space="preserve">Além disso, dados oficiais apontam crescimento no número de beneficiários de planos de saúde privados desde 2020, revelando expansão da saúde suplementar e aumento da procura por serviços médicos especializados. Esse movimento pode representar uma oportunidade estratégica para as instituições de saúde, especialmente para aquelas que atuam com alta complexidade, inovação e diferenciação assistencial. No entanto, esse mesmo processo também impõe desafios importantes, uma vez que o envelhecimento populacional tende a elevar os custos do setor, pressionando gastos com medicamentos, </w:t>
      </w:r>
    </w:p>
    <w:p w:rsidR="00000000" w:rsidDel="00000000" w:rsidP="00000000" w:rsidRDefault="00000000" w:rsidRPr="00000000" w14:paraId="00000074">
      <w:pPr>
        <w:spacing w:line="276" w:lineRule="auto"/>
        <w:ind w:firstLine="720"/>
        <w:jc w:val="both"/>
        <w:rPr>
          <w:rFonts w:ascii="Play" w:cs="Play" w:eastAsia="Play" w:hAnsi="Play"/>
        </w:rPr>
      </w:pPr>
      <w:r w:rsidDel="00000000" w:rsidR="00000000" w:rsidRPr="00000000">
        <w:rPr>
          <w:rFonts w:ascii="Play" w:cs="Play" w:eastAsia="Play" w:hAnsi="Play"/>
          <w:rtl w:val="0"/>
        </w:rPr>
        <w:t xml:space="preserve">Outro ponto relevante diz respeito aos efeitos econômicos indiretos da mudança demográfica sobre o financiamento da saúde. A redução proporcional da população economicamente ativa, associada ao aumento do contingente de aposentados e pessoas dependentes de cuidados, pode comprometer a arrecadação pública e intensificar disputas por recursos orçamentários. Em consequência, tanto o sistema público quanto o setor suplementar podem enfrentar pressões crescentes por eficiência, sustentabilidade financeira e racionalização do uso dos recursos. Assim, o ambiente econômico da saúde no Brasil combina oportunidades de expansão com desafios estruturais que exigem planejamento, inovação e adaptação constante por parte das instituiçõeexames, tecnologias e cuidados prolongados.</w:t>
      </w:r>
    </w:p>
    <w:p w:rsidR="00000000" w:rsidDel="00000000" w:rsidP="00000000" w:rsidRDefault="00000000" w:rsidRPr="00000000" w14:paraId="00000075">
      <w:pPr>
        <w:spacing w:line="276" w:lineRule="auto"/>
        <w:jc w:val="both"/>
        <w:rPr>
          <w:rFonts w:ascii="Play" w:cs="Play" w:eastAsia="Play" w:hAnsi="Play"/>
        </w:rPr>
      </w:pPr>
      <w:r w:rsidDel="00000000" w:rsidR="00000000" w:rsidRPr="00000000">
        <w:rPr>
          <w:rtl w:val="0"/>
        </w:rPr>
      </w:r>
    </w:p>
    <w:p w:rsidR="00000000" w:rsidDel="00000000" w:rsidP="00000000" w:rsidRDefault="00000000" w:rsidRPr="00000000" w14:paraId="00000076">
      <w:pPr>
        <w:pStyle w:val="Heading1"/>
        <w:spacing w:before="0" w:lineRule="auto"/>
        <w:rPr>
          <w:rFonts w:ascii="Times New Roman" w:cs="Times New Roman" w:eastAsia="Times New Roman" w:hAnsi="Times New Roman"/>
        </w:rPr>
      </w:pPr>
      <w:bookmarkStart w:colFirst="0" w:colLast="0" w:name="_heading=h.ogrwnjfw375c" w:id="15"/>
      <w:bookmarkEnd w:id="15"/>
      <w:r w:rsidDel="00000000" w:rsidR="00000000" w:rsidRPr="00000000">
        <w:rPr>
          <w:sz w:val="28"/>
          <w:szCs w:val="28"/>
          <w:rtl w:val="0"/>
        </w:rPr>
        <w:t xml:space="preserve">6.2.2   Aspectos socioculturais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 Os aspectos socioculturais podem gerar oportunidades e desafios para o Sírio-Libanês porque influenciam a forma como pacientes, famílias, empresas, profissionais e a sociedade avaliam o valor de uma instituição de saúde. No caso do Sírio-Libanês, isso é especialmente relevante porque o hospital se apresenta publicamente a partir de atributos como excelência, filantropia, segurança do paciente, ensino, pesquisa e compromisso social.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both"/>
        <w:rPr>
          <w:rFonts w:ascii="Play" w:cs="Play" w:eastAsia="Play" w:hAnsi="Play"/>
        </w:rPr>
      </w:pPr>
      <w:r w:rsidDel="00000000" w:rsidR="00000000" w:rsidRPr="00000000">
        <w:rPr>
          <w:rFonts w:ascii="Play" w:cs="Play" w:eastAsia="Play" w:hAnsi="Play"/>
          <w:rtl w:val="0"/>
        </w:rPr>
        <w:t xml:space="preserve">Dados recentes sugerem que os principais aspectos socioculturais que afetam o setor da saúde são o envelhecimento da população, a valorização da experiência do paciente, a saúde mental,  e a cobrança crescente por qualidade mensurável, transparência e impacto social. Esses fatores geram oportunidades de fortalecimento reputacional, diferenciação institucional, expansão de novos serviços e ampliação da legitimidade social. Ao mesmo tempo, produzem desafios relacionados à adaptação de processos, qualificação da força de trabalho, coerência entre discurso e prática e capacidade de manter excelência técnica aliada à acolhimento, inclusão e responsabilidade social. Nesse contexto, o Sírio-Libanês tende a se destacar não apenas pela alta complexidade assistencial, mas pela capacidade de responder às transformações socioculturais do setor com inovação, sensibilidade institucional e geração de valor para diferentes públicos.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rPr>
      </w:pPr>
      <w:r w:rsidDel="00000000" w:rsidR="00000000" w:rsidRPr="00000000">
        <w:rPr>
          <w:rtl w:val="0"/>
        </w:rPr>
      </w:r>
    </w:p>
    <w:p w:rsidR="00000000" w:rsidDel="00000000" w:rsidP="00000000" w:rsidRDefault="00000000" w:rsidRPr="00000000" w14:paraId="0000007A">
      <w:pPr>
        <w:pStyle w:val="Heading1"/>
        <w:spacing w:before="0" w:lineRule="auto"/>
        <w:rPr>
          <w:b w:val="1"/>
          <w:bCs w:val="1"/>
        </w:rPr>
      </w:pPr>
      <w:bookmarkStart w:colFirst="0" w:colLast="0" w:name="_heading=h.frizl3vhqlt7" w:id="16"/>
      <w:bookmarkEnd w:id="16"/>
      <w:r w:rsidDel="00000000" w:rsidR="00000000" w:rsidRPr="00000000">
        <w:rPr>
          <w:sz w:val="28"/>
          <w:szCs w:val="28"/>
          <w:rtl w:val="0"/>
        </w:rPr>
        <w:t xml:space="preserve">6.2.3   Tecnologia e Inovação</w:t>
      </w:r>
      <w:r w:rsidDel="00000000" w:rsidR="00000000" w:rsidRPr="00000000">
        <w:rPr>
          <w:rtl w:val="0"/>
        </w:rPr>
      </w:r>
    </w:p>
    <w:p w:rsidR="00000000" w:rsidDel="00000000" w:rsidP="00000000" w:rsidRDefault="00000000" w:rsidRPr="00000000" w14:paraId="0000007B">
      <w:pPr>
        <w:spacing w:after="240" w:before="240" w:line="276" w:lineRule="auto"/>
        <w:ind w:firstLine="720"/>
        <w:jc w:val="both"/>
        <w:rPr>
          <w:rFonts w:ascii="Play" w:cs="Play" w:eastAsia="Play" w:hAnsi="Play"/>
        </w:rPr>
      </w:pPr>
      <w:r w:rsidDel="00000000" w:rsidR="00000000" w:rsidRPr="00000000">
        <w:rPr>
          <w:rFonts w:ascii="Play" w:cs="Play" w:eastAsia="Play" w:hAnsi="Play"/>
          <w:rtl w:val="0"/>
        </w:rPr>
        <w:t xml:space="preserve">O ambiente externo da saúde aponta para uma transformação estrutural em que a telessaúde, interoperabilidade, inteligência artificial e governança digital deixam de ser tendências isoladas e passam a compor a nova infraestrutura do cuidado. No Brasil, esse movimento ganhou força com a padronização das modalidades de teleatendimento pelo Ministério da Saúde e com a abertura de chamamento público para credenciamento de estabelecimentos privados para oferta complementar de telessaúde no SUS, ao mesmo tempo em que a RNDS se consolida como plataforma oficial de interoperabilidade e o Ministério estrutura o uso do padrão FHIR para integração entre sistemas. Para o Hospital Sírio-Libanês, esse cenário amplia a oportunidade de atuar não apenas como hospital de alta complexidade, mas como parceiro estratégico do sistema de saúde na organização de fluxos assistenciais digitais, ampliação do acesso e coordenação do cuidado em escala.</w:t>
      </w:r>
    </w:p>
    <w:p w:rsidR="00000000" w:rsidDel="00000000" w:rsidP="00000000" w:rsidRDefault="00000000" w:rsidRPr="00000000" w14:paraId="0000007C">
      <w:pPr>
        <w:spacing w:after="240" w:before="240" w:line="276" w:lineRule="auto"/>
        <w:ind w:firstLine="720"/>
        <w:jc w:val="both"/>
        <w:rPr>
          <w:rFonts w:ascii="Play" w:cs="Play" w:eastAsia="Play" w:hAnsi="Play"/>
        </w:rPr>
      </w:pPr>
      <w:r w:rsidDel="00000000" w:rsidR="00000000" w:rsidRPr="00000000">
        <w:rPr>
          <w:rFonts w:ascii="Play" w:cs="Play" w:eastAsia="Play" w:hAnsi="Play"/>
          <w:rtl w:val="0"/>
        </w:rPr>
        <w:t xml:space="preserve">Esse posicionamento encontra respaldo na própria trajetória institucional do Sírio-Libanês. O hospital voltou a integrar o World’s Best Smart Hospitals 2026, recebeu o selo All-Time Champion por presença contínua desde a criação dos rankings da Newsweek e foi reconhecido pelo uso de tecnologias disruptivas aplicadas à saúde, como inteligência artificial, realidade mista e integração de dados em larga escala. No plano nacional, também figurou entre as 150 empresas mais inovadoras do Brasil no Valor Inovação Brasil 2024. Além disso, por meio da Alma Sírio-Libanês, a instituição desenvolveu o HealthLake, descrito pelo próprio hospital como o primeiro data lake de integridade e análise de dados em saúde privada na América Latina. Em termos estratégicos, essas distinções são relevantes porque mostram que a inovação, no caso do Sírio-Libanês, já é percebida externamente como competência institucional consolidada, e não apenas como iniciativa pontual.</w:t>
      </w:r>
    </w:p>
    <w:p w:rsidR="00000000" w:rsidDel="00000000" w:rsidP="00000000" w:rsidRDefault="00000000" w:rsidRPr="00000000" w14:paraId="0000007D">
      <w:pPr>
        <w:spacing w:after="240" w:before="240" w:line="276" w:lineRule="auto"/>
        <w:ind w:firstLine="720"/>
        <w:jc w:val="both"/>
        <w:rPr>
          <w:rFonts w:ascii="Play" w:cs="Play" w:eastAsia="Play" w:hAnsi="Play"/>
        </w:rPr>
      </w:pPr>
      <w:r w:rsidDel="00000000" w:rsidR="00000000" w:rsidRPr="00000000">
        <w:rPr>
          <w:rFonts w:ascii="Play" w:cs="Play" w:eastAsia="Play" w:hAnsi="Play"/>
          <w:rtl w:val="0"/>
        </w:rPr>
        <w:t xml:space="preserve">Nesse contexto, ganham destaque duas frentes particularmente estratégicas: o IPS Brasil e o desenvolvimento de Smart Guidelines. No PROADI-SUS, o projeto IPS Brasil é apresentado como iniciativa voltada a estabelecer um sistema de saúde conectado e integrado, com compartilhamento de informações entre diferentes elementos da assistência e melhoria da continuidade do cuidado, incluindo estruturação de ambiente em nuvem, definição de casos de uso, terminologias e publicação de guia em conformidade com os modelos do IPS-Brasil. Em paralelo, a OMS define Smart Guidelines como uma abordagem para sistematizar e acelerar a aplicação consistente de recomendações clínicas, de saúde pública e de uso de dados em sistemas digitais, por meio de componentes padronizados, legíveis por máquina, adaptáveis e testáveis. Para o Sírio-Libanês, a combinação entre prontuário eletrônico, RNDS/FHIR, IPS e Smart Guidelines cria uma base estratégica para estruturar dados clínicos, digitalizar diretrizes, apoiar decisões com maior rastreabilidade e preparar o terreno para IA clínica mais segura e útil.</w:t>
      </w:r>
    </w:p>
    <w:p w:rsidR="00000000" w:rsidDel="00000000" w:rsidP="00000000" w:rsidRDefault="00000000" w:rsidRPr="00000000" w14:paraId="0000007E">
      <w:pPr>
        <w:spacing w:after="240" w:before="240" w:line="276" w:lineRule="auto"/>
        <w:ind w:firstLine="720"/>
        <w:jc w:val="both"/>
        <w:rPr>
          <w:rFonts w:ascii="Play" w:cs="Play" w:eastAsia="Play" w:hAnsi="Play"/>
        </w:rPr>
      </w:pPr>
      <w:r w:rsidDel="00000000" w:rsidR="00000000" w:rsidRPr="00000000">
        <w:rPr>
          <w:rFonts w:ascii="Play" w:cs="Play" w:eastAsia="Play" w:hAnsi="Play"/>
          <w:rtl w:val="0"/>
        </w:rPr>
        <w:t xml:space="preserve">A integração de IA aos prontuários e o uso de LLMs na saúde representam, portanto, uma oportunidade real, mas sob condições rigorosas. A Resolução CFM nº 2.454/2026 estabelece que a IA deve atuar como ferramenta de apoio, mantendo o médico como responsável final pelas decisões, exigindo julgamento crítico, informação clara ao paciente e registro do uso da tecnologia em prontuário. Ao mesmo tempo, a ANPD colocou inteligência artificial e tecnologias emergentes entre os temas prioritários de fiscalização para 2026–2027, inclusive no contexto do tratamento de dados pessoais e dados de saúde, enquanto a Anvisa incluiu na agenda regulatória 2026–2027 a revisão da regularização de software como dispositivo médico (SaMD). Somam-se a isso as pressões de cibersegurança: relatórios recentes do Health-ISAC alertam para o aumento das ameaças ao setor de saúde brasileiro em um contexto de centralização de dados, expansão da infraestrutura digital e maior exposição de ativos críticos. Assim, a vantagem competitiva do Sírio-Libanês tende a depender menos da simples adoção de IA e mais da capacidade de combiná-la com governança clínica, proteção de dados, conformidade regulatória e resiliência cibernética.</w:t>
      </w:r>
    </w:p>
    <w:p w:rsidR="00000000" w:rsidDel="00000000" w:rsidP="00000000" w:rsidRDefault="00000000" w:rsidRPr="00000000" w14:paraId="0000007F">
      <w:pPr>
        <w:spacing w:after="240" w:before="240" w:line="276" w:lineRule="auto"/>
        <w:ind w:firstLine="720"/>
        <w:jc w:val="both"/>
        <w:rPr>
          <w:rFonts w:ascii="Play" w:cs="Play" w:eastAsia="Play" w:hAnsi="Play"/>
        </w:rPr>
      </w:pPr>
      <w:r w:rsidDel="00000000" w:rsidR="00000000" w:rsidRPr="00000000">
        <w:rPr>
          <w:rFonts w:ascii="Play" w:cs="Play" w:eastAsia="Play" w:hAnsi="Play"/>
          <w:rtl w:val="0"/>
        </w:rPr>
        <w:t xml:space="preserve">Uma revisão sistemática publicada em 2026 incluiu 81 estudos e identificou que as limitações mais frequentes das LLMs em saúde se concentram nos outputs, especialmente nas lacunas de acurácia, mas que essas fragilidades derivam em grande parte de problemas nos dados de entrada, na estruturação da informação e na qualidade dos prompts. O estudo também aponta caminhos concretos para mitigar esses riscos, como uso de dados clínicos mais estruturados, prompt engineering, RAG com fontes verificadas, fine-tuning com bases específicas da saúde, treinamento multimodal, avaliação contínua com métricas próprias da área e supervisão humana com trilhas de auditoria. Para o Sírio-Libanês, isso transforma um risco em oportunidade: a instituição reúne condições para se posicionar como referência em IA clínica confiável, desenvolvendo aplicações integradas ao prontuário para sumarização clínica, documentação assistida, organização da informação, apoio à decisão e navegação do cuidado, desde que essas soluções sejam ancoradas em interoperabilidade, validação em ambiente real e governança robusta.</w:t>
      </w:r>
    </w:p>
    <w:p w:rsidR="00000000" w:rsidDel="00000000" w:rsidP="00000000" w:rsidRDefault="00000000" w:rsidRPr="00000000" w14:paraId="00000080">
      <w:pPr>
        <w:spacing w:after="240" w:before="240" w:line="276" w:lineRule="auto"/>
        <w:ind w:firstLine="720"/>
        <w:jc w:val="both"/>
        <w:rPr>
          <w:rFonts w:ascii="Play" w:cs="Play" w:eastAsia="Play" w:hAnsi="Play"/>
        </w:rPr>
      </w:pPr>
      <w:r w:rsidDel="00000000" w:rsidR="00000000" w:rsidRPr="00000000">
        <w:rPr>
          <w:rFonts w:ascii="Play" w:cs="Play" w:eastAsia="Play" w:hAnsi="Play"/>
          <w:rtl w:val="0"/>
        </w:rPr>
        <w:t xml:space="preserve">Em síntese, o macroambiente tecnológico favorece organizações capazes de integrar assistência, dados, diretrizes, plataformas digitais e inteligência artificial em um modelo coerente e seguro. O Hospital Sírio-Libanês já possui reputação, ativos institucionais e reconhecimento externo para ocupar esse espaço. O desafio estratégico não é apenas inovar mais, mas liderar a transição para um modelo de saúde em que telessaúde, interoperabilidade, IPS, Smart Guidelines e LLMs sejam incorporados com utilidade clínica, segurança regulatória e geração de valor para pacientes, profissionais e sistema de saúde. É nessa convergência entre excelência assistencial, arquitetura digital e inovação responsável que o Sírio-Libanês pode consolidar sua liderança nos próximos anos. </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80" w:before="0" w:lineRule="auto"/>
        <w:rPr/>
      </w:pPr>
      <w:bookmarkStart w:colFirst="0" w:colLast="0" w:name="_heading=h.ab9nkf8qz9sr" w:id="17"/>
      <w:bookmarkEnd w:id="17"/>
      <w:r w:rsidDel="00000000" w:rsidR="00000000" w:rsidRPr="00000000">
        <w:rPr>
          <w:rtl w:val="0"/>
        </w:rPr>
        <w:t xml:space="preserve">7. Análise SWOT e Estratégias</w:t>
      </w:r>
    </w:p>
    <w:p w:rsidR="00000000" w:rsidDel="00000000" w:rsidP="00000000" w:rsidRDefault="00000000" w:rsidRPr="00000000" w14:paraId="00000082">
      <w:pPr>
        <w:rPr/>
      </w:pPr>
      <w:r w:rsidDel="00000000" w:rsidR="00000000" w:rsidRPr="00000000">
        <w:rPr>
          <w:b w:val="1"/>
          <w:bCs w:val="1"/>
          <w:rtl w:val="0"/>
        </w:rPr>
        <w:t xml:space="preserve">O que fazer:</w:t>
      </w: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Crie uma matriz SWOT completa. </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Baseando-se nesta análise, sugira estratégias que a empresa poderia usar para melhorar sua posição no mercado.</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80" w:before="0" w:lineRule="auto"/>
        <w:rPr/>
      </w:pPr>
      <w:bookmarkStart w:colFirst="0" w:colLast="0" w:name="_heading=h.g6m5c2okj3rl" w:id="18"/>
      <w:bookmarkEnd w:id="18"/>
      <w:r w:rsidDel="00000000" w:rsidR="00000000" w:rsidRPr="00000000">
        <w:rPr>
          <w:rtl w:val="0"/>
        </w:rPr>
        <w:t xml:space="preserve">8. Plano de Ação e BSC (Balanced Scorecard)</w:t>
      </w:r>
    </w:p>
    <w:p w:rsidR="00000000" w:rsidDel="00000000" w:rsidP="00000000" w:rsidRDefault="00000000" w:rsidRPr="00000000" w14:paraId="00000087">
      <w:pPr>
        <w:rPr/>
      </w:pPr>
      <w:r w:rsidDel="00000000" w:rsidR="00000000" w:rsidRPr="00000000">
        <w:rPr>
          <w:b w:val="1"/>
          <w:bCs w:val="1"/>
          <w:rtl w:val="0"/>
        </w:rPr>
        <w:t xml:space="preserve">O que fazer:</w:t>
      </w: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Desenvolva um plano de ação usando a metodologia SMART para objetivos específicos. </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Integre o Balanced Scorecard para ajudar a empresa a monitorar seu desempenho em relação a esses objetivos.</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80" w:before="0" w:lineRule="auto"/>
        <w:rPr/>
      </w:pPr>
      <w:bookmarkStart w:colFirst="0" w:colLast="0" w:name="_heading=h.z4ua2423o9bu" w:id="19"/>
      <w:bookmarkEnd w:id="19"/>
      <w:r w:rsidDel="00000000" w:rsidR="00000000" w:rsidRPr="00000000">
        <w:rPr>
          <w:rtl w:val="0"/>
        </w:rPr>
        <w:t xml:space="preserve">9. Conclusão</w:t>
      </w:r>
    </w:p>
    <w:p w:rsidR="00000000" w:rsidDel="00000000" w:rsidP="00000000" w:rsidRDefault="00000000" w:rsidRPr="00000000" w14:paraId="0000008C">
      <w:pPr>
        <w:rPr/>
      </w:pPr>
      <w:r w:rsidDel="00000000" w:rsidR="00000000" w:rsidRPr="00000000">
        <w:rPr>
          <w:b w:val="1"/>
          <w:bCs w:val="1"/>
          <w:rtl w:val="0"/>
        </w:rPr>
        <w:t xml:space="preserve">O que fazer:</w:t>
      </w: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Resuma os principais aprendizados do projeto. </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Destaque como o conhecimento adquirido pode ser aplicado em situações reais de negócios.</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80" w:before="0" w:lineRule="auto"/>
        <w:rPr/>
      </w:pPr>
      <w:bookmarkStart w:colFirst="0" w:colLast="0" w:name="_heading=h.86n6ohrn2r5u" w:id="20"/>
      <w:bookmarkEnd w:id="20"/>
      <w:r w:rsidDel="00000000" w:rsidR="00000000" w:rsidRPr="00000000">
        <w:rPr>
          <w:rtl w:val="0"/>
        </w:rPr>
        <w:t xml:space="preserve">10. Referências</w:t>
      </w:r>
    </w:p>
    <w:p w:rsidR="00000000" w:rsidDel="00000000" w:rsidP="00000000" w:rsidRDefault="00000000" w:rsidRPr="00000000" w14:paraId="00000091">
      <w:pPr>
        <w:numPr>
          <w:ilvl w:val="0"/>
          <w:numId w:val="1"/>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In: WIKIPEDIA: a enciclopédia livre. [S.l.: s.n., s.d.]. Disponível em:</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https://pt.wikipedia.org/wiki/Hospital_S%C3%ADrio-Liban%C3%AAs</w:t>
        </w:r>
      </w:hyperlink>
      <w:r w:rsidDel="00000000" w:rsidR="00000000" w:rsidRPr="00000000">
        <w:rPr>
          <w:rFonts w:ascii="Arial" w:cs="Arial" w:eastAsia="Arial" w:hAnsi="Arial"/>
          <w:rtl w:val="0"/>
        </w:rPr>
        <w:t xml:space="preserve">. Acesso em: 18 mar. 2026.</w:t>
      </w:r>
    </w:p>
    <w:p w:rsidR="00000000" w:rsidDel="00000000" w:rsidP="00000000" w:rsidRDefault="00000000" w:rsidRPr="00000000" w14:paraId="0000009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Relato Integrado 2023. São Paulo: Hospital Sírio-Libanês, 2024a. Disponível em: </w:t>
      </w:r>
      <w:hyperlink r:id="rId11">
        <w:r w:rsidDel="00000000" w:rsidR="00000000" w:rsidRPr="00000000">
          <w:rPr>
            <w:rFonts w:ascii="Arial" w:cs="Arial" w:eastAsia="Arial" w:hAnsi="Arial"/>
            <w:color w:val="1155cc"/>
            <w:u w:val="single"/>
            <w:rtl w:val="0"/>
          </w:rPr>
          <w:t xml:space="preserve">https://hospitalsiriolibanes.org.br/sites/institucional/files/graphassets/2DriiSExSMabN6pr04gW.pdf</w:t>
        </w:r>
      </w:hyperlink>
      <w:r w:rsidDel="00000000" w:rsidR="00000000" w:rsidRPr="00000000">
        <w:rPr>
          <w:rFonts w:ascii="Arial" w:cs="Arial" w:eastAsia="Arial" w:hAnsi="Arial"/>
          <w:rtl w:val="0"/>
        </w:rPr>
        <w:t xml:space="preserve"> . Acesso em: 20 mar. 2026.</w:t>
      </w:r>
    </w:p>
    <w:p w:rsidR="00000000" w:rsidDel="00000000" w:rsidP="00000000" w:rsidRDefault="00000000" w:rsidRPr="00000000" w14:paraId="0000009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Faculdade Sírio-Libanês e Universidade de Coimbra firmam parceria para fomento à formação de profissionais de saúde e pesquisa. São Paulo: Hospital Sírio-Libanês, 24 jul. 2024b. Disponível em: </w:t>
      </w:r>
      <w:hyperlink r:id="rId12">
        <w:r w:rsidDel="00000000" w:rsidR="00000000" w:rsidRPr="00000000">
          <w:rPr>
            <w:rFonts w:ascii="Arial" w:cs="Arial" w:eastAsia="Arial" w:hAnsi="Arial"/>
            <w:color w:val="1155cc"/>
            <w:u w:val="single"/>
            <w:rtl w:val="0"/>
          </w:rPr>
          <w:t xml:space="preserve">https://hospitalsiriolibanes.org.br/imprensa/faculdade-sirio-libanes-e-universidade-de-coimbra-firmam-parceria</w:t>
        </w:r>
      </w:hyperlink>
      <w:r w:rsidDel="00000000" w:rsidR="00000000" w:rsidRPr="00000000">
        <w:rPr>
          <w:rFonts w:ascii="Arial" w:cs="Arial" w:eastAsia="Arial" w:hAnsi="Arial"/>
          <w:rtl w:val="0"/>
        </w:rPr>
        <w:t xml:space="preserve"> . Acesso em: 22 mar. 2026.</w:t>
      </w:r>
    </w:p>
    <w:p w:rsidR="00000000" w:rsidDel="00000000" w:rsidP="00000000" w:rsidRDefault="00000000" w:rsidRPr="00000000" w14:paraId="00000094">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Sírio-Libanês está mais uma vez entre os melhores hospitais do mundo nos rankings Newsweek 2025. São Paulo: Hospital Sírio-Libanês, 17 set. 2024c. Disponível em: </w:t>
      </w:r>
      <w:hyperlink r:id="rId13">
        <w:r w:rsidDel="00000000" w:rsidR="00000000" w:rsidRPr="00000000">
          <w:rPr>
            <w:rFonts w:ascii="Arial" w:cs="Arial" w:eastAsia="Arial" w:hAnsi="Arial"/>
            <w:color w:val="1155cc"/>
            <w:u w:val="single"/>
            <w:rtl w:val="0"/>
          </w:rPr>
          <w:t xml:space="preserve">https://hospitalsiriolibanes.org.br/imprensa/sirio-libanes-esta-mais-uma-vez-entre-os-melhores-hospitais-do-mundo-nos-rankings-newsweek-2022</w:t>
        </w:r>
      </w:hyperlink>
      <w:r w:rsidDel="00000000" w:rsidR="00000000" w:rsidRPr="00000000">
        <w:rPr>
          <w:rFonts w:ascii="Arial" w:cs="Arial" w:eastAsia="Arial" w:hAnsi="Arial"/>
          <w:rtl w:val="0"/>
        </w:rPr>
        <w:t xml:space="preserve"> . Acesso em: 22 mar. 2026.</w:t>
      </w:r>
    </w:p>
    <w:p w:rsidR="00000000" w:rsidDel="00000000" w:rsidP="00000000" w:rsidRDefault="00000000" w:rsidRPr="00000000" w14:paraId="00000095">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Compromisso social. Disponível em: </w:t>
      </w:r>
      <w:hyperlink r:id="rId14">
        <w:r w:rsidDel="00000000" w:rsidR="00000000" w:rsidRPr="00000000">
          <w:rPr>
            <w:rFonts w:ascii="Arial" w:cs="Arial" w:eastAsia="Arial" w:hAnsi="Arial"/>
            <w:color w:val="1155cc"/>
            <w:u w:val="single"/>
            <w:rtl w:val="0"/>
          </w:rPr>
          <w:t xml:space="preserve">https://hospitalsiriolibanes.org.br/quem-somos/compromisso-social</w:t>
        </w:r>
      </w:hyperlink>
      <w:r w:rsidDel="00000000" w:rsidR="00000000" w:rsidRPr="00000000">
        <w:rPr>
          <w:rFonts w:ascii="Arial" w:cs="Arial" w:eastAsia="Arial" w:hAnsi="Arial"/>
          <w:rtl w:val="0"/>
        </w:rPr>
        <w:t xml:space="preserve"> . Acesso em: 21 mar. 2026.]</w:t>
      </w:r>
    </w:p>
    <w:p w:rsidR="00000000" w:rsidDel="00000000" w:rsidP="00000000" w:rsidRDefault="00000000" w:rsidRPr="00000000" w14:paraId="00000096">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Saúde Populacional. Disponível em:  https://hospitalsiriolibanes.org.br/para-empresas/saude-populacional. Acesso em: 21 mar. 2026.</w:t>
      </w:r>
    </w:p>
    <w:p w:rsidR="00000000" w:rsidDel="00000000" w:rsidP="00000000" w:rsidRDefault="00000000" w:rsidRPr="00000000" w14:paraId="00000097">
      <w:pPr>
        <w:numPr>
          <w:ilvl w:val="0"/>
          <w:numId w:val="1"/>
        </w:numPr>
        <w:spacing w:after="240" w:line="240" w:lineRule="auto"/>
        <w:ind w:left="720" w:hanging="360"/>
        <w:rPr>
          <w:rFonts w:ascii="Arial" w:cs="Arial" w:eastAsia="Arial" w:hAnsi="Arial"/>
        </w:rPr>
      </w:pPr>
      <w:r w:rsidDel="00000000" w:rsidR="00000000" w:rsidRPr="00000000">
        <w:rPr>
          <w:rFonts w:ascii="Arial" w:cs="Arial" w:eastAsia="Arial" w:hAnsi="Arial"/>
          <w:rtl w:val="0"/>
        </w:rPr>
        <w:t xml:space="preserve">HOSPITAL SÍRIO-LIBANÊS. Quem somos. Disponível em:  </w:t>
      </w:r>
      <w:hyperlink r:id="rId15">
        <w:r w:rsidDel="00000000" w:rsidR="00000000" w:rsidRPr="00000000">
          <w:rPr>
            <w:rFonts w:ascii="Arial" w:cs="Arial" w:eastAsia="Arial" w:hAnsi="Arial"/>
            <w:color w:val="1155cc"/>
            <w:u w:val="single"/>
            <w:rtl w:val="0"/>
          </w:rPr>
          <w:t xml:space="preserve">https://hospitalsiriolibanes.org.br/quem-somos</w:t>
        </w:r>
      </w:hyperlink>
      <w:r w:rsidDel="00000000" w:rsidR="00000000" w:rsidRPr="00000000">
        <w:rPr>
          <w:rFonts w:ascii="Arial" w:cs="Arial" w:eastAsia="Arial" w:hAnsi="Arial"/>
          <w:rtl w:val="0"/>
        </w:rPr>
        <w:t xml:space="preserve"> . Acesso em: 21 mar. 2026.</w:t>
      </w:r>
    </w:p>
    <w:p w:rsidR="00000000" w:rsidDel="00000000" w:rsidP="00000000" w:rsidRDefault="00000000" w:rsidRPr="00000000" w14:paraId="00000098">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BRASIL. Agência Nacional de Proteção de Dados. ANPD publica Mapa de Temas Prioritários para o biênio 2026-2027 e atualiza Agenda Regulatória 2025-2026. Brasília, DF, 24 dez. 2025. Disponível em: https://www.gov.br/anpd/pt-br/assuntos/noticias/anpd-publica-mapa-de-temas-prioritarios-para-o-bienio-2026-2027-e-atualiza-agenda-regulatoria-2025-2026. Acesso em: 11 abr. 2026.</w:t>
      </w:r>
    </w:p>
    <w:p w:rsidR="00000000" w:rsidDel="00000000" w:rsidP="00000000" w:rsidRDefault="00000000" w:rsidRPr="00000000" w14:paraId="00000099">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BRASIL. Agência Nacional de Vigilância Sanitária. Manual para Regularização de Equipamento Médico e Software como Dispositivo Médico na Anvisa. Versão 1.3. Brasília, DF, 12 jan. 2026. Disponível em: https://www.gov.br/anvisa/pt-br/centraisdeconteudo/publicacoes/produtos-para-a-saude/manuais/manual-regularizacao-gquip/view. Acesso em: 11 abr. 2026.</w:t>
      </w:r>
    </w:p>
    <w:p w:rsidR="00000000" w:rsidDel="00000000" w:rsidP="00000000" w:rsidRDefault="00000000" w:rsidRPr="00000000" w14:paraId="0000009A">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BRASIL. Agência Nacional de Vigilância Sanitária. Agenda Regulatória 2026-2027. Brasília, DF, 10 dez. 2025. Disponível em: https://www.gov.br/anvisa/pt-br/assuntos/regulamentacao/agenda-regulatoria/agenda-2026-2027/arquivos/portal_lista_final_ar_2026-2027.pdf. Acesso em: 7 abr. 2026.</w:t>
      </w:r>
    </w:p>
    <w:p w:rsidR="00000000" w:rsidDel="00000000" w:rsidP="00000000" w:rsidRDefault="00000000" w:rsidRPr="00000000" w14:paraId="0000009B">
      <w:pPr>
        <w:spacing w:after="2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C">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BRASIL. Ministério da Saúde. Estrutura do Projeto. Brasília, DF, [s. d.]. Disponível em: https://www.gov.br/saude/pt-br/composicao/seidigi/rnds/estrutura-do-projeto. Acesso em: 7 abr. 2026.</w:t>
      </w:r>
    </w:p>
    <w:p w:rsidR="00000000" w:rsidDel="00000000" w:rsidP="00000000" w:rsidRDefault="00000000" w:rsidRPr="00000000" w14:paraId="0000009D">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BRASIL. Ministério da Saúde. Ministério da Saúde padroniza as diversas modalidades de teleatendimento. Brasília, DF, 8 jan. 2025. Disponível em: https://www.gov.br/saude/pt-br/assuntos/noticias/2025/janeiro/ministerio-da-saude-padroniza-as-diversas-modalidades-de-teleatendimento. Acesso em: 8 abr. 2026.</w:t>
      </w:r>
    </w:p>
    <w:p w:rsidR="00000000" w:rsidDel="00000000" w:rsidP="00000000" w:rsidRDefault="00000000" w:rsidRPr="00000000" w14:paraId="0000009E">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BRASIL. Ministério da Saúde. Chamamento Público nº 02/2025 – Secretaria de Informação e Saúde Digital (SEIDIGI). Brasília, DF, 22 ago. 2025. Disponível em: https://www.gov.br/saude/pt-br/acesso-a-informacao/participacao-social/chamamentos-publicos/2025/chamamento-publico-no-02-2025-seidigi. Acesso em: 8 abr. 2026.</w:t>
      </w:r>
    </w:p>
    <w:p w:rsidR="00000000" w:rsidDel="00000000" w:rsidP="00000000" w:rsidRDefault="00000000" w:rsidRPr="00000000" w14:paraId="0000009F">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CONSELHO FEDERAL DE MEDICINA. CFM normatiza uso da IA na medicina. Brasília, DF, 27 fev. 2026. Disponível em: https://portal.cfm.org.br/noticias/cfm-normatiza-uso-da-ia-na-medicina/. Acesso em: 10 abr. 2026.</w:t>
      </w:r>
    </w:p>
    <w:p w:rsidR="00000000" w:rsidDel="00000000" w:rsidP="00000000" w:rsidRDefault="00000000" w:rsidRPr="00000000" w14:paraId="000000A0">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HEALTH-ISAC. Rising Cyber Threats to Brazil’s Health Sector Highlighted in New Health-ISAC Report. Orlando, FL, 11 ago. 2025. Disponível em: https://health-isac.org/rising-cyber-threats-to-brazils-health-sector-highlighted-in-new-health-isac-report/. Acesso em: 10 abr. 2026.</w:t>
      </w:r>
    </w:p>
    <w:p w:rsidR="00000000" w:rsidDel="00000000" w:rsidP="00000000" w:rsidRDefault="00000000" w:rsidRPr="00000000" w14:paraId="000000A1">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HOSPITAL SÍRIO-LIBANÊS. All time Champion - 2026. São Paulo, 2026. Disponível em: https://hospitalsiriolibanes.org.br/quem-somos/qualidade-e-seguranca/newsweek/all-time-champion-2026. Acesso em: 10 abr. 2026.</w:t>
      </w:r>
    </w:p>
    <w:p w:rsidR="00000000" w:rsidDel="00000000" w:rsidP="00000000" w:rsidRDefault="00000000" w:rsidRPr="00000000" w14:paraId="000000A2">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HOSPITAL SÍRIO-LIBANÊS. Hospital Sírio-Libanês é reconhecido como uma das 150 empresas mais inovadoras do Brasil. São Paulo, 1 ago. 2024. Disponível em: https://hospitalsiriolibanes.org.br/imprensa/hospital-sirio-libanes-entre-as-empresas-mais-inovadoras-do-brasil. Acesso em: 10 abr. 2026.</w:t>
      </w:r>
    </w:p>
    <w:p w:rsidR="00000000" w:rsidDel="00000000" w:rsidP="00000000" w:rsidRDefault="00000000" w:rsidRPr="00000000" w14:paraId="000000A3">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HOSPITAL SÍRIO-LIBANÊS. Projetos de Apoio ao SUS. São Paulo, [s. d.]. Disponível em: https://hospitalsiriolibanes.org.br/quem-somos/compromisso-social/proadi-sus. Acesso em: 11 abr. 2026.</w:t>
      </w:r>
    </w:p>
    <w:p w:rsidR="00000000" w:rsidDel="00000000" w:rsidP="00000000" w:rsidRDefault="00000000" w:rsidRPr="00000000" w14:paraId="000000A4">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HOSPITAL SÍRIO-LIBANÊS. Sírio-Libanês está mais uma vez entre os melhores hospitais do mundo nos rankings Newsweek 2025. São Paulo, 17 set. 2024. Disponível em: https://hospitalsiriolibanes.org.br/imprensa/sirio-libanes-esta-mais-uma-vez-entre-os-melhores-hospitais-do-mundo-nos-rankings-newsweek-2025. Acesso em: 11 abr. 2026.</w:t>
      </w:r>
    </w:p>
    <w:p w:rsidR="00000000" w:rsidDel="00000000" w:rsidP="00000000" w:rsidRDefault="00000000" w:rsidRPr="00000000" w14:paraId="000000A5">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HOSPITAL SÍRIO-LIBANÊS. Hospital Sírio-Libanês é destaque em especialidades médicas nos rankings Newsweek pelo 6º ano consecutivo. São Paulo, 10 set. 2025. Disponível em: https://hospitalsiriolibanes.org.br/imprensa/especialidades-medicas-rankings-newsweek-6o-ano-consecutivo. Acesso em: 11 abr. 2026.</w:t>
      </w:r>
    </w:p>
    <w:p w:rsidR="00000000" w:rsidDel="00000000" w:rsidP="00000000" w:rsidRDefault="00000000" w:rsidRPr="00000000" w14:paraId="000000A6">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KHOSRAVI, Mohsen et al. A systematic review of the limitations of large language models in generating healthcare content. PLOS Digital Health, v. 5, n. 4, e0001354, 2026. DOI: 10.1371/journal.pdig.0001354.</w:t>
      </w:r>
    </w:p>
    <w:p w:rsidR="00000000" w:rsidDel="00000000" w:rsidP="00000000" w:rsidRDefault="00000000" w:rsidRPr="00000000" w14:paraId="000000A7">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WORLD HEALTH ORGANIZATION. SMART Guidelines. Geneva, [s. d.]. Disponível em: https://www.who.int/teams/digital-health-and-innovation/smart-guidelines. Acesso em: 11 abr. 2026.</w:t>
      </w:r>
    </w:p>
    <w:p w:rsidR="00000000" w:rsidDel="00000000" w:rsidP="00000000" w:rsidRDefault="00000000" w:rsidRPr="00000000" w14:paraId="000000A8">
      <w:pPr>
        <w:numPr>
          <w:ilvl w:val="0"/>
          <w:numId w:val="1"/>
        </w:numPr>
        <w:spacing w:after="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Posso também organizar as citações no corpo do texto em sistema autor-data ABNT, por exemplo: (BRASIL, 2025; HOSPITAL SÍRIO-LIBANÊS, 2024; KHOSRAVI et al., 2026).</w:t>
      </w:r>
    </w:p>
    <w:p w:rsidR="00000000" w:rsidDel="00000000" w:rsidP="00000000" w:rsidRDefault="00000000" w:rsidRPr="00000000" w14:paraId="000000A9">
      <w:pPr>
        <w:numPr>
          <w:ilvl w:val="0"/>
          <w:numId w:val="1"/>
        </w:numPr>
        <w:spacing w:after="240" w:line="240" w:lineRule="auto"/>
        <w:ind w:left="720" w:hanging="360"/>
        <w:rPr>
          <w:rFonts w:ascii="Arial" w:cs="Arial" w:eastAsia="Arial" w:hAnsi="Arial"/>
        </w:rPr>
      </w:pPr>
      <w:r w:rsidDel="00000000" w:rsidR="00000000" w:rsidRPr="00000000">
        <w:rPr>
          <w:rFonts w:ascii="Arial" w:cs="Arial" w:eastAsia="Arial" w:hAnsi="Arial"/>
          <w:rtl w:val="0"/>
        </w:rPr>
        <w:t xml:space="preserve">NEWSWEEK. World 's Best Hospitals 2026. New York, 25 fev. 2026. Disponível em:</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rtl w:val="0"/>
          </w:rPr>
          <w:t xml:space="preserve">https://rankings.newsweek.com/worlds-best-hospitals-2026</w:t>
        </w:r>
      </w:hyperlink>
      <w:r w:rsidDel="00000000" w:rsidR="00000000" w:rsidRPr="00000000">
        <w:rPr>
          <w:rFonts w:ascii="Arial" w:cs="Arial" w:eastAsia="Arial" w:hAnsi="Arial"/>
          <w:rtl w:val="0"/>
        </w:rPr>
        <w:t xml:space="preserve">. Acesso em: 18 abr. 2026.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80" w:before="0" w:lineRule="auto"/>
        <w:rPr/>
      </w:pPr>
      <w:bookmarkStart w:colFirst="0" w:colLast="0" w:name="_heading=h.mlmsw1p68d35" w:id="21"/>
      <w:bookmarkEnd w:id="21"/>
      <w:r w:rsidDel="00000000" w:rsidR="00000000" w:rsidRPr="00000000">
        <w:rPr>
          <w:rtl w:val="0"/>
        </w:rPr>
        <w:t xml:space="preserve">Anexos e Materiais Suplementares</w:t>
      </w:r>
    </w:p>
    <w:p w:rsidR="00000000" w:rsidDel="00000000" w:rsidP="00000000" w:rsidRDefault="00000000" w:rsidRPr="00000000" w14:paraId="000000AD">
      <w:pPr>
        <w:rPr/>
      </w:pPr>
      <w:r w:rsidDel="00000000" w:rsidR="00000000" w:rsidRPr="00000000">
        <w:rPr>
          <w:b w:val="1"/>
          <w:bCs w:val="1"/>
          <w:rtl w:val="0"/>
        </w:rPr>
        <w:t xml:space="preserve">O que fazer:</w:t>
      </w:r>
      <w:r w:rsidDel="00000000" w:rsidR="00000000" w:rsidRPr="00000000">
        <w:rPr>
          <w:rtl w:val="0"/>
        </w:rPr>
        <w:t xml:space="preserve"> </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Inclua quaisquer gráficos, tabelas ou materiais adicionais que você usou ou criou para o projeto.</w:t>
      </w:r>
    </w:p>
    <w:p w:rsidR="00000000" w:rsidDel="00000000" w:rsidP="00000000" w:rsidRDefault="00000000" w:rsidRPr="00000000" w14:paraId="000000AF">
      <w:pPr>
        <w:widowControl w:val="1"/>
        <w:spacing w:after="160" w:before="0" w:line="278.00000000000006" w:lineRule="auto"/>
        <w:rPr/>
      </w:pPr>
      <w:r w:rsidDel="00000000" w:rsidR="00000000" w:rsidRPr="00000000">
        <w:rPr>
          <w:rtl w:val="0"/>
        </w:rPr>
      </w:r>
    </w:p>
    <w:sectPr>
      <w:headerReference r:id="rId18" w:type="default"/>
      <w:pgSz w:h="16838" w:w="11906"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Ttulo7Char"/>
    <w:uiPriority w:val="9"/>
    <w:semiHidden w:val="1"/>
    <w:unhideWhenUsed w:val="1"/>
    <w:qFormat w:val="1"/>
    <w:rsid w:val="00F149E4"/>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Normal"/>
    <w:link w:val="Ttulo8Char"/>
    <w:uiPriority w:val="9"/>
    <w:semiHidden w:val="1"/>
    <w:unhideWhenUsed w:val="1"/>
    <w:qFormat w:val="1"/>
    <w:rsid w:val="00F149E4"/>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Normal"/>
    <w:link w:val="Ttulo9Char"/>
    <w:uiPriority w:val="9"/>
    <w:semiHidden w:val="1"/>
    <w:unhideWhenUsed w:val="1"/>
    <w:qFormat w:val="1"/>
    <w:rsid w:val="00F149E4"/>
    <w:pPr>
      <w:keepNext w:val="1"/>
      <w:keepLines w:val="1"/>
      <w:spacing w:after="0" w:before="0"/>
      <w:outlineLvl w:val="8"/>
    </w:pPr>
    <w:rPr>
      <w:rFonts w:cs="" w:eastAsia="" w:cstheme="majorBidi" w:eastAsiaTheme="majorEastAsia"/>
      <w:color w:val="272727" w:themeColor="text1" w:themeTint="0000D8"/>
    </w:rPr>
  </w:style>
  <w:style w:type="character" w:styleId="DefaultParagraphFont" w:default="1">
    <w:name w:val="Default Paragraph Font"/>
    <w:uiPriority w:val="1"/>
    <w:unhideWhenUsed w:val="1"/>
    <w:qFormat w:val="1"/>
    <w:rPr/>
  </w:style>
  <w:style w:type="character" w:styleId="Ttulo1Char" w:customStyle="1">
    <w:name w:val="Título 1 Char"/>
    <w:basedOn w:val="DefaultParagraphFont"/>
    <w:uiPriority w:val="9"/>
    <w:qFormat w:val="1"/>
    <w:rsid w:val="00F149E4"/>
    <w:rPr>
      <w:rFonts w:ascii="Aptos Display" w:cs="" w:eastAsia="" w:hAnsi="Aptos Display" w:asciiTheme="majorHAnsi" w:cstheme="majorBidi" w:eastAsiaTheme="majorEastAsia" w:hAnsiTheme="majorHAnsi"/>
      <w:color w:val="0f4761" w:themeColor="accent1" w:themeShade="0000BF"/>
      <w:sz w:val="40"/>
      <w:szCs w:val="40"/>
    </w:rPr>
  </w:style>
  <w:style w:type="character" w:styleId="Ttulo2Char" w:customStyle="1">
    <w:name w:val="Título 2 Char"/>
    <w:basedOn w:val="DefaultParagraphFont"/>
    <w:uiPriority w:val="9"/>
    <w:semiHidden w:val="1"/>
    <w:qFormat w:val="1"/>
    <w:rsid w:val="00F149E4"/>
    <w:rPr>
      <w:rFonts w:ascii="Aptos Display" w:cs="" w:eastAsia="" w:hAnsi="Aptos Display" w:asciiTheme="majorHAnsi" w:cstheme="majorBidi" w:eastAsiaTheme="majorEastAsia" w:hAnsiTheme="majorHAnsi"/>
      <w:color w:val="0f4761" w:themeColor="accent1" w:themeShade="0000BF"/>
      <w:sz w:val="32"/>
      <w:szCs w:val="32"/>
    </w:rPr>
  </w:style>
  <w:style w:type="character" w:styleId="Ttulo3Char" w:customStyle="1">
    <w:name w:val="Título 3 Char"/>
    <w:basedOn w:val="DefaultParagraphFont"/>
    <w:uiPriority w:val="9"/>
    <w:semiHidden w:val="1"/>
    <w:qFormat w:val="1"/>
    <w:rsid w:val="00F149E4"/>
    <w:rPr>
      <w:rFonts w:cs="" w:eastAsia="" w:cstheme="majorBidi" w:eastAsiaTheme="majorEastAsia"/>
      <w:color w:val="0f4761" w:themeColor="accent1" w:themeShade="0000BF"/>
      <w:sz w:val="28"/>
      <w:szCs w:val="28"/>
    </w:rPr>
  </w:style>
  <w:style w:type="character" w:styleId="Ttulo4Char" w:customStyle="1">
    <w:name w:val="Título 4 Char"/>
    <w:basedOn w:val="DefaultParagraphFont"/>
    <w:uiPriority w:val="9"/>
    <w:semiHidden w:val="1"/>
    <w:qFormat w:val="1"/>
    <w:rsid w:val="00F149E4"/>
    <w:rPr>
      <w:rFonts w:cs="" w:eastAsia="" w:cstheme="majorBidi" w:eastAsiaTheme="majorEastAsia"/>
      <w:i w:val="1"/>
      <w:iCs w:val="1"/>
      <w:color w:val="0f4761" w:themeColor="accent1" w:themeShade="0000BF"/>
    </w:rPr>
  </w:style>
  <w:style w:type="character" w:styleId="Ttulo5Char" w:customStyle="1">
    <w:name w:val="Título 5 Char"/>
    <w:basedOn w:val="DefaultParagraphFont"/>
    <w:uiPriority w:val="9"/>
    <w:semiHidden w:val="1"/>
    <w:qFormat w:val="1"/>
    <w:rsid w:val="00F149E4"/>
    <w:rPr>
      <w:rFonts w:cs="" w:eastAsia="" w:cstheme="majorBidi" w:eastAsiaTheme="majorEastAsia"/>
      <w:color w:val="0f4761" w:themeColor="accent1" w:themeShade="0000BF"/>
    </w:rPr>
  </w:style>
  <w:style w:type="character" w:styleId="Ttulo6Char" w:customStyle="1">
    <w:name w:val="Título 6 Char"/>
    <w:basedOn w:val="DefaultParagraphFont"/>
    <w:uiPriority w:val="9"/>
    <w:semiHidden w:val="1"/>
    <w:qFormat w:val="1"/>
    <w:rsid w:val="00F149E4"/>
    <w:rPr>
      <w:rFonts w:cs="" w:eastAsia="" w:cstheme="majorBidi" w:eastAsiaTheme="majorEastAsia"/>
      <w:i w:val="1"/>
      <w:iCs w:val="1"/>
      <w:color w:val="595959" w:themeColor="text1" w:themeTint="0000A6"/>
    </w:rPr>
  </w:style>
  <w:style w:type="character" w:styleId="Ttulo7Char" w:customStyle="1">
    <w:name w:val="Título 7 Char"/>
    <w:basedOn w:val="DefaultParagraphFont"/>
    <w:uiPriority w:val="9"/>
    <w:semiHidden w:val="1"/>
    <w:qFormat w:val="1"/>
    <w:rsid w:val="00F149E4"/>
    <w:rPr>
      <w:rFonts w:cs="" w:eastAsia="" w:cstheme="majorBidi" w:eastAsiaTheme="majorEastAsia"/>
      <w:color w:val="595959" w:themeColor="text1" w:themeTint="0000A6"/>
    </w:rPr>
  </w:style>
  <w:style w:type="character" w:styleId="Ttulo8Char" w:customStyle="1">
    <w:name w:val="Título 8 Char"/>
    <w:basedOn w:val="DefaultParagraphFont"/>
    <w:uiPriority w:val="9"/>
    <w:semiHidden w:val="1"/>
    <w:qFormat w:val="1"/>
    <w:rsid w:val="00F149E4"/>
    <w:rPr>
      <w:rFonts w:cs="" w:eastAsia="" w:cstheme="majorBidi" w:eastAsiaTheme="majorEastAsia"/>
      <w:i w:val="1"/>
      <w:iCs w:val="1"/>
      <w:color w:val="272727" w:themeColor="text1" w:themeTint="0000D8"/>
    </w:rPr>
  </w:style>
  <w:style w:type="character" w:styleId="Ttulo9Char" w:customStyle="1">
    <w:name w:val="Título 9 Char"/>
    <w:basedOn w:val="DefaultParagraphFont"/>
    <w:uiPriority w:val="9"/>
    <w:semiHidden w:val="1"/>
    <w:qFormat w:val="1"/>
    <w:rsid w:val="00F149E4"/>
    <w:rPr>
      <w:rFonts w:cs="" w:eastAsia="" w:cstheme="majorBidi" w:eastAsiaTheme="majorEastAsia"/>
      <w:color w:val="272727" w:themeColor="text1" w:themeTint="0000D8"/>
    </w:rPr>
  </w:style>
  <w:style w:type="character" w:styleId="TtuloChar" w:customStyle="1">
    <w:name w:val="Título Char"/>
    <w:basedOn w:val="DefaultParagraphFont"/>
    <w:uiPriority w:val="10"/>
    <w:qFormat w:val="1"/>
    <w:rsid w:val="00F149E4"/>
    <w:rPr>
      <w:rFonts w:ascii="Aptos Display" w:cs="" w:eastAsia="" w:hAnsi="Aptos Display"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val="1"/>
    <w:rsid w:val="00F149E4"/>
    <w:rPr>
      <w:rFonts w:cs="" w:eastAsia="" w:cstheme="majorBidi" w:eastAsiaTheme="majorEastAsia"/>
      <w:color w:val="595959" w:themeColor="text1" w:themeTint="0000A6"/>
      <w:spacing w:val="15"/>
      <w:sz w:val="28"/>
      <w:szCs w:val="28"/>
    </w:rPr>
  </w:style>
  <w:style w:type="character" w:styleId="CitaoChar" w:customStyle="1">
    <w:name w:val="Citação Char"/>
    <w:basedOn w:val="DefaultParagraphFont"/>
    <w:link w:val="Quote"/>
    <w:uiPriority w:val="29"/>
    <w:qFormat w:val="1"/>
    <w:rsid w:val="00F149E4"/>
    <w:rPr>
      <w:i w:val="1"/>
      <w:iCs w:val="1"/>
      <w:color w:val="404040" w:themeColor="text1" w:themeTint="0000BF"/>
    </w:rPr>
  </w:style>
  <w:style w:type="character" w:styleId="IntenseEmphasis">
    <w:name w:val="Intense Emphasis"/>
    <w:basedOn w:val="DefaultParagraphFont"/>
    <w:uiPriority w:val="21"/>
    <w:qFormat w:val="1"/>
    <w:rsid w:val="00F149E4"/>
    <w:rPr>
      <w:i w:val="1"/>
      <w:iCs w:val="1"/>
      <w:color w:val="0f4761" w:themeColor="accent1" w:themeShade="0000BF"/>
    </w:rPr>
  </w:style>
  <w:style w:type="character" w:styleId="CitaoIntensaChar" w:customStyle="1">
    <w:name w:val="Citação Intensa Char"/>
    <w:basedOn w:val="DefaultParagraphFont"/>
    <w:link w:val="IntenseQuote"/>
    <w:uiPriority w:val="30"/>
    <w:qFormat w:val="1"/>
    <w:rsid w:val="00F149E4"/>
    <w:rPr>
      <w:i w:val="1"/>
      <w:iCs w:val="1"/>
      <w:color w:val="0f4761" w:themeColor="accent1" w:themeShade="0000BF"/>
    </w:rPr>
  </w:style>
  <w:style w:type="character" w:styleId="IntenseReference">
    <w:name w:val="Intense Reference"/>
    <w:basedOn w:val="DefaultParagraphFont"/>
    <w:uiPriority w:val="32"/>
    <w:qFormat w:val="1"/>
    <w:rsid w:val="00F149E4"/>
    <w:rPr>
      <w:b w:val="1"/>
      <w:bCs w:val="1"/>
      <w:smallCaps w:val="1"/>
      <w:color w:val="0f4761" w:themeColor="accent1" w:themeShade="0000BF"/>
      <w:spacing w:val="5"/>
    </w:rPr>
  </w:style>
  <w:style w:type="character" w:styleId="Hyperlink">
    <w:name w:val="Hyperlink"/>
    <w:basedOn w:val="DefaultParagraphFont"/>
    <w:uiPriority w:val="99"/>
    <w:unhideWhenUsed w:val="1"/>
    <w:rsid w:val="00F149E4"/>
    <w:rPr>
      <w:color w:val="467886" w:themeColor="hyperlink"/>
      <w:u w:val="single"/>
    </w:rPr>
  </w:style>
  <w:style w:type="character" w:styleId="Vnculodendice">
    <w:name w:val="Vínculo de índice"/>
    <w:qFormat w:val="1"/>
    <w:rPr/>
  </w:style>
  <w:style w:type="paragraph" w:styleId="Ttulo">
    <w:name w:val="Título"/>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rPr>
  </w:style>
  <w:style w:type="paragraph" w:styleId="Quote">
    <w:name w:val="Quote"/>
    <w:basedOn w:val="Normal"/>
    <w:next w:val="Normal"/>
    <w:link w:val="CitaoChar"/>
    <w:uiPriority w:val="29"/>
    <w:qFormat w:val="1"/>
    <w:rsid w:val="00F149E4"/>
    <w:pPr>
      <w:spacing w:after="160" w:before="160"/>
      <w:jc w:val="center"/>
    </w:pPr>
    <w:rPr>
      <w:i w:val="1"/>
      <w:iCs w:val="1"/>
      <w:color w:val="404040" w:themeColor="text1" w:themeTint="0000BF"/>
    </w:rPr>
  </w:style>
  <w:style w:type="paragraph" w:styleId="ListParagraph">
    <w:name w:val="List Paragraph"/>
    <w:basedOn w:val="Normal"/>
    <w:uiPriority w:val="34"/>
    <w:qFormat w:val="1"/>
    <w:rsid w:val="00F149E4"/>
    <w:pPr>
      <w:spacing w:after="160" w:before="0"/>
      <w:ind w:start="720"/>
      <w:contextualSpacing w:val="1"/>
    </w:pPr>
    <w:rPr/>
  </w:style>
  <w:style w:type="paragraph" w:styleId="IntenseQuote">
    <w:name w:val="Intense Quote"/>
    <w:basedOn w:val="Normal"/>
    <w:next w:val="Normal"/>
    <w:link w:val="CitaoIntensaChar"/>
    <w:uiPriority w:val="30"/>
    <w:qFormat w:val="1"/>
    <w:rsid w:val="00F149E4"/>
    <w:pPr>
      <w:pBdr>
        <w:top w:color="0f4761" w:space="10" w:sz="4" w:themeColor="accent1" w:themeShade="0000BF" w:val="single"/>
        <w:bottom w:color="0f4761" w:space="10" w:sz="4" w:themeColor="accent1" w:themeShade="0000BF" w:val="single"/>
      </w:pBdr>
      <w:spacing w:after="360" w:before="360"/>
      <w:ind w:start="864" w:end="864"/>
      <w:jc w:val="center"/>
    </w:pPr>
    <w:rPr>
      <w:i w:val="1"/>
      <w:iCs w:val="1"/>
      <w:color w:val="0f4761" w:themeColor="accent1" w:themeShade="0000BF"/>
    </w:rPr>
  </w:style>
  <w:style w:type="paragraph" w:styleId="IndexHeading">
    <w:name w:val="index heading"/>
    <w:basedOn w:val="Ttulo"/>
    <w:pPr/>
    <w:rPr/>
  </w:style>
  <w:style w:type="paragraph" w:styleId="TOCHeading">
    <w:name w:val="TOC Heading"/>
    <w:basedOn w:val="Heading1"/>
    <w:next w:val="Normal"/>
    <w:uiPriority w:val="39"/>
    <w:unhideWhenUsed w:val="1"/>
    <w:qFormat w:val="1"/>
    <w:rsid w:val="00F149E4"/>
    <w:pPr>
      <w:spacing w:after="0" w:before="240" w:line="259" w:lineRule="auto"/>
      <w:outlineLvl w:val="9"/>
    </w:pPr>
    <w:rPr>
      <w:kern w:val="0"/>
      <w:sz w:val="32"/>
      <w:szCs w:val="32"/>
      <w:lang w:eastAsia="pt-BR"/>
    </w:rPr>
  </w:style>
  <w:style w:type="paragraph" w:styleId="TOC1">
    <w:name w:val="toc 1"/>
    <w:basedOn w:val="Normal"/>
    <w:next w:val="Normal"/>
    <w:autoRedefine w:val="1"/>
    <w:uiPriority w:val="39"/>
    <w:unhideWhenUsed w:val="1"/>
    <w:rsid w:val="00F149E4"/>
    <w:pPr>
      <w:spacing w:after="100" w:before="0"/>
    </w:pPr>
    <w:rPr/>
  </w:style>
  <w:style w:type="numbering" w:styleId="Semlista" w:default="1">
    <w:name w:val="Sem lista"/>
    <w:uiPriority w:val="99"/>
    <w:semiHidden w:val="1"/>
    <w:unhideWhenUsed w:val="1"/>
    <w:qFormat w:val="1"/>
  </w:style>
  <w:style w:type="table" w:styleId="Tabela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hospitalsiriolibanes.org.br/sites/institucional/files/graphassets/2DriiSExSMabN6pr04gW.pdf" TargetMode="External"/><Relationship Id="rId10" Type="http://schemas.openxmlformats.org/officeDocument/2006/relationships/hyperlink" Target="https://pt.wikipedia.org/wiki/Hospital_S%C3%ADrio-Liban%C3%AAs" TargetMode="External"/><Relationship Id="rId13" Type="http://schemas.openxmlformats.org/officeDocument/2006/relationships/hyperlink" Target="https://hospitalsiriolibanes.org.br/imprensa/sirio-libanes-esta-mais-uma-vez-entre-os-melhores-hospitais-do-mundo-nos-rankings-newsweek-2022" TargetMode="External"/><Relationship Id="rId12" Type="http://schemas.openxmlformats.org/officeDocument/2006/relationships/hyperlink" Target="https://hospitalsiriolibanes.org.br/imprensa/faculdade-sirio-libanes-e-universidade-de-coimbra-firmam-parcer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t.wikipedia.org/wiki/Hospital_S%C3%ADrio-Liban%C3%AAs" TargetMode="External"/><Relationship Id="rId15" Type="http://schemas.openxmlformats.org/officeDocument/2006/relationships/hyperlink" Target="https://hospitalsiriolibanes.org.br/quem-somos" TargetMode="External"/><Relationship Id="rId14" Type="http://schemas.openxmlformats.org/officeDocument/2006/relationships/hyperlink" Target="https://hospitalsiriolibanes.org.br/quem-somos/compromisso-social" TargetMode="External"/><Relationship Id="rId17" Type="http://schemas.openxmlformats.org/officeDocument/2006/relationships/hyperlink" Target="https://rankings.newsweek.com/worlds-best-hospitals-2026" TargetMode="External"/><Relationship Id="rId16" Type="http://schemas.openxmlformats.org/officeDocument/2006/relationships/hyperlink" Target="https://rankings.newsweek.com/worlds-best-hospitals-2026"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AQg9ZrTbnCXqmntDsDdYnppjeA==">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2025-02-06T17:59:00Z</dcterms:created>
  <dc:creator>Dilermando Piva Junior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0x010100AFC21EEAB345564BB9DD7FE20195B4A0</vt:lpwstr>
  </property>
</Properties>
</file>