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E44E" w14:textId="2762695F" w:rsidR="0001072C" w:rsidRPr="003F0122" w:rsidRDefault="0001072C" w:rsidP="00A60249">
      <w:pPr>
        <w:rPr>
          <w:rFonts w:ascii="Arial" w:hAnsi="Arial" w:cs="Arial"/>
          <w:b/>
          <w:sz w:val="16"/>
          <w:szCs w:val="12"/>
          <w:lang w:val="en-PH"/>
        </w:rPr>
      </w:pPr>
      <w:r w:rsidRPr="003F0122">
        <w:rPr>
          <w:rFonts w:ascii="Arial" w:hAnsi="Arial" w:cs="Arial"/>
          <w:b/>
          <w:bCs/>
          <w:sz w:val="16"/>
          <w:szCs w:val="12"/>
          <w:lang w:val="en-PH"/>
        </w:rPr>
        <w:t>***</w:t>
      </w:r>
      <w:r w:rsidR="00E026F0" w:rsidRPr="003F0122">
        <w:rPr>
          <w:rFonts w:ascii="Arial" w:hAnsi="Arial" w:cs="Arial"/>
          <w:b/>
          <w:bCs/>
          <w:sz w:val="16"/>
          <w:szCs w:val="12"/>
          <w:lang w:val="en-PH"/>
        </w:rPr>
        <w:t xml:space="preserve"> </w:t>
      </w:r>
      <w:r w:rsidRPr="003F0122">
        <w:rPr>
          <w:rFonts w:ascii="Arial" w:hAnsi="Arial" w:cs="Arial"/>
          <w:b/>
          <w:bCs/>
          <w:sz w:val="16"/>
          <w:szCs w:val="12"/>
          <w:lang w:val="en-PH"/>
        </w:rPr>
        <w:t>Disclaimer</w:t>
      </w:r>
    </w:p>
    <w:p w14:paraId="5923424D" w14:textId="77777777" w:rsidR="0001072C" w:rsidRPr="0001072C" w:rsidRDefault="0001072C" w:rsidP="00A60249">
      <w:pPr>
        <w:rPr>
          <w:rFonts w:ascii="Arial" w:hAnsi="Arial" w:cs="Arial"/>
          <w:b/>
          <w:sz w:val="16"/>
          <w:szCs w:val="12"/>
          <w:lang w:val="en-PH"/>
        </w:rPr>
      </w:pPr>
      <w:r w:rsidRPr="0001072C">
        <w:rPr>
          <w:rFonts w:ascii="Arial" w:hAnsi="Arial" w:cs="Arial"/>
          <w:b/>
          <w:sz w:val="16"/>
          <w:szCs w:val="12"/>
          <w:lang w:val="en-PH"/>
        </w:rPr>
        <w:t>This manuscript is a fictional sample created for demonstration and testing purposes only. The content, data, authors, affiliations, and findings presented herein are entirely fabricated and do not represent real individuals, institutions, or research.</w:t>
      </w:r>
    </w:p>
    <w:p w14:paraId="051E850A" w14:textId="007454D1" w:rsidR="0001072C" w:rsidRPr="003F0122" w:rsidRDefault="0001072C" w:rsidP="00A60249">
      <w:pPr>
        <w:rPr>
          <w:rFonts w:ascii="Arial" w:hAnsi="Arial" w:cs="Arial"/>
          <w:b/>
          <w:sz w:val="16"/>
          <w:szCs w:val="12"/>
        </w:rPr>
      </w:pPr>
      <w:r w:rsidRPr="0001072C">
        <w:rPr>
          <w:rFonts w:ascii="Arial" w:hAnsi="Arial" w:cs="Arial"/>
          <w:b/>
          <w:sz w:val="16"/>
          <w:szCs w:val="12"/>
          <w:lang w:val="en-PH"/>
        </w:rPr>
        <w:t>Any resemblance to actual studies, publications, or persons—living or dead—is purely coincidental.</w:t>
      </w:r>
      <w:r w:rsidRPr="003F0122">
        <w:rPr>
          <w:rFonts w:ascii="Arial" w:hAnsi="Arial" w:cs="Arial"/>
          <w:b/>
          <w:sz w:val="16"/>
          <w:szCs w:val="12"/>
          <w:lang w:val="en-PH"/>
        </w:rPr>
        <w:t xml:space="preserve"> Please remove th</w:t>
      </w:r>
      <w:r w:rsidR="00A60249" w:rsidRPr="003F0122">
        <w:rPr>
          <w:rFonts w:ascii="Arial" w:hAnsi="Arial" w:cs="Arial"/>
          <w:b/>
          <w:sz w:val="16"/>
          <w:szCs w:val="12"/>
          <w:lang w:val="en-PH"/>
        </w:rPr>
        <w:t>e</w:t>
      </w:r>
      <w:r w:rsidR="00894D05" w:rsidRPr="003F0122">
        <w:rPr>
          <w:rFonts w:ascii="Arial" w:hAnsi="Arial" w:cs="Arial"/>
          <w:b/>
          <w:sz w:val="16"/>
          <w:szCs w:val="12"/>
          <w:lang w:val="en-PH"/>
        </w:rPr>
        <w:t xml:space="preserve"> disclaimer</w:t>
      </w:r>
      <w:r w:rsidRPr="003F0122">
        <w:rPr>
          <w:rFonts w:ascii="Arial" w:hAnsi="Arial" w:cs="Arial"/>
          <w:b/>
          <w:sz w:val="16"/>
          <w:szCs w:val="12"/>
          <w:lang w:val="en-PH"/>
        </w:rPr>
        <w:t xml:space="preserve"> comment if you want to use this</w:t>
      </w:r>
      <w:r w:rsidR="003F0122" w:rsidRPr="003F0122">
        <w:rPr>
          <w:rFonts w:ascii="Arial" w:hAnsi="Arial" w:cs="Arial"/>
          <w:b/>
          <w:sz w:val="16"/>
          <w:szCs w:val="12"/>
          <w:lang w:val="en-PH"/>
        </w:rPr>
        <w:t xml:space="preserve"> manuscript</w:t>
      </w:r>
      <w:r w:rsidRPr="003F0122">
        <w:rPr>
          <w:rFonts w:ascii="Arial" w:hAnsi="Arial" w:cs="Arial"/>
          <w:b/>
          <w:sz w:val="16"/>
          <w:szCs w:val="12"/>
          <w:lang w:val="en-PH"/>
        </w:rPr>
        <w:t xml:space="preserve"> as your guide.</w:t>
      </w:r>
      <w:r w:rsidR="00BE76CB">
        <w:rPr>
          <w:rFonts w:ascii="Arial" w:hAnsi="Arial" w:cs="Arial"/>
          <w:b/>
          <w:sz w:val="16"/>
          <w:szCs w:val="12"/>
          <w:lang w:val="en-PH"/>
        </w:rPr>
        <w:t xml:space="preserve"> </w:t>
      </w:r>
      <w:r w:rsidRPr="003F0122">
        <w:rPr>
          <w:rFonts w:ascii="Arial" w:hAnsi="Arial" w:cs="Arial"/>
          <w:b/>
          <w:sz w:val="16"/>
          <w:szCs w:val="12"/>
          <w:lang w:val="en-PH"/>
        </w:rPr>
        <w:t>***</w:t>
      </w:r>
    </w:p>
    <w:p w14:paraId="2A28C421" w14:textId="2EA82EF7" w:rsidR="00FE3E6A" w:rsidRDefault="00000000">
      <w:pPr>
        <w:jc w:val="center"/>
      </w:pPr>
      <w:r>
        <w:rPr>
          <w:b/>
          <w:sz w:val="28"/>
        </w:rPr>
        <w:t>THE DIGITAL THIRD PLACE: IMPACTS OF REMOTE WORK ON LOCAL NEIGHBORHOOD SOCIAL CAPITAL</w:t>
      </w:r>
    </w:p>
    <w:p w14:paraId="78F8E5F9" w14:textId="77777777" w:rsidR="00FE3E6A" w:rsidRDefault="00000000">
      <w:pPr>
        <w:jc w:val="center"/>
      </w:pPr>
      <w:r>
        <w:t>Aris Thistlewood, Elena Vance</w:t>
      </w:r>
    </w:p>
    <w:p w14:paraId="7F9B864D" w14:textId="77777777" w:rsidR="00FE3E6A" w:rsidRDefault="00000000">
      <w:pPr>
        <w:jc w:val="center"/>
      </w:pPr>
      <w:r>
        <w:t>Department of Urban Sociology, University of Veridian</w:t>
      </w:r>
    </w:p>
    <w:p w14:paraId="0C7C3A20" w14:textId="77777777" w:rsidR="00FE3E6A" w:rsidRDefault="00000000">
      <w:pPr>
        <w:jc w:val="center"/>
      </w:pPr>
      <w:r>
        <w:t>Email: a.thistlewood@uveridian.edu.co; e.vance@uveridian.edu.co</w:t>
      </w:r>
    </w:p>
    <w:p w14:paraId="14CEA4BC" w14:textId="77777777" w:rsidR="00FE3E6A" w:rsidRDefault="00FE3E6A"/>
    <w:p w14:paraId="5692823C" w14:textId="77777777" w:rsidR="00FE3E6A" w:rsidRDefault="00000000">
      <w:pPr>
        <w:pStyle w:val="Heading2"/>
      </w:pPr>
      <w:r>
        <w:t>Abstract</w:t>
      </w:r>
    </w:p>
    <w:p w14:paraId="4D9B0BA4" w14:textId="77777777" w:rsidR="00FE3E6A" w:rsidRDefault="00000000">
      <w:r>
        <w:t>This study investigates the shifting dynamics of social capital among remote workers in urban environments, focusing on the transition from workplace-centric social networks to neighborhood-based engagement. As traditional 'Third Places' (e.g., coffee shops, libraries) become hybrid workspaces, the nature of spontaneous social interaction is undergoing a fundamental transformation. Utilizing a mixed-methods approach, researchers surveyed 450 remote-working professionals in the metropolitan area of Veridian and conducted 12 follow-up semi-structured interviews. The results indicate a significant 22% increase in 'weak tie' formation within immediate residential vicinities, contrasted by a reported 15% decrease in professional organizational belonging. However, the study also found that high-density urban areas facilitate these local connections more effectively than suburban counterparts. The conclusion suggests that while remote work risks professional isolation, it offers a unique opportunity for 'hyper-local' community revitalization. These findings have implications for urban planners and organizations seeking to maintain employee well-being in a post-pandemic economy.</w:t>
      </w:r>
    </w:p>
    <w:p w14:paraId="501A763B" w14:textId="77777777" w:rsidR="00FE3E6A" w:rsidRDefault="00000000">
      <w:r>
        <w:rPr>
          <w:b/>
        </w:rPr>
        <w:t xml:space="preserve">Keywords: </w:t>
      </w:r>
      <w:r>
        <w:t>remote work, social capital, urban sociology, third places, community engagement</w:t>
      </w:r>
    </w:p>
    <w:p w14:paraId="2236A59A" w14:textId="77777777" w:rsidR="00FE3E6A" w:rsidRDefault="00FE3E6A"/>
    <w:p w14:paraId="257BDB90" w14:textId="77777777" w:rsidR="00FE3E6A" w:rsidRDefault="00000000">
      <w:pPr>
        <w:pStyle w:val="Heading2"/>
      </w:pPr>
      <w:r>
        <w:t>Introduction</w:t>
      </w:r>
    </w:p>
    <w:p w14:paraId="1BA2FC41" w14:textId="77777777" w:rsidR="00FE3E6A" w:rsidRDefault="00000000">
      <w:r>
        <w:t xml:space="preserve">The concept of the 'Third Place'—social surroundings separate from the two usual environments of home ('first place') and the office ('second place')—has long been considered the bedrock of community vitality. However, the rapid rise of the telecommuting economy has blurred these boundaries. The research problem centers on </w:t>
      </w:r>
      <w:r>
        <w:lastRenderedPageBreak/>
        <w:t>whether the collapse of the 'second place' (the office) leads to a vacuum in social capital or a redistribution of it toward the local neighborhood. This study aims to: (1) Measure the frequency of local social interactions among remote workers; and (2) Assess the quality of neighborhood social capital compared to previous workplace-centric models.</w:t>
      </w:r>
    </w:p>
    <w:p w14:paraId="56B41464" w14:textId="77777777" w:rsidR="00FE3E6A" w:rsidRDefault="00000000">
      <w:pPr>
        <w:pStyle w:val="Heading2"/>
      </w:pPr>
      <w:r>
        <w:t>Methods</w:t>
      </w:r>
    </w:p>
    <w:p w14:paraId="557F24CE" w14:textId="77777777" w:rsidR="00FE3E6A" w:rsidRDefault="00000000">
      <w:r>
        <w:t>Research Design</w:t>
      </w:r>
    </w:p>
    <w:p w14:paraId="09B3E2EF" w14:textId="77777777" w:rsidR="00FE3E6A" w:rsidRDefault="00000000">
      <w:r>
        <w:t>A convergent parallel mixed-methods design was employed to capture both broad statistical trends and nuanced lived experiences.</w:t>
      </w:r>
    </w:p>
    <w:p w14:paraId="5515941C" w14:textId="77777777" w:rsidR="00FE3E6A" w:rsidRDefault="00000000">
      <w:r>
        <w:t>Participants</w:t>
      </w:r>
    </w:p>
    <w:p w14:paraId="37DFD33C" w14:textId="77777777" w:rsidR="00FE3E6A" w:rsidRDefault="00000000">
      <w:r>
        <w:t>Participants (N=450) were recruited via professional networking platforms. Eligibility required a minimum of three days per week of remote work and residency within the Veridian metropolitan area for at least two years.</w:t>
      </w:r>
    </w:p>
    <w:p w14:paraId="20B76F34" w14:textId="77777777" w:rsidR="00FE3E6A" w:rsidRDefault="00000000">
      <w:r>
        <w:t>Instruments</w:t>
      </w:r>
    </w:p>
    <w:p w14:paraId="3831DF87" w14:textId="77777777" w:rsidR="00FE3E6A" w:rsidRDefault="00000000">
      <w:r>
        <w:t>The Neighborhood Social Capital Scale (NSCS): A 20-item Likert-scale survey measuring trust and reciprocity. Interview Protocol: Semi-structured questions focusing on 'spontaneous interaction frequency'.</w:t>
      </w:r>
    </w:p>
    <w:p w14:paraId="6C591C60" w14:textId="77777777" w:rsidR="00FE3E6A" w:rsidRDefault="00000000">
      <w:r>
        <w:t>Procedures</w:t>
      </w:r>
    </w:p>
    <w:p w14:paraId="31A28304" w14:textId="77777777" w:rsidR="00FE3E6A" w:rsidRDefault="00000000">
      <w:r>
        <w:t>Quantitative data were analyzed using SPSS, while qualitative interviews were transcribed and coded using thematic analysis to identify recurring patterns in social behavior.</w:t>
      </w:r>
    </w:p>
    <w:p w14:paraId="4288F8E9" w14:textId="77777777" w:rsidR="00FE3E6A" w:rsidRDefault="00000000">
      <w:pPr>
        <w:pStyle w:val="Heading2"/>
      </w:pPr>
      <w:r>
        <w:t>Results</w:t>
      </w:r>
    </w:p>
    <w:p w14:paraId="1BC1CEED" w14:textId="77777777" w:rsidR="00FE3E6A" w:rsidRDefault="00000000">
      <w:r>
        <w:t>Key findings indicate that remote workers spend an average of 4.5 more hours per week in their local neighborhood than they did prior to the shift to remote work.</w:t>
      </w:r>
    </w:p>
    <w:tbl>
      <w:tblPr>
        <w:tblStyle w:val="TableGrid"/>
        <w:tblW w:w="0" w:type="auto"/>
        <w:tblLook w:val="04A0" w:firstRow="1" w:lastRow="0" w:firstColumn="1" w:lastColumn="0" w:noHBand="0" w:noVBand="1"/>
      </w:tblPr>
      <w:tblGrid>
        <w:gridCol w:w="2880"/>
        <w:gridCol w:w="2880"/>
        <w:gridCol w:w="2880"/>
      </w:tblGrid>
      <w:tr w:rsidR="00FE3E6A" w14:paraId="0716EE26" w14:textId="77777777">
        <w:tc>
          <w:tcPr>
            <w:tcW w:w="2880" w:type="dxa"/>
          </w:tcPr>
          <w:p w14:paraId="752C0A20" w14:textId="77777777" w:rsidR="00FE3E6A" w:rsidRDefault="00000000">
            <w:r>
              <w:t>Social Category</w:t>
            </w:r>
          </w:p>
        </w:tc>
        <w:tc>
          <w:tcPr>
            <w:tcW w:w="2880" w:type="dxa"/>
          </w:tcPr>
          <w:p w14:paraId="358D5806" w14:textId="77777777" w:rsidR="00FE3E6A" w:rsidRDefault="00000000">
            <w:r>
              <w:t>Pre-Remote Work Score</w:t>
            </w:r>
          </w:p>
        </w:tc>
        <w:tc>
          <w:tcPr>
            <w:tcW w:w="2880" w:type="dxa"/>
          </w:tcPr>
          <w:p w14:paraId="0A76B553" w14:textId="77777777" w:rsidR="00FE3E6A" w:rsidRDefault="00000000">
            <w:r>
              <w:t>Post-Remote Work Score</w:t>
            </w:r>
          </w:p>
        </w:tc>
      </w:tr>
      <w:tr w:rsidR="00FE3E6A" w14:paraId="666C9500" w14:textId="77777777">
        <w:tc>
          <w:tcPr>
            <w:tcW w:w="2880" w:type="dxa"/>
          </w:tcPr>
          <w:p w14:paraId="15BAD5BD" w14:textId="77777777" w:rsidR="00FE3E6A" w:rsidRDefault="00000000">
            <w:r>
              <w:t>Local Business Interaction</w:t>
            </w:r>
          </w:p>
        </w:tc>
        <w:tc>
          <w:tcPr>
            <w:tcW w:w="2880" w:type="dxa"/>
          </w:tcPr>
          <w:p w14:paraId="3BA67466" w14:textId="77777777" w:rsidR="00FE3E6A" w:rsidRDefault="00000000">
            <w:r>
              <w:t>3.2</w:t>
            </w:r>
          </w:p>
        </w:tc>
        <w:tc>
          <w:tcPr>
            <w:tcW w:w="2880" w:type="dxa"/>
          </w:tcPr>
          <w:p w14:paraId="7BCC447E" w14:textId="77777777" w:rsidR="00FE3E6A" w:rsidRDefault="00000000">
            <w:r>
              <w:t>4.6</w:t>
            </w:r>
          </w:p>
        </w:tc>
      </w:tr>
      <w:tr w:rsidR="00FE3E6A" w14:paraId="4C05C626" w14:textId="77777777">
        <w:tc>
          <w:tcPr>
            <w:tcW w:w="2880" w:type="dxa"/>
          </w:tcPr>
          <w:p w14:paraId="6E9D0B52" w14:textId="77777777" w:rsidR="00FE3E6A" w:rsidRDefault="00000000">
            <w:r>
              <w:t>Workplace Bonding</w:t>
            </w:r>
          </w:p>
        </w:tc>
        <w:tc>
          <w:tcPr>
            <w:tcW w:w="2880" w:type="dxa"/>
          </w:tcPr>
          <w:p w14:paraId="19C83F54" w14:textId="77777777" w:rsidR="00FE3E6A" w:rsidRDefault="00000000">
            <w:r>
              <w:t>4.8</w:t>
            </w:r>
          </w:p>
        </w:tc>
        <w:tc>
          <w:tcPr>
            <w:tcW w:w="2880" w:type="dxa"/>
          </w:tcPr>
          <w:p w14:paraId="32323AC8" w14:textId="77777777" w:rsidR="00FE3E6A" w:rsidRDefault="00000000">
            <w:r>
              <w:t>3.5</w:t>
            </w:r>
          </w:p>
        </w:tc>
      </w:tr>
      <w:tr w:rsidR="00FE3E6A" w14:paraId="4AFE3AF0" w14:textId="77777777">
        <w:tc>
          <w:tcPr>
            <w:tcW w:w="2880" w:type="dxa"/>
          </w:tcPr>
          <w:p w14:paraId="148F8230" w14:textId="77777777" w:rsidR="00FE3E6A" w:rsidRDefault="00000000">
            <w:r>
              <w:t>Neighbor Recognition</w:t>
            </w:r>
          </w:p>
        </w:tc>
        <w:tc>
          <w:tcPr>
            <w:tcW w:w="2880" w:type="dxa"/>
          </w:tcPr>
          <w:p w14:paraId="608231DE" w14:textId="77777777" w:rsidR="00FE3E6A" w:rsidRDefault="00000000">
            <w:r>
              <w:t>2.1</w:t>
            </w:r>
          </w:p>
        </w:tc>
        <w:tc>
          <w:tcPr>
            <w:tcW w:w="2880" w:type="dxa"/>
          </w:tcPr>
          <w:p w14:paraId="7DC007F5" w14:textId="77777777" w:rsidR="00FE3E6A" w:rsidRDefault="00000000">
            <w:r>
              <w:t>3.9</w:t>
            </w:r>
          </w:p>
        </w:tc>
      </w:tr>
    </w:tbl>
    <w:p w14:paraId="1627E9A0" w14:textId="77777777" w:rsidR="00FE3E6A" w:rsidRDefault="00000000">
      <w:pPr>
        <w:pStyle w:val="Caption"/>
      </w:pPr>
      <w:r>
        <w:t>Note: Scores are based on a 5-point frequency scale.</w:t>
      </w:r>
    </w:p>
    <w:p w14:paraId="143A49D6" w14:textId="77777777" w:rsidR="00FE3E6A" w:rsidRDefault="00000000">
      <w:pPr>
        <w:pStyle w:val="Heading2"/>
      </w:pPr>
      <w:r>
        <w:t>Discussion</w:t>
      </w:r>
    </w:p>
    <w:p w14:paraId="1B2F5EC0" w14:textId="77777777" w:rsidR="00FE3E6A" w:rsidRDefault="00000000">
      <w:r>
        <w:t>The results suggest a 'localization of the social sphere.' While critics of remote work often highlight the loss of corporate culture, these findings compare favorably with the 'Granovetter’s Strength of Weak Ties' theory. Remote workers are trading deep, narrow professional bonds for a broader, more diverse set of local acquaintances. The implications are twofold: (1) For Urban Planning: There is an increased need for 'work-</w:t>
      </w:r>
      <w:r>
        <w:lastRenderedPageBreak/>
        <w:t>near-home' infrastructure; (2) For Sociology: We must redefine 'productivity' to include the social contributions an individual makes to their local ecosystem.</w:t>
      </w:r>
    </w:p>
    <w:p w14:paraId="0352B496" w14:textId="77777777" w:rsidR="00FE3E6A" w:rsidRDefault="00000000">
      <w:pPr>
        <w:pStyle w:val="Heading2"/>
      </w:pPr>
      <w:r>
        <w:t>Conclusion</w:t>
      </w:r>
    </w:p>
    <w:p w14:paraId="16E680E3" w14:textId="77777777" w:rsidR="00FE3E6A" w:rsidRDefault="00000000">
      <w:r>
        <w:t>This study successfully addressed its objectives by demonstrating that remote work acts as a catalyst for local social capital redistribution rather than its total depletion. The key takeaway is that the 'Second Place' is not disappearing; it is being integrated into the 'First' and 'Third' places. It is recommended that municipal governments invest in walkable 'micro-hubs' to support this growing demographic of neighborhood-reliant professionals.</w:t>
      </w:r>
    </w:p>
    <w:p w14:paraId="23EB4642" w14:textId="77777777" w:rsidR="00FE3E6A" w:rsidRDefault="00000000">
      <w:pPr>
        <w:pStyle w:val="Heading2"/>
      </w:pPr>
      <w:r>
        <w:t>Funding Statement</w:t>
      </w:r>
    </w:p>
    <w:p w14:paraId="13F30887" w14:textId="77777777" w:rsidR="00FE3E6A" w:rsidRDefault="00000000">
      <w:r>
        <w:t>This research was supported by the Veridian Social Science Research Council (Grant No. VSSRC-2024-09).</w:t>
      </w:r>
    </w:p>
    <w:p w14:paraId="6D9ADF82" w14:textId="77777777" w:rsidR="00FE3E6A" w:rsidRDefault="00000000">
      <w:pPr>
        <w:pStyle w:val="Heading2"/>
      </w:pPr>
      <w:r>
        <w:t>Conflict of Interest</w:t>
      </w:r>
    </w:p>
    <w:p w14:paraId="697D6E78" w14:textId="77777777" w:rsidR="00FE3E6A" w:rsidRDefault="00000000">
      <w:r>
        <w:t>The authors declare no conflicts of interest regarding the publication of this manuscript.</w:t>
      </w:r>
    </w:p>
    <w:p w14:paraId="0C03CF55" w14:textId="77777777" w:rsidR="00FE3E6A" w:rsidRDefault="00000000">
      <w:pPr>
        <w:pStyle w:val="Heading2"/>
      </w:pPr>
      <w:r>
        <w:t>References</w:t>
      </w:r>
    </w:p>
    <w:p w14:paraId="0935AC46" w14:textId="77777777" w:rsidR="00FE3E6A" w:rsidRDefault="00000000">
      <w:pPr>
        <w:ind w:left="720" w:hanging="720"/>
      </w:pPr>
      <w:r>
        <w:t>Castells, M. (2024). The rise of the network society: A local perspective. Veridian University Press.</w:t>
      </w:r>
    </w:p>
    <w:p w14:paraId="6B1EBC57" w14:textId="77777777" w:rsidR="00FE3E6A" w:rsidRDefault="00000000">
      <w:pPr>
        <w:ind w:left="720" w:hanging="720"/>
      </w:pPr>
      <w:r>
        <w:t>Oldenburg, R. (1989). The great good place: Cafes, coffee shops, bookstores, bars, hair salons, and other hangouts at the heart of a community. Marlowe &amp; Company.</w:t>
      </w:r>
    </w:p>
    <w:p w14:paraId="152C3751" w14:textId="77777777" w:rsidR="00FE3E6A" w:rsidRDefault="00000000">
      <w:pPr>
        <w:ind w:left="720" w:hanging="720"/>
      </w:pPr>
      <w:r>
        <w:t>Putnam, R. D. (2000). Bowling alone: The collapse and revival of American community. Simon &amp; Schuster.</w:t>
      </w:r>
    </w:p>
    <w:p w14:paraId="5C52CC81" w14:textId="77777777" w:rsidR="00FE3E6A" w:rsidRDefault="00000000">
      <w:pPr>
        <w:ind w:left="720" w:hanging="720"/>
      </w:pPr>
      <w:r>
        <w:t>Thistlewood, A., &amp; Vance, E. (2025). Digital nomads and the urban fabric. Journal of Contemporary Sociology, 14(2), 112–128. https://doi.org/10.1016/j.jcsoc.2025.01.004</w:t>
      </w:r>
    </w:p>
    <w:sectPr w:rsidR="00FE3E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478709">
    <w:abstractNumId w:val="8"/>
  </w:num>
  <w:num w:numId="2" w16cid:durableId="975333130">
    <w:abstractNumId w:val="6"/>
  </w:num>
  <w:num w:numId="3" w16cid:durableId="885723430">
    <w:abstractNumId w:val="5"/>
  </w:num>
  <w:num w:numId="4" w16cid:durableId="1750730717">
    <w:abstractNumId w:val="4"/>
  </w:num>
  <w:num w:numId="5" w16cid:durableId="2075622933">
    <w:abstractNumId w:val="7"/>
  </w:num>
  <w:num w:numId="6" w16cid:durableId="270406608">
    <w:abstractNumId w:val="3"/>
  </w:num>
  <w:num w:numId="7" w16cid:durableId="1261256082">
    <w:abstractNumId w:val="2"/>
  </w:num>
  <w:num w:numId="8" w16cid:durableId="1854759049">
    <w:abstractNumId w:val="1"/>
  </w:num>
  <w:num w:numId="9" w16cid:durableId="109085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72C"/>
    <w:rsid w:val="00034616"/>
    <w:rsid w:val="0006063C"/>
    <w:rsid w:val="0015074B"/>
    <w:rsid w:val="001D4E5D"/>
    <w:rsid w:val="0029639D"/>
    <w:rsid w:val="00326F90"/>
    <w:rsid w:val="003F0122"/>
    <w:rsid w:val="004F67E0"/>
    <w:rsid w:val="00894D05"/>
    <w:rsid w:val="00A60249"/>
    <w:rsid w:val="00AA1D8D"/>
    <w:rsid w:val="00B47730"/>
    <w:rsid w:val="00BE76CB"/>
    <w:rsid w:val="00CB0664"/>
    <w:rsid w:val="00D02BB8"/>
    <w:rsid w:val="00E026F0"/>
    <w:rsid w:val="00FC693F"/>
    <w:rsid w:val="00FE3E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BEA97"/>
  <w14:defaultImageDpi w14:val="300"/>
  <w15:docId w15:val="{EA4FDADD-B71E-4FEB-9360-8B0EF66B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1072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ferdinand</cp:lastModifiedBy>
  <cp:revision>9</cp:revision>
  <dcterms:created xsi:type="dcterms:W3CDTF">2013-12-23T23:15:00Z</dcterms:created>
  <dcterms:modified xsi:type="dcterms:W3CDTF">2026-04-17T10:18:00Z</dcterms:modified>
  <cp:category/>
</cp:coreProperties>
</file>