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PROOF OF CONCEPT DOCUMENT</w:t>
      </w:r>
    </w:p>
    <w:p>
      <w:pPr>
        <w:spacing w:after="300"/>
      </w:pPr>
      <w:r>
        <w:rPr>
          <w:b/>
          <w:bCs/>
          <w:color w:val="2E74B5"/>
          <w:sz w:val="26"/>
          <w:szCs w:val="26"/>
        </w:rPr>
        <w:t xml:space="preserve">Forex Trading Performance – Exploratory Data Analysis (EDA)</w:t>
      </w:r>
    </w:p>
    <w:p>
      <w:pPr>
        <w:spacing w:after="40"/>
      </w:pPr>
      <w:r>
        <w:rPr>
          <w:i/>
          <w:iCs/>
          <w:color w:val="666666"/>
          <w:sz w:val="20"/>
          <w:szCs w:val="20"/>
        </w:rPr>
        <w:t xml:space="preserve">Source file: forex_trading_data.xlsx   |   Notebook: eda_analysys_trade.ipynb</w:t>
      </w:r>
    </w:p>
    <w:p>
      <w:pPr>
        <w:pBdr>
          <w:bottom w:val="single" w:color="CCCCCC" w:sz="6" w:space="4"/>
        </w:pBdr>
        <w:spacing w:after="400"/>
      </w:pPr>
      <w:r>
        <w:rPr>
          <w:i/>
          <w:iCs/>
          <w:color w:val="666666"/>
          <w:sz w:val="20"/>
          <w:szCs w:val="20"/>
        </w:rPr>
        <w:t xml:space="preserve">Prepared as a walkthrough of the analysis methodology, steps performed, and key outputs.</w:t>
      </w:r>
    </w:p>
    <w:p>
      <w:pPr>
        <w:pStyle w:val="Heading1"/>
        <w:pBdr>
          <w:bottom w:val="single" w:color="2E74B5" w:sz="8" w:space="4"/>
        </w:pBdr>
        <w:spacing w:after="160" w:before="360"/>
      </w:pPr>
      <w:r>
        <w:rPr>
          <w:b/>
          <w:bCs/>
          <w:color w:val="1F3864"/>
          <w:sz w:val="30"/>
          <w:szCs w:val="30"/>
        </w:rPr>
        <w:t xml:space="preserve">1. Objective</w:t>
      </w:r>
    </w:p>
    <w:p>
      <w:pPr>
        <w:spacing w:after="160" w:line="300"/>
      </w:pPr>
      <w:r>
        <w:rPr>
          <w:color w:val="444444"/>
          <w:sz w:val="22"/>
          <w:szCs w:val="22"/>
        </w:rPr>
        <w:t xml:space="preserve">The purpose of this task was to perform an Exploratory Data Analysis (EDA) on historical forex trading data in order to understand trading performance, identify profitable and unprofitable patterns, and surface actionable insights such as the best-performing times, days, symbols, and trade durations.</w:t>
      </w:r>
    </w:p>
    <w:p>
      <w:pPr>
        <w:spacing w:after="160" w:line="300"/>
      </w:pPr>
      <w:r>
        <w:rPr>
          <w:color w:val="444444"/>
          <w:sz w:val="22"/>
          <w:szCs w:val="22"/>
        </w:rPr>
        <w:t xml:space="preserve">The analysis was carried out in a Jupyter Notebook using Python, primarily leveraging pandas for data processing and matplotlib / seaborn for visualization.</w:t>
      </w:r>
    </w:p>
    <w:p>
      <w:pPr>
        <w:pStyle w:val="Heading1"/>
        <w:pBdr>
          <w:bottom w:val="single" w:color="2E74B5" w:sz="8" w:space="4"/>
        </w:pBdr>
        <w:spacing w:after="160" w:before="360"/>
      </w:pPr>
      <w:r>
        <w:rPr>
          <w:b/>
          <w:bCs/>
          <w:color w:val="1F3864"/>
          <w:sz w:val="30"/>
          <w:szCs w:val="30"/>
        </w:rPr>
        <w:t xml:space="preserve">2. Tools &amp; Libraries Used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Library</w:t>
            </w:r>
          </w:p>
        </w:tc>
        <w:tc>
          <w:tcPr>
            <w:tcW w:type="dxa" w:w="6740"/>
            <w:shd w:fill="1F3864" w:val="clear"/>
            <w:tcMar>
              <w:top w:type="dxa" w:w="100"/>
              <w:left w:type="dxa" w:w="120"/>
              <w:bottom w:type="dxa" w:w="100"/>
              <w:right w:type="dxa" w:w="120"/>
            </w:tcMar>
          </w:tcPr>
          <w:p>
            <w:r>
              <w:rPr>
                <w:b/>
                <w:bCs/>
                <w:color w:val="FFFFFF"/>
                <w:sz w:val="20"/>
                <w:szCs w:val="20"/>
              </w:rPr>
              <w:t xml:space="preserve">Purpose</w:t>
            </w:r>
          </w:p>
        </w:tc>
      </w:tr>
      <w:tr>
        <w:tc>
          <w:tcPr>
            <w:tcW w:type="dxa" w:w="3000"/>
            <w:tcMar>
              <w:top w:type="dxa" w:w="100"/>
              <w:left w:type="dxa" w:w="120"/>
              <w:bottom w:type="dxa" w:w="100"/>
              <w:right w:type="dxa" w:w="120"/>
            </w:tcMar>
          </w:tcPr>
          <w:p>
            <w:r>
              <w:rPr>
                <w:b w:val="false"/>
                <w:bCs w:val="false"/>
                <w:color w:val="444444"/>
                <w:sz w:val="20"/>
                <w:szCs w:val="20"/>
              </w:rPr>
              <w:t xml:space="preserve">pandas</w:t>
            </w:r>
          </w:p>
        </w:tc>
        <w:tc>
          <w:tcPr>
            <w:tcW w:type="dxa" w:w="6740"/>
            <w:tcMar>
              <w:top w:type="dxa" w:w="100"/>
              <w:left w:type="dxa" w:w="120"/>
              <w:bottom w:type="dxa" w:w="100"/>
              <w:right w:type="dxa" w:w="120"/>
            </w:tcMar>
          </w:tcPr>
          <w:p>
            <w:r>
              <w:rPr>
                <w:b w:val="false"/>
                <w:bCs w:val="false"/>
                <w:color w:val="444444"/>
                <w:sz w:val="20"/>
                <w:szCs w:val="20"/>
              </w:rPr>
              <w:t xml:space="preserve">Reading the Excel file, data cleaning, transformation, and aggregation</w:t>
            </w:r>
          </w:p>
        </w:tc>
      </w:tr>
      <w:tr>
        <w:tc>
          <w:tcPr>
            <w:tcW w:type="dxa" w:w="3000"/>
            <w:tcMar>
              <w:top w:type="dxa" w:w="100"/>
              <w:left w:type="dxa" w:w="120"/>
              <w:bottom w:type="dxa" w:w="100"/>
              <w:right w:type="dxa" w:w="120"/>
            </w:tcMar>
          </w:tcPr>
          <w:p>
            <w:r>
              <w:rPr>
                <w:b w:val="false"/>
                <w:bCs w:val="false"/>
                <w:color w:val="444444"/>
                <w:sz w:val="20"/>
                <w:szCs w:val="20"/>
              </w:rPr>
              <w:t xml:space="preserve">numpy</w:t>
            </w:r>
          </w:p>
        </w:tc>
        <w:tc>
          <w:tcPr>
            <w:tcW w:type="dxa" w:w="6740"/>
            <w:tcMar>
              <w:top w:type="dxa" w:w="100"/>
              <w:left w:type="dxa" w:w="120"/>
              <w:bottom w:type="dxa" w:w="100"/>
              <w:right w:type="dxa" w:w="120"/>
            </w:tcMar>
          </w:tcPr>
          <w:p>
            <w:r>
              <w:rPr>
                <w:b w:val="false"/>
                <w:bCs w:val="false"/>
                <w:color w:val="444444"/>
                <w:sz w:val="20"/>
                <w:szCs w:val="20"/>
              </w:rPr>
              <w:t xml:space="preserve">Numeric operations and conditional logic (e.g. win/loss classification)</w:t>
            </w:r>
          </w:p>
        </w:tc>
      </w:tr>
      <w:tr>
        <w:tc>
          <w:tcPr>
            <w:tcW w:type="dxa" w:w="3000"/>
            <w:tcMar>
              <w:top w:type="dxa" w:w="100"/>
              <w:left w:type="dxa" w:w="120"/>
              <w:bottom w:type="dxa" w:w="100"/>
              <w:right w:type="dxa" w:w="120"/>
            </w:tcMar>
          </w:tcPr>
          <w:p>
            <w:r>
              <w:rPr>
                <w:b w:val="false"/>
                <w:bCs w:val="false"/>
                <w:color w:val="444444"/>
                <w:sz w:val="20"/>
                <w:szCs w:val="20"/>
              </w:rPr>
              <w:t xml:space="preserve">matplotlib</w:t>
            </w:r>
          </w:p>
        </w:tc>
        <w:tc>
          <w:tcPr>
            <w:tcW w:type="dxa" w:w="6740"/>
            <w:tcMar>
              <w:top w:type="dxa" w:w="100"/>
              <w:left w:type="dxa" w:w="120"/>
              <w:bottom w:type="dxa" w:w="100"/>
              <w:right w:type="dxa" w:w="120"/>
            </w:tcMar>
          </w:tcPr>
          <w:p>
            <w:r>
              <w:rPr>
                <w:b w:val="false"/>
                <w:bCs w:val="false"/>
                <w:color w:val="444444"/>
                <w:sz w:val="20"/>
                <w:szCs w:val="20"/>
              </w:rPr>
              <w:t xml:space="preserve">Core plotting (line charts, bar charts, pie charts)</w:t>
            </w:r>
          </w:p>
        </w:tc>
      </w:tr>
      <w:tr>
        <w:tc>
          <w:tcPr>
            <w:tcW w:type="dxa" w:w="3000"/>
            <w:tcMar>
              <w:top w:type="dxa" w:w="100"/>
              <w:left w:type="dxa" w:w="120"/>
              <w:bottom w:type="dxa" w:w="100"/>
              <w:right w:type="dxa" w:w="120"/>
            </w:tcMar>
          </w:tcPr>
          <w:p>
            <w:r>
              <w:rPr>
                <w:b w:val="false"/>
                <w:bCs w:val="false"/>
                <w:color w:val="444444"/>
                <w:sz w:val="20"/>
                <w:szCs w:val="20"/>
              </w:rPr>
              <w:t xml:space="preserve">seaborn</w:t>
            </w:r>
          </w:p>
        </w:tc>
        <w:tc>
          <w:tcPr>
            <w:tcW w:type="dxa" w:w="6740"/>
            <w:tcMar>
              <w:top w:type="dxa" w:w="100"/>
              <w:left w:type="dxa" w:w="120"/>
              <w:bottom w:type="dxa" w:w="100"/>
              <w:right w:type="dxa" w:w="120"/>
            </w:tcMar>
          </w:tcPr>
          <w:p>
            <w:r>
              <w:rPr>
                <w:b w:val="false"/>
                <w:bCs w:val="false"/>
                <w:color w:val="444444"/>
                <w:sz w:val="20"/>
                <w:szCs w:val="20"/>
              </w:rPr>
              <w:t xml:space="preserve">Statistical visualizations (bar plots, box plots, count plots)</w:t>
            </w:r>
          </w:p>
        </w:tc>
      </w:tr>
    </w:tbl>
    <w:p>
      <w:pPr>
        <w:pStyle w:val="Heading1"/>
        <w:pBdr>
          <w:bottom w:val="single" w:color="2E74B5" w:sz="8" w:space="4"/>
        </w:pBdr>
        <w:spacing w:after="160" w:before="360"/>
      </w:pPr>
      <w:r>
        <w:rPr>
          <w:b/>
          <w:bCs/>
          <w:color w:val="1F3864"/>
          <w:sz w:val="30"/>
          <w:szCs w:val="30"/>
        </w:rPr>
        <w:t xml:space="preserve">3. Workflow Overview</w:t>
      </w:r>
    </w:p>
    <w:p>
      <w:pPr>
        <w:spacing w:after="160" w:line="300"/>
      </w:pPr>
      <w:r>
        <w:rPr>
          <w:color w:val="444444"/>
          <w:sz w:val="22"/>
          <w:szCs w:val="22"/>
        </w:rPr>
        <w:t xml:space="preserve">The notebook follows a standard EDA pipeline, structured into the following stages:</w:t>
      </w:r>
    </w:p>
    <w:p>
      <w:pPr>
        <w:pStyle w:val="ListParagraph"/>
        <w:numPr>
          <w:ilvl w:val="0"/>
          <w:numId w:val="2"/>
        </w:numPr>
        <w:spacing w:after="100" w:line="280"/>
      </w:pPr>
      <w:r>
        <w:rPr>
          <w:color w:val="444444"/>
          <w:sz w:val="22"/>
          <w:szCs w:val="22"/>
        </w:rPr>
        <w:t xml:space="preserve">Data Loading</w:t>
      </w:r>
    </w:p>
    <w:p>
      <w:pPr>
        <w:pStyle w:val="ListParagraph"/>
        <w:numPr>
          <w:ilvl w:val="0"/>
          <w:numId w:val="2"/>
        </w:numPr>
        <w:spacing w:after="100" w:line="280"/>
      </w:pPr>
      <w:r>
        <w:rPr>
          <w:color w:val="444444"/>
          <w:sz w:val="22"/>
          <w:szCs w:val="22"/>
        </w:rPr>
        <w:t xml:space="preserve">Data Inspection</w:t>
      </w:r>
    </w:p>
    <w:p>
      <w:pPr>
        <w:pStyle w:val="ListParagraph"/>
        <w:numPr>
          <w:ilvl w:val="0"/>
          <w:numId w:val="2"/>
        </w:numPr>
        <w:spacing w:after="100" w:line="280"/>
      </w:pPr>
      <w:r>
        <w:rPr>
          <w:color w:val="444444"/>
          <w:sz w:val="22"/>
          <w:szCs w:val="22"/>
        </w:rPr>
        <w:t xml:space="preserve">Data Cleaning &amp; Type Conversion</w:t>
      </w:r>
    </w:p>
    <w:p>
      <w:pPr>
        <w:pStyle w:val="ListParagraph"/>
        <w:numPr>
          <w:ilvl w:val="0"/>
          <w:numId w:val="2"/>
        </w:numPr>
        <w:spacing w:after="100" w:line="280"/>
      </w:pPr>
      <w:r>
        <w:rPr>
          <w:color w:val="444444"/>
          <w:sz w:val="22"/>
          <w:szCs w:val="22"/>
        </w:rPr>
        <w:t xml:space="preserve">Feature Engineering</w:t>
      </w:r>
    </w:p>
    <w:p>
      <w:pPr>
        <w:pStyle w:val="ListParagraph"/>
        <w:numPr>
          <w:ilvl w:val="0"/>
          <w:numId w:val="2"/>
        </w:numPr>
        <w:spacing w:after="100" w:line="280"/>
      </w:pPr>
      <w:r>
        <w:rPr>
          <w:color w:val="444444"/>
          <w:sz w:val="22"/>
          <w:szCs w:val="22"/>
        </w:rPr>
        <w:t xml:space="preserve">Trading Performance Summary</w:t>
      </w:r>
    </w:p>
    <w:p>
      <w:pPr>
        <w:pStyle w:val="ListParagraph"/>
        <w:numPr>
          <w:ilvl w:val="0"/>
          <w:numId w:val="2"/>
        </w:numPr>
        <w:spacing w:after="100" w:line="280"/>
      </w:pPr>
      <w:r>
        <w:rPr>
          <w:color w:val="444444"/>
          <w:sz w:val="22"/>
          <w:szCs w:val="22"/>
        </w:rPr>
        <w:t xml:space="preserve">Visual Analysis (Equity Curve, Symbol Profitability, Win/Loss Ratio)</w:t>
      </w:r>
    </w:p>
    <w:p>
      <w:pPr>
        <w:pStyle w:val="ListParagraph"/>
        <w:numPr>
          <w:ilvl w:val="0"/>
          <w:numId w:val="2"/>
        </w:numPr>
        <w:spacing w:after="100" w:line="280"/>
      </w:pPr>
      <w:r>
        <w:rPr>
          <w:color w:val="444444"/>
          <w:sz w:val="22"/>
          <w:szCs w:val="22"/>
        </w:rPr>
        <w:t xml:space="preserve">Time-Based Behavioral Analysis (Hour, Day, Duration, Month)</w:t>
      </w:r>
    </w:p>
    <w:p>
      <w:pPr>
        <w:pStyle w:val="ListParagraph"/>
        <w:numPr>
          <w:ilvl w:val="0"/>
          <w:numId w:val="2"/>
        </w:numPr>
        <w:spacing w:after="100" w:line="280"/>
      </w:pPr>
      <w:r>
        <w:rPr>
          <w:color w:val="444444"/>
          <w:sz w:val="22"/>
          <w:szCs w:val="22"/>
        </w:rPr>
        <w:t xml:space="preserve">Key Insight Extraction</w:t>
      </w:r>
    </w:p>
    <w:p>
      <w:pPr>
        <w:pStyle w:val="Heading1"/>
        <w:pBdr>
          <w:bottom w:val="single" w:color="2E74B5" w:sz="8" w:space="4"/>
        </w:pBdr>
        <w:spacing w:after="160" w:before="360"/>
      </w:pPr>
      <w:r>
        <w:rPr>
          <w:b/>
          <w:bCs/>
          <w:color w:val="1F3864"/>
          <w:sz w:val="30"/>
          <w:szCs w:val="30"/>
        </w:rPr>
        <w:t xml:space="preserve">4. Detailed Steps Performed</w:t>
      </w:r>
    </w:p>
    <w:p>
      <w:pPr>
        <w:pStyle w:val="Heading2"/>
        <w:spacing w:after="120" w:before="260"/>
      </w:pPr>
      <w:r>
        <w:rPr>
          <w:b/>
          <w:bCs/>
          <w:color w:val="2E74B5"/>
          <w:sz w:val="24"/>
          <w:szCs w:val="24"/>
        </w:rPr>
        <w:t xml:space="preserve">4.1 Data Loading</w:t>
      </w:r>
    </w:p>
    <w:p>
      <w:pPr>
        <w:spacing w:after="160" w:line="300"/>
      </w:pPr>
      <w:r>
        <w:rPr>
          <w:color w:val="444444"/>
          <w:sz w:val="22"/>
          <w:szCs w:val="22"/>
        </w:rPr>
        <w:t xml:space="preserve">The trading history was loaded from an Excel file into a pandas DataFrame:</w:t>
      </w:r>
    </w:p>
    <w:p>
      <w:pPr>
        <w:shd w:fill="F2F2F2" w:val="clear"/>
        <w:spacing w:after="40"/>
      </w:pPr>
      <w:r>
        <w:rPr>
          <w:rFonts w:ascii="Consolas" w:cs="Consolas" w:eastAsia="Consolas" w:hAnsi="Consolas"/>
          <w:color w:val="333333"/>
          <w:sz w:val="19"/>
          <w:szCs w:val="19"/>
        </w:rPr>
        <w:t xml:space="preserve">file_name = "forex_trading_data.xlsx"</w:t>
      </w:r>
    </w:p>
    <w:p>
      <w:pPr>
        <w:shd w:fill="F2F2F2" w:val="clear"/>
        <w:spacing w:after="40"/>
      </w:pPr>
      <w:r>
        <w:rPr>
          <w:rFonts w:ascii="Consolas" w:cs="Consolas" w:eastAsia="Consolas" w:hAnsi="Consolas"/>
          <w:color w:val="333333"/>
          <w:sz w:val="19"/>
          <w:szCs w:val="19"/>
        </w:rPr>
        <w:t xml:space="preserve">df = pd.read_excel(file_name)</w:t>
      </w:r>
    </w:p>
    <w:p>
      <w:pPr>
        <w:pStyle w:val="Heading2"/>
        <w:spacing w:after="120" w:before="260"/>
      </w:pPr>
      <w:r>
        <w:rPr>
          <w:b/>
          <w:bCs/>
          <w:color w:val="2E74B5"/>
          <w:sz w:val="24"/>
          <w:szCs w:val="24"/>
        </w:rPr>
        <w:t xml:space="preserve">4.2 Data Inspection</w:t>
      </w:r>
    </w:p>
    <w:p>
      <w:pPr>
        <w:spacing w:after="160" w:line="300"/>
      </w:pPr>
      <w:r>
        <w:rPr>
          <w:color w:val="444444"/>
          <w:sz w:val="22"/>
          <w:szCs w:val="22"/>
        </w:rPr>
        <w:t xml:space="preserve">Before cleaning, the dataset structure and a preview of the records were checked using df.info() and df.head() to understand column types, null values, and overall shape of the data.</w:t>
      </w:r>
    </w:p>
    <w:p>
      <w:pPr>
        <w:pStyle w:val="Heading2"/>
        <w:spacing w:after="120" w:before="260"/>
      </w:pPr>
      <w:r>
        <w:rPr>
          <w:b/>
          <w:bCs/>
          <w:color w:val="2E74B5"/>
          <w:sz w:val="24"/>
          <w:szCs w:val="24"/>
        </w:rPr>
        <w:t xml:space="preserve">4.3 Data Cleaning &amp; Type Conversion</w:t>
      </w:r>
    </w:p>
    <w:p>
      <w:pPr>
        <w:spacing w:after="160" w:line="300"/>
      </w:pPr>
      <w:r>
        <w:rPr>
          <w:color w:val="444444"/>
          <w:sz w:val="22"/>
          <w:szCs w:val="22"/>
        </w:rPr>
        <w:t xml:space="preserve">Several raw columns required cleaning before they could be used for numeric analysis:</w:t>
      </w:r>
    </w:p>
    <w:p>
      <w:pPr>
        <w:pStyle w:val="ListParagraph"/>
        <w:numPr>
          <w:ilvl w:val="0"/>
          <w:numId w:val="3"/>
        </w:numPr>
        <w:spacing w:after="80" w:line="280"/>
      </w:pPr>
      <w:r>
        <w:rPr>
          <w:color w:val="444444"/>
          <w:sz w:val="22"/>
          <w:szCs w:val="22"/>
        </w:rPr>
        <w:t xml:space="preserve">Price, Price.1, and Profit columns contained stray whitespace/formatting and were converted to clean float values.</w:t>
      </w:r>
    </w:p>
    <w:p>
      <w:pPr>
        <w:pStyle w:val="ListParagraph"/>
        <w:numPr>
          <w:ilvl w:val="0"/>
          <w:numId w:val="3"/>
        </w:numPr>
        <w:spacing w:after="80" w:line="280"/>
      </w:pPr>
      <w:r>
        <w:rPr>
          <w:color w:val="444444"/>
          <w:sz w:val="22"/>
          <w:szCs w:val="22"/>
        </w:rPr>
        <w:t xml:space="preserve">Open Time and Close Time text fields were parsed into proper datetime objects using the format "%Y.%m.%d %H:%M".</w:t>
      </w:r>
    </w:p>
    <w:p>
      <w:pPr>
        <w:pStyle w:val="ListParagraph"/>
        <w:numPr>
          <w:ilvl w:val="0"/>
          <w:numId w:val="3"/>
        </w:numPr>
        <w:spacing w:after="80" w:line="280"/>
      </w:pPr>
      <w:r>
        <w:rPr>
          <w:color w:val="444444"/>
          <w:sz w:val="22"/>
          <w:szCs w:val="22"/>
        </w:rPr>
        <w:t xml:space="preserve">Missing values in Commission and Swap were filled with 0, assuming no fee was charged when not recorded.</w:t>
      </w:r>
    </w:p>
    <w:p>
      <w:pPr>
        <w:pStyle w:val="ListParagraph"/>
        <w:numPr>
          <w:ilvl w:val="0"/>
          <w:numId w:val="3"/>
        </w:numPr>
        <w:spacing w:after="80" w:line="280"/>
      </w:pPr>
      <w:r>
        <w:rPr>
          <w:color w:val="444444"/>
          <w:sz w:val="22"/>
          <w:szCs w:val="22"/>
        </w:rPr>
        <w:t xml:space="preserve">Rows with a missing Symbol (i.e. non-trade rows such as summary lines) were dropped.</w:t>
      </w:r>
    </w:p>
    <w:p>
      <w:pPr>
        <w:shd w:fill="F2F2F2" w:val="clear"/>
        <w:spacing w:after="40"/>
      </w:pPr>
      <w:r>
        <w:rPr>
          <w:rFonts w:ascii="Consolas" w:cs="Consolas" w:eastAsia="Consolas" w:hAnsi="Consolas"/>
          <w:color w:val="333333"/>
          <w:sz w:val="19"/>
          <w:szCs w:val="19"/>
        </w:rPr>
        <w:t xml:space="preserve">df['Commission'] = df['Commission'].fillna(0)</w:t>
      </w:r>
    </w:p>
    <w:p>
      <w:pPr>
        <w:shd w:fill="F2F2F2" w:val="clear"/>
        <w:spacing w:after="40"/>
      </w:pPr>
      <w:r>
        <w:rPr>
          <w:rFonts w:ascii="Consolas" w:cs="Consolas" w:eastAsia="Consolas" w:hAnsi="Consolas"/>
          <w:color w:val="333333"/>
          <w:sz w:val="19"/>
          <w:szCs w:val="19"/>
        </w:rPr>
        <w:t xml:space="preserve">df['Swap'] = df['Swap'].fillna(0)</w:t>
      </w:r>
    </w:p>
    <w:p>
      <w:pPr>
        <w:shd w:fill="F2F2F2" w:val="clear"/>
        <w:spacing w:after="40"/>
      </w:pPr>
      <w:r>
        <w:rPr>
          <w:rFonts w:ascii="Consolas" w:cs="Consolas" w:eastAsia="Consolas" w:hAnsi="Consolas"/>
          <w:color w:val="333333"/>
          <w:sz w:val="19"/>
          <w:szCs w:val="19"/>
        </w:rPr>
        <w:t xml:space="preserve">df = df.dropna(subset=['Symbol'])</w:t>
      </w:r>
    </w:p>
    <w:p>
      <w:pPr>
        <w:pStyle w:val="Heading2"/>
        <w:spacing w:after="120" w:before="260"/>
      </w:pPr>
      <w:r>
        <w:rPr>
          <w:b/>
          <w:bCs/>
          <w:color w:val="2E74B5"/>
          <w:sz w:val="24"/>
          <w:szCs w:val="24"/>
        </w:rPr>
        <w:t xml:space="preserve">4.4 Feature Engineering</w:t>
      </w:r>
    </w:p>
    <w:p>
      <w:pPr>
        <w:spacing w:after="160" w:line="300"/>
      </w:pPr>
      <w:r>
        <w:rPr>
          <w:color w:val="444444"/>
          <w:sz w:val="22"/>
          <w:szCs w:val="22"/>
        </w:rPr>
        <w:t xml:space="preserve">New columns were derived to support deeper analysis: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New Column</w:t>
            </w:r>
          </w:p>
        </w:tc>
        <w:tc>
          <w:tcPr>
            <w:tcW w:type="dxa" w:w="6740"/>
            <w:shd w:fill="1F3864" w:val="clear"/>
            <w:tcMar>
              <w:top w:type="dxa" w:w="100"/>
              <w:left w:type="dxa" w:w="120"/>
              <w:bottom w:type="dxa" w:w="100"/>
              <w:right w:type="dxa" w:w="120"/>
            </w:tcMar>
          </w:tcPr>
          <w:p>
            <w:r>
              <w:rPr>
                <w:b/>
                <w:bCs/>
                <w:color w:val="FFFFFF"/>
                <w:sz w:val="20"/>
                <w:szCs w:val="20"/>
              </w:rPr>
              <w:t xml:space="preserve">Definition</w:t>
            </w:r>
          </w:p>
        </w:tc>
      </w:tr>
      <w:tr>
        <w:tc>
          <w:tcPr>
            <w:tcW w:type="dxa" w:w="3000"/>
            <w:tcMar>
              <w:top w:type="dxa" w:w="100"/>
              <w:left w:type="dxa" w:w="120"/>
              <w:bottom w:type="dxa" w:w="100"/>
              <w:right w:type="dxa" w:w="120"/>
            </w:tcMar>
          </w:tcPr>
          <w:p>
            <w:r>
              <w:rPr>
                <w:b w:val="false"/>
                <w:bCs w:val="false"/>
                <w:color w:val="444444"/>
                <w:sz w:val="20"/>
                <w:szCs w:val="20"/>
              </w:rPr>
              <w:t xml:space="preserve">Net Profit</w:t>
            </w:r>
          </w:p>
        </w:tc>
        <w:tc>
          <w:tcPr>
            <w:tcW w:type="dxa" w:w="6740"/>
            <w:tcMar>
              <w:top w:type="dxa" w:w="100"/>
              <w:left w:type="dxa" w:w="120"/>
              <w:bottom w:type="dxa" w:w="100"/>
              <w:right w:type="dxa" w:w="120"/>
            </w:tcMar>
          </w:tcPr>
          <w:p>
            <w:r>
              <w:rPr>
                <w:b w:val="false"/>
                <w:bCs w:val="false"/>
                <w:color w:val="444444"/>
                <w:sz w:val="20"/>
                <w:szCs w:val="20"/>
              </w:rPr>
              <w:t xml:space="preserve">Profit + Commission + Swap (true profit after fees)</w:t>
            </w:r>
          </w:p>
        </w:tc>
      </w:tr>
      <w:tr>
        <w:tc>
          <w:tcPr>
            <w:tcW w:type="dxa" w:w="3000"/>
            <w:tcMar>
              <w:top w:type="dxa" w:w="100"/>
              <w:left w:type="dxa" w:w="120"/>
              <w:bottom w:type="dxa" w:w="100"/>
              <w:right w:type="dxa" w:w="120"/>
            </w:tcMar>
          </w:tcPr>
          <w:p>
            <w:r>
              <w:rPr>
                <w:b w:val="false"/>
                <w:bCs w:val="false"/>
                <w:color w:val="444444"/>
                <w:sz w:val="20"/>
                <w:szCs w:val="20"/>
              </w:rPr>
              <w:t xml:space="preserve">Outcome</w:t>
            </w:r>
          </w:p>
        </w:tc>
        <w:tc>
          <w:tcPr>
            <w:tcW w:type="dxa" w:w="6740"/>
            <w:tcMar>
              <w:top w:type="dxa" w:w="100"/>
              <w:left w:type="dxa" w:w="120"/>
              <w:bottom w:type="dxa" w:w="100"/>
              <w:right w:type="dxa" w:w="120"/>
            </w:tcMar>
          </w:tcPr>
          <w:p>
            <w:r>
              <w:rPr>
                <w:b w:val="false"/>
                <w:bCs w:val="false"/>
                <w:color w:val="444444"/>
                <w:sz w:val="20"/>
                <w:szCs w:val="20"/>
              </w:rPr>
              <w:t xml:space="preserve">"Win" if Net Profit &gt; 0, else "Loss"</w:t>
            </w:r>
          </w:p>
        </w:tc>
      </w:tr>
      <w:tr>
        <w:tc>
          <w:tcPr>
            <w:tcW w:type="dxa" w:w="3000"/>
            <w:tcMar>
              <w:top w:type="dxa" w:w="100"/>
              <w:left w:type="dxa" w:w="120"/>
              <w:bottom w:type="dxa" w:w="100"/>
              <w:right w:type="dxa" w:w="120"/>
            </w:tcMar>
          </w:tcPr>
          <w:p>
            <w:r>
              <w:rPr>
                <w:b w:val="false"/>
                <w:bCs w:val="false"/>
                <w:color w:val="444444"/>
                <w:sz w:val="20"/>
                <w:szCs w:val="20"/>
              </w:rPr>
              <w:t xml:space="preserve">Cumulative Profit</w:t>
            </w:r>
          </w:p>
        </w:tc>
        <w:tc>
          <w:tcPr>
            <w:tcW w:type="dxa" w:w="6740"/>
            <w:tcMar>
              <w:top w:type="dxa" w:w="100"/>
              <w:left w:type="dxa" w:w="120"/>
              <w:bottom w:type="dxa" w:w="100"/>
              <w:right w:type="dxa" w:w="120"/>
            </w:tcMar>
          </w:tcPr>
          <w:p>
            <w:r>
              <w:rPr>
                <w:b w:val="false"/>
                <w:bCs w:val="false"/>
                <w:color w:val="444444"/>
                <w:sz w:val="20"/>
                <w:szCs w:val="20"/>
              </w:rPr>
              <w:t xml:space="preserve">Running total of Net Profit over time (equity curve)</w:t>
            </w:r>
          </w:p>
        </w:tc>
      </w:tr>
      <w:tr>
        <w:tc>
          <w:tcPr>
            <w:tcW w:type="dxa" w:w="3000"/>
            <w:tcMar>
              <w:top w:type="dxa" w:w="100"/>
              <w:left w:type="dxa" w:w="120"/>
              <w:bottom w:type="dxa" w:w="100"/>
              <w:right w:type="dxa" w:w="120"/>
            </w:tcMar>
          </w:tcPr>
          <w:p>
            <w:r>
              <w:rPr>
                <w:b w:val="false"/>
                <w:bCs w:val="false"/>
                <w:color w:val="444444"/>
                <w:sz w:val="20"/>
                <w:szCs w:val="20"/>
              </w:rPr>
              <w:t xml:space="preserve">Open Hour</w:t>
            </w:r>
          </w:p>
        </w:tc>
        <w:tc>
          <w:tcPr>
            <w:tcW w:type="dxa" w:w="6740"/>
            <w:tcMar>
              <w:top w:type="dxa" w:w="100"/>
              <w:left w:type="dxa" w:w="120"/>
              <w:bottom w:type="dxa" w:w="100"/>
              <w:right w:type="dxa" w:w="120"/>
            </w:tcMar>
          </w:tcPr>
          <w:p>
            <w:r>
              <w:rPr>
                <w:b w:val="false"/>
                <w:bCs w:val="false"/>
                <w:color w:val="444444"/>
                <w:sz w:val="20"/>
                <w:szCs w:val="20"/>
              </w:rPr>
              <w:t xml:space="preserve">Hour of day the trade was opened (0–23)</w:t>
            </w:r>
          </w:p>
        </w:tc>
      </w:tr>
      <w:tr>
        <w:tc>
          <w:tcPr>
            <w:tcW w:type="dxa" w:w="3000"/>
            <w:tcMar>
              <w:top w:type="dxa" w:w="100"/>
              <w:left w:type="dxa" w:w="120"/>
              <w:bottom w:type="dxa" w:w="100"/>
              <w:right w:type="dxa" w:w="120"/>
            </w:tcMar>
          </w:tcPr>
          <w:p>
            <w:r>
              <w:rPr>
                <w:b w:val="false"/>
                <w:bCs w:val="false"/>
                <w:color w:val="444444"/>
                <w:sz w:val="20"/>
                <w:szCs w:val="20"/>
              </w:rPr>
              <w:t xml:space="preserve">Day of Week</w:t>
            </w:r>
          </w:p>
        </w:tc>
        <w:tc>
          <w:tcPr>
            <w:tcW w:type="dxa" w:w="6740"/>
            <w:tcMar>
              <w:top w:type="dxa" w:w="100"/>
              <w:left w:type="dxa" w:w="120"/>
              <w:bottom w:type="dxa" w:w="100"/>
              <w:right w:type="dxa" w:w="120"/>
            </w:tcMar>
          </w:tcPr>
          <w:p>
            <w:r>
              <w:rPr>
                <w:b w:val="false"/>
                <w:bCs w:val="false"/>
                <w:color w:val="444444"/>
                <w:sz w:val="20"/>
                <w:szCs w:val="20"/>
              </w:rPr>
              <w:t xml:space="preserve">Name of the day the trade was opened</w:t>
            </w:r>
          </w:p>
        </w:tc>
      </w:tr>
      <w:tr>
        <w:tc>
          <w:tcPr>
            <w:tcW w:type="dxa" w:w="3000"/>
            <w:tcMar>
              <w:top w:type="dxa" w:w="100"/>
              <w:left w:type="dxa" w:w="120"/>
              <w:bottom w:type="dxa" w:w="100"/>
              <w:right w:type="dxa" w:w="120"/>
            </w:tcMar>
          </w:tcPr>
          <w:p>
            <w:r>
              <w:rPr>
                <w:b w:val="false"/>
                <w:bCs w:val="false"/>
                <w:color w:val="444444"/>
                <w:sz w:val="20"/>
                <w:szCs w:val="20"/>
              </w:rPr>
              <w:t xml:space="preserve">Trade Duration (min)</w:t>
            </w:r>
          </w:p>
        </w:tc>
        <w:tc>
          <w:tcPr>
            <w:tcW w:type="dxa" w:w="6740"/>
            <w:tcMar>
              <w:top w:type="dxa" w:w="100"/>
              <w:left w:type="dxa" w:w="120"/>
              <w:bottom w:type="dxa" w:w="100"/>
              <w:right w:type="dxa" w:w="120"/>
            </w:tcMar>
          </w:tcPr>
          <w:p>
            <w:r>
              <w:rPr>
                <w:b w:val="false"/>
                <w:bCs w:val="false"/>
                <w:color w:val="444444"/>
                <w:sz w:val="20"/>
                <w:szCs w:val="20"/>
              </w:rPr>
              <w:t xml:space="preserve">Close Time minus Open Time, in minutes</w:t>
            </w:r>
          </w:p>
        </w:tc>
      </w:tr>
      <w:tr>
        <w:tc>
          <w:tcPr>
            <w:tcW w:type="dxa" w:w="3000"/>
            <w:tcMar>
              <w:top w:type="dxa" w:w="100"/>
              <w:left w:type="dxa" w:w="120"/>
              <w:bottom w:type="dxa" w:w="100"/>
              <w:right w:type="dxa" w:w="120"/>
            </w:tcMar>
          </w:tcPr>
          <w:p>
            <w:r>
              <w:rPr>
                <w:b w:val="false"/>
                <w:bCs w:val="false"/>
                <w:color w:val="444444"/>
                <w:sz w:val="20"/>
                <w:szCs w:val="20"/>
              </w:rPr>
              <w:t xml:space="preserve">Month</w:t>
            </w:r>
          </w:p>
        </w:tc>
        <w:tc>
          <w:tcPr>
            <w:tcW w:type="dxa" w:w="6740"/>
            <w:tcMar>
              <w:top w:type="dxa" w:w="100"/>
              <w:left w:type="dxa" w:w="120"/>
              <w:bottom w:type="dxa" w:w="100"/>
              <w:right w:type="dxa" w:w="120"/>
            </w:tcMar>
          </w:tcPr>
          <w:p>
            <w:r>
              <w:rPr>
                <w:b w:val="false"/>
                <w:bCs w:val="false"/>
                <w:color w:val="444444"/>
                <w:sz w:val="20"/>
                <w:szCs w:val="20"/>
              </w:rPr>
              <w:t xml:space="preserve">Calendar month the trade was opened, for monthly trend analysis</w:t>
            </w:r>
          </w:p>
        </w:tc>
      </w:tr>
      <w:tr>
        <w:tc>
          <w:tcPr>
            <w:tcW w:type="dxa" w:w="3000"/>
            <w:tcMar>
              <w:top w:type="dxa" w:w="100"/>
              <w:left w:type="dxa" w:w="120"/>
              <w:bottom w:type="dxa" w:w="100"/>
              <w:right w:type="dxa" w:w="120"/>
            </w:tcMar>
          </w:tcPr>
          <w:p>
            <w:r>
              <w:rPr>
                <w:b w:val="false"/>
                <w:bCs w:val="false"/>
                <w:color w:val="444444"/>
                <w:sz w:val="20"/>
                <w:szCs w:val="20"/>
              </w:rPr>
              <w:t xml:space="preserve">Duration Bucket</w:t>
            </w:r>
          </w:p>
        </w:tc>
        <w:tc>
          <w:tcPr>
            <w:tcW w:type="dxa" w:w="6740"/>
            <w:tcMar>
              <w:top w:type="dxa" w:w="100"/>
              <w:left w:type="dxa" w:w="120"/>
              <w:bottom w:type="dxa" w:w="100"/>
              <w:right w:type="dxa" w:w="120"/>
            </w:tcMar>
          </w:tcPr>
          <w:p>
            <w:r>
              <w:rPr>
                <w:b w:val="false"/>
                <w:bCs w:val="false"/>
                <w:color w:val="444444"/>
                <w:sz w:val="20"/>
                <w:szCs w:val="20"/>
              </w:rPr>
              <w:t xml:space="preserve">Trade duration grouped into ranges (&lt;5m, 5–15m, ... 4h+)</w:t>
            </w:r>
          </w:p>
        </w:tc>
      </w:tr>
    </w:tbl>
    <w:p>
      <w:pPr>
        <w:spacing w:after="160" w:line="300"/>
      </w:pPr>
      <w:r>
        <w:rPr>
          <w:color w:val="444444"/>
          <w:sz w:val="22"/>
          <w:szCs w:val="22"/>
        </w:rPr>
        <w:t xml:space="preserve">The dataset was also sorted chronologically by Close Time so that time-series and cumulative calculations would be correct.</w:t>
      </w:r>
    </w:p>
    <w:p>
      <w:pPr>
        <w:pStyle w:val="Heading2"/>
        <w:spacing w:after="120" w:before="260"/>
      </w:pPr>
      <w:r>
        <w:rPr>
          <w:b/>
          <w:bCs/>
          <w:color w:val="2E74B5"/>
          <w:sz w:val="24"/>
          <w:szCs w:val="24"/>
        </w:rPr>
        <w:t xml:space="preserve">4.5 Trading Performance Summary</w:t>
      </w:r>
    </w:p>
    <w:p>
      <w:pPr>
        <w:spacing w:after="160" w:line="300"/>
      </w:pPr>
      <w:r>
        <w:rPr>
          <w:color w:val="444444"/>
          <w:sz w:val="22"/>
          <w:szCs w:val="22"/>
        </w:rPr>
        <w:t xml:space="preserve">A high-level summary was generated covering:</w:t>
      </w:r>
    </w:p>
    <w:p>
      <w:pPr>
        <w:pStyle w:val="ListParagraph"/>
        <w:numPr>
          <w:ilvl w:val="0"/>
          <w:numId w:val="3"/>
        </w:numPr>
        <w:spacing w:after="80" w:line="280"/>
      </w:pPr>
      <w:r>
        <w:rPr>
          <w:color w:val="444444"/>
          <w:sz w:val="22"/>
          <w:szCs w:val="22"/>
        </w:rPr>
        <w:t xml:space="preserve">Total number of trades taken</w:t>
      </w:r>
    </w:p>
    <w:p>
      <w:pPr>
        <w:pStyle w:val="ListParagraph"/>
        <w:numPr>
          <w:ilvl w:val="0"/>
          <w:numId w:val="3"/>
        </w:numPr>
        <w:spacing w:after="80" w:line="280"/>
      </w:pPr>
      <w:r>
        <w:rPr>
          <w:color w:val="444444"/>
          <w:sz w:val="22"/>
          <w:szCs w:val="22"/>
        </w:rPr>
        <w:t xml:space="preserve">Total gross profit (before fees)</w:t>
      </w:r>
    </w:p>
    <w:p>
      <w:pPr>
        <w:pStyle w:val="ListParagraph"/>
        <w:numPr>
          <w:ilvl w:val="0"/>
          <w:numId w:val="3"/>
        </w:numPr>
        <w:spacing w:after="80" w:line="280"/>
      </w:pPr>
      <w:r>
        <w:rPr>
          <w:color w:val="444444"/>
          <w:sz w:val="22"/>
          <w:szCs w:val="22"/>
        </w:rPr>
        <w:t xml:space="preserve">Total net profit (after commission and swap)</w:t>
      </w:r>
    </w:p>
    <w:p>
      <w:pPr>
        <w:pStyle w:val="ListParagraph"/>
        <w:numPr>
          <w:ilvl w:val="0"/>
          <w:numId w:val="3"/>
        </w:numPr>
        <w:spacing w:after="80" w:line="280"/>
      </w:pPr>
      <w:r>
        <w:rPr>
          <w:color w:val="444444"/>
          <w:sz w:val="22"/>
          <w:szCs w:val="22"/>
        </w:rPr>
        <w:t xml:space="preserve">Overall win rate (% of trades classified as "Win")</w:t>
      </w:r>
    </w:p>
    <w:p>
      <w:pPr>
        <w:pStyle w:val="Heading1"/>
        <w:pBdr>
          <w:bottom w:val="single" w:color="2E74B5" w:sz="8" w:space="4"/>
        </w:pBdr>
        <w:spacing w:after="160" w:before="360"/>
      </w:pPr>
      <w:r>
        <w:rPr>
          <w:b/>
          <w:bCs/>
          <w:color w:val="1F3864"/>
          <w:sz w:val="30"/>
          <w:szCs w:val="30"/>
        </w:rPr>
        <w:t xml:space="preserve">5. Visual Analysis Performed</w:t>
      </w:r>
    </w:p>
    <w:p>
      <w:pPr>
        <w:spacing w:after="160" w:line="300"/>
      </w:pPr>
      <w:r>
        <w:rPr>
          <w:color w:val="444444"/>
          <w:sz w:val="22"/>
          <w:szCs w:val="22"/>
        </w:rPr>
        <w:t xml:space="preserve">The following charts were built to visualize performance from different angles: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600"/>
        <w:gridCol w:w="6140"/>
      </w:tblGrid>
      <w:tr>
        <w:trPr>
          <w:tblHeader/>
        </w:trPr>
        <w:tc>
          <w:tcPr>
            <w:tcW w:type="dxa" w:w="3600"/>
            <w:shd w:fill="1F3864" w:val="clear"/>
            <w:tcMar>
              <w:top w:type="dxa" w:w="100"/>
              <w:left w:type="dxa" w:w="120"/>
              <w:bottom w:type="dxa" w:w="100"/>
              <w:right w:type="dxa" w:w="120"/>
            </w:tcMar>
          </w:tcPr>
          <w:p>
            <w:r>
              <w:rPr>
                <w:b/>
                <w:bCs/>
                <w:color w:val="FFFFFF"/>
                <w:sz w:val="20"/>
                <w:szCs w:val="20"/>
              </w:rPr>
              <w:t xml:space="preserve">Chart</w:t>
            </w:r>
          </w:p>
        </w:tc>
        <w:tc>
          <w:tcPr>
            <w:tcW w:type="dxa" w:w="6140"/>
            <w:shd w:fill="1F3864" w:val="clear"/>
            <w:tcMar>
              <w:top w:type="dxa" w:w="100"/>
              <w:left w:type="dxa" w:w="120"/>
              <w:bottom w:type="dxa" w:w="100"/>
              <w:right w:type="dxa" w:w="120"/>
            </w:tcMar>
          </w:tcPr>
          <w:p>
            <w:r>
              <w:rPr>
                <w:b/>
                <w:bCs/>
                <w:color w:val="FFFFFF"/>
                <w:sz w:val="20"/>
                <w:szCs w:val="20"/>
              </w:rPr>
              <w:t xml:space="preserve">What it Shows</w:t>
            </w:r>
          </w:p>
        </w:tc>
      </w:tr>
      <w:tr>
        <w:tc>
          <w:tcPr>
            <w:tcW w:type="dxa" w:w="3600"/>
            <w:tcMar>
              <w:top w:type="dxa" w:w="100"/>
              <w:left w:type="dxa" w:w="120"/>
              <w:bottom w:type="dxa" w:w="100"/>
              <w:right w:type="dxa" w:w="120"/>
            </w:tcMar>
          </w:tcPr>
          <w:p>
            <w:r>
              <w:rPr>
                <w:b w:val="false"/>
                <w:bCs w:val="false"/>
                <w:color w:val="444444"/>
                <w:sz w:val="20"/>
                <w:szCs w:val="20"/>
              </w:rPr>
              <w:t xml:space="preserve">Equity Curve (Cumulative Net Profit over Time)</w:t>
            </w:r>
          </w:p>
        </w:tc>
        <w:tc>
          <w:tcPr>
            <w:tcW w:type="dxa" w:w="6140"/>
            <w:tcMar>
              <w:top w:type="dxa" w:w="100"/>
              <w:left w:type="dxa" w:w="120"/>
              <w:bottom w:type="dxa" w:w="100"/>
              <w:right w:type="dxa" w:w="120"/>
            </w:tcMar>
          </w:tcPr>
          <w:p>
            <w:r>
              <w:rPr>
                <w:b w:val="false"/>
                <w:bCs w:val="false"/>
                <w:color w:val="444444"/>
                <w:sz w:val="20"/>
                <w:szCs w:val="20"/>
              </w:rPr>
              <w:t xml:space="preserve">How the account balance grew or shrank across the entire trading history</w:t>
            </w:r>
          </w:p>
        </w:tc>
      </w:tr>
      <w:tr>
        <w:tc>
          <w:tcPr>
            <w:tcW w:type="dxa" w:w="3600"/>
            <w:tcMar>
              <w:top w:type="dxa" w:w="100"/>
              <w:left w:type="dxa" w:w="120"/>
              <w:bottom w:type="dxa" w:w="100"/>
              <w:right w:type="dxa" w:w="120"/>
            </w:tcMar>
          </w:tcPr>
          <w:p>
            <w:r>
              <w:rPr>
                <w:b w:val="false"/>
                <w:bCs w:val="false"/>
                <w:color w:val="444444"/>
                <w:sz w:val="20"/>
                <w:szCs w:val="20"/>
              </w:rPr>
              <w:t xml:space="preserve">Net Profit by Symbol</w:t>
            </w:r>
          </w:p>
        </w:tc>
        <w:tc>
          <w:tcPr>
            <w:tcW w:type="dxa" w:w="6140"/>
            <w:tcMar>
              <w:top w:type="dxa" w:w="100"/>
              <w:left w:type="dxa" w:w="120"/>
              <w:bottom w:type="dxa" w:w="100"/>
              <w:right w:type="dxa" w:w="120"/>
            </w:tcMar>
          </w:tcPr>
          <w:p>
            <w:r>
              <w:rPr>
                <w:b w:val="false"/>
                <w:bCs w:val="false"/>
                <w:color w:val="444444"/>
                <w:sz w:val="20"/>
                <w:szCs w:val="20"/>
              </w:rPr>
              <w:t xml:space="preserve">Which currency pairs/instruments were most and least profitable</w:t>
            </w:r>
          </w:p>
        </w:tc>
      </w:tr>
      <w:tr>
        <w:tc>
          <w:tcPr>
            <w:tcW w:type="dxa" w:w="3600"/>
            <w:tcMar>
              <w:top w:type="dxa" w:w="100"/>
              <w:left w:type="dxa" w:w="120"/>
              <w:bottom w:type="dxa" w:w="100"/>
              <w:right w:type="dxa" w:w="120"/>
            </w:tcMar>
          </w:tcPr>
          <w:p>
            <w:r>
              <w:rPr>
                <w:b w:val="false"/>
                <w:bCs w:val="false"/>
                <w:color w:val="444444"/>
                <w:sz w:val="20"/>
                <w:szCs w:val="20"/>
              </w:rPr>
              <w:t xml:space="preserve">Win/Loss Pie Chart</w:t>
            </w:r>
          </w:p>
        </w:tc>
        <w:tc>
          <w:tcPr>
            <w:tcW w:type="dxa" w:w="6140"/>
            <w:tcMar>
              <w:top w:type="dxa" w:w="100"/>
              <w:left w:type="dxa" w:w="120"/>
              <w:bottom w:type="dxa" w:w="100"/>
              <w:right w:type="dxa" w:w="120"/>
            </w:tcMar>
          </w:tcPr>
          <w:p>
            <w:r>
              <w:rPr>
                <w:b w:val="false"/>
                <w:bCs w:val="false"/>
                <w:color w:val="444444"/>
                <w:sz w:val="20"/>
                <w:szCs w:val="20"/>
              </w:rPr>
              <w:t xml:space="preserve">Overall proportion of winning vs losing trades</w:t>
            </w:r>
          </w:p>
        </w:tc>
      </w:tr>
      <w:tr>
        <w:tc>
          <w:tcPr>
            <w:tcW w:type="dxa" w:w="3600"/>
            <w:tcMar>
              <w:top w:type="dxa" w:w="100"/>
              <w:left w:type="dxa" w:w="120"/>
              <w:bottom w:type="dxa" w:w="100"/>
              <w:right w:type="dxa" w:w="120"/>
            </w:tcMar>
          </w:tcPr>
          <w:p>
            <w:r>
              <w:rPr>
                <w:b w:val="false"/>
                <w:bCs w:val="false"/>
                <w:color w:val="444444"/>
                <w:sz w:val="20"/>
                <w:szCs w:val="20"/>
              </w:rPr>
              <w:t xml:space="preserve">Buy vs Sell Outcome (Countplot)</w:t>
            </w:r>
          </w:p>
        </w:tc>
        <w:tc>
          <w:tcPr>
            <w:tcW w:type="dxa" w:w="6140"/>
            <w:tcMar>
              <w:top w:type="dxa" w:w="100"/>
              <w:left w:type="dxa" w:w="120"/>
              <w:bottom w:type="dxa" w:w="100"/>
              <w:right w:type="dxa" w:w="120"/>
            </w:tcMar>
          </w:tcPr>
          <w:p>
            <w:r>
              <w:rPr>
                <w:b w:val="false"/>
                <w:bCs w:val="false"/>
                <w:color w:val="444444"/>
                <w:sz w:val="20"/>
                <w:szCs w:val="20"/>
              </w:rPr>
              <w:t xml:space="preserve">Whether long or short trades performed better</w:t>
            </w:r>
          </w:p>
        </w:tc>
      </w:tr>
      <w:tr>
        <w:tc>
          <w:tcPr>
            <w:tcW w:type="dxa" w:w="3600"/>
            <w:tcMar>
              <w:top w:type="dxa" w:w="100"/>
              <w:left w:type="dxa" w:w="120"/>
              <w:bottom w:type="dxa" w:w="100"/>
              <w:right w:type="dxa" w:w="120"/>
            </w:tcMar>
          </w:tcPr>
          <w:p>
            <w:r>
              <w:rPr>
                <w:b w:val="false"/>
                <w:bCs w:val="false"/>
                <w:color w:val="444444"/>
                <w:sz w:val="20"/>
                <w:szCs w:val="20"/>
              </w:rPr>
              <w:t xml:space="preserve">Trading Activity &amp; Win Rate by Day of Week</w:t>
            </w:r>
          </w:p>
        </w:tc>
        <w:tc>
          <w:tcPr>
            <w:tcW w:type="dxa" w:w="6140"/>
            <w:tcMar>
              <w:top w:type="dxa" w:w="100"/>
              <w:left w:type="dxa" w:w="120"/>
              <w:bottom w:type="dxa" w:w="100"/>
              <w:right w:type="dxa" w:w="120"/>
            </w:tcMar>
          </w:tcPr>
          <w:p>
            <w:r>
              <w:rPr>
                <w:b w:val="false"/>
                <w:bCs w:val="false"/>
                <w:color w:val="444444"/>
                <w:sz w:val="20"/>
                <w:szCs w:val="20"/>
              </w:rPr>
              <w:t xml:space="preserve">Which days trades were placed most, and which days had the best win rate</w:t>
            </w:r>
          </w:p>
        </w:tc>
      </w:tr>
      <w:tr>
        <w:tc>
          <w:tcPr>
            <w:tcW w:type="dxa" w:w="3600"/>
            <w:tcMar>
              <w:top w:type="dxa" w:w="100"/>
              <w:left w:type="dxa" w:w="120"/>
              <w:bottom w:type="dxa" w:w="100"/>
              <w:right w:type="dxa" w:w="120"/>
            </w:tcMar>
          </w:tcPr>
          <w:p>
            <w:r>
              <w:rPr>
                <w:b w:val="false"/>
                <w:bCs w:val="false"/>
                <w:color w:val="444444"/>
                <w:sz w:val="20"/>
                <w:szCs w:val="20"/>
              </w:rPr>
              <w:t xml:space="preserve">Win Rate &amp; Trade Volume by Hour of Day</w:t>
            </w:r>
          </w:p>
        </w:tc>
        <w:tc>
          <w:tcPr>
            <w:tcW w:type="dxa" w:w="6140"/>
            <w:tcMar>
              <w:top w:type="dxa" w:w="100"/>
              <w:left w:type="dxa" w:w="120"/>
              <w:bottom w:type="dxa" w:w="100"/>
              <w:right w:type="dxa" w:w="120"/>
            </w:tcMar>
          </w:tcPr>
          <w:p>
            <w:r>
              <w:rPr>
                <w:b w:val="false"/>
                <w:bCs w:val="false"/>
                <w:color w:val="444444"/>
                <w:sz w:val="20"/>
                <w:szCs w:val="20"/>
              </w:rPr>
              <w:t xml:space="preserve">Which hours of the day were most active and most successful</w:t>
            </w:r>
          </w:p>
        </w:tc>
      </w:tr>
      <w:tr>
        <w:tc>
          <w:tcPr>
            <w:tcW w:type="dxa" w:w="3600"/>
            <w:tcMar>
              <w:top w:type="dxa" w:w="100"/>
              <w:left w:type="dxa" w:w="120"/>
              <w:bottom w:type="dxa" w:w="100"/>
              <w:right w:type="dxa" w:w="120"/>
            </w:tcMar>
          </w:tcPr>
          <w:p>
            <w:r>
              <w:rPr>
                <w:b w:val="false"/>
                <w:bCs w:val="false"/>
                <w:color w:val="444444"/>
                <w:sz w:val="20"/>
                <w:szCs w:val="20"/>
              </w:rPr>
              <w:t xml:space="preserve">Net Profit by Hour of Day</w:t>
            </w:r>
          </w:p>
        </w:tc>
        <w:tc>
          <w:tcPr>
            <w:tcW w:type="dxa" w:w="6140"/>
            <w:tcMar>
              <w:top w:type="dxa" w:w="100"/>
              <w:left w:type="dxa" w:w="120"/>
              <w:bottom w:type="dxa" w:w="100"/>
              <w:right w:type="dxa" w:w="120"/>
            </w:tcMar>
          </w:tcPr>
          <w:p>
            <w:r>
              <w:rPr>
                <w:b w:val="false"/>
                <w:bCs w:val="false"/>
                <w:color w:val="444444"/>
                <w:sz w:val="20"/>
                <w:szCs w:val="20"/>
              </w:rPr>
              <w:t xml:space="preserve">Which trading hours generated the most/least money</w:t>
            </w:r>
          </w:p>
        </w:tc>
      </w:tr>
      <w:tr>
        <w:tc>
          <w:tcPr>
            <w:tcW w:type="dxa" w:w="3600"/>
            <w:tcMar>
              <w:top w:type="dxa" w:w="100"/>
              <w:left w:type="dxa" w:w="120"/>
              <w:bottom w:type="dxa" w:w="100"/>
              <w:right w:type="dxa" w:w="120"/>
            </w:tcMar>
          </w:tcPr>
          <w:p>
            <w:r>
              <w:rPr>
                <w:b w:val="false"/>
                <w:bCs w:val="false"/>
                <w:color w:val="444444"/>
                <w:sz w:val="20"/>
                <w:szCs w:val="20"/>
              </w:rPr>
              <w:t xml:space="preserve">Trade Duration vs Outcome (Box Plot)</w:t>
            </w:r>
          </w:p>
        </w:tc>
        <w:tc>
          <w:tcPr>
            <w:tcW w:type="dxa" w:w="6140"/>
            <w:tcMar>
              <w:top w:type="dxa" w:w="100"/>
              <w:left w:type="dxa" w:w="120"/>
              <w:bottom w:type="dxa" w:w="100"/>
              <w:right w:type="dxa" w:w="120"/>
            </w:tcMar>
          </w:tcPr>
          <w:p>
            <w:r>
              <w:rPr>
                <w:b w:val="false"/>
                <w:bCs w:val="false"/>
                <w:color w:val="444444"/>
                <w:sz w:val="20"/>
                <w:szCs w:val="20"/>
              </w:rPr>
              <w:t xml:space="preserve">Whether winning trades were held for longer or shorter than losing trades</w:t>
            </w:r>
          </w:p>
        </w:tc>
      </w:tr>
      <w:tr>
        <w:tc>
          <w:tcPr>
            <w:tcW w:type="dxa" w:w="3600"/>
            <w:tcMar>
              <w:top w:type="dxa" w:w="100"/>
              <w:left w:type="dxa" w:w="120"/>
              <w:bottom w:type="dxa" w:w="100"/>
              <w:right w:type="dxa" w:w="120"/>
            </w:tcMar>
          </w:tcPr>
          <w:p>
            <w:r>
              <w:rPr>
                <w:b w:val="false"/>
                <w:bCs w:val="false"/>
                <w:color w:val="444444"/>
                <w:sz w:val="20"/>
                <w:szCs w:val="20"/>
              </w:rPr>
              <w:t xml:space="preserve">Win Rate by Duration Bucket</w:t>
            </w:r>
          </w:p>
        </w:tc>
        <w:tc>
          <w:tcPr>
            <w:tcW w:type="dxa" w:w="6140"/>
            <w:tcMar>
              <w:top w:type="dxa" w:w="100"/>
              <w:left w:type="dxa" w:w="120"/>
              <w:bottom w:type="dxa" w:w="100"/>
              <w:right w:type="dxa" w:w="120"/>
            </w:tcMar>
          </w:tcPr>
          <w:p>
            <w:r>
              <w:rPr>
                <w:b w:val="false"/>
                <w:bCs w:val="false"/>
                <w:color w:val="444444"/>
                <w:sz w:val="20"/>
                <w:szCs w:val="20"/>
              </w:rPr>
              <w:t xml:space="preserve">How holding time (e.g. &lt;5m vs 1–2h) relates to win probability</w:t>
            </w:r>
          </w:p>
        </w:tc>
      </w:tr>
      <w:tr>
        <w:tc>
          <w:tcPr>
            <w:tcW w:type="dxa" w:w="3600"/>
            <w:tcMar>
              <w:top w:type="dxa" w:w="100"/>
              <w:left w:type="dxa" w:w="120"/>
              <w:bottom w:type="dxa" w:w="100"/>
              <w:right w:type="dxa" w:w="120"/>
            </w:tcMar>
          </w:tcPr>
          <w:p>
            <w:r>
              <w:rPr>
                <w:b w:val="false"/>
                <w:bCs w:val="false"/>
                <w:color w:val="444444"/>
                <w:sz w:val="20"/>
                <w:szCs w:val="20"/>
              </w:rPr>
              <w:t xml:space="preserve">Net Profit by Month</w:t>
            </w:r>
          </w:p>
        </w:tc>
        <w:tc>
          <w:tcPr>
            <w:tcW w:type="dxa" w:w="6140"/>
            <w:tcMar>
              <w:top w:type="dxa" w:w="100"/>
              <w:left w:type="dxa" w:w="120"/>
              <w:bottom w:type="dxa" w:w="100"/>
              <w:right w:type="dxa" w:w="120"/>
            </w:tcMar>
          </w:tcPr>
          <w:p>
            <w:r>
              <w:rPr>
                <w:b w:val="false"/>
                <w:bCs w:val="false"/>
                <w:color w:val="444444"/>
                <w:sz w:val="20"/>
                <w:szCs w:val="20"/>
              </w:rPr>
              <w:t xml:space="preserve">Monthly profit/loss trend over the account's lifetime</w:t>
            </w:r>
          </w:p>
        </w:tc>
      </w:tr>
    </w:tbl>
    <w:p>
      <w:pPr>
        <w:pStyle w:val="Heading1"/>
        <w:pBdr>
          <w:bottom w:val="single" w:color="2E74B5" w:sz="8" w:space="4"/>
        </w:pBdr>
        <w:spacing w:after="160" w:before="360"/>
      </w:pPr>
      <w:r>
        <w:rPr>
          <w:b/>
          <w:bCs/>
          <w:color w:val="1F3864"/>
          <w:sz w:val="30"/>
          <w:szCs w:val="30"/>
        </w:rPr>
        <w:t xml:space="preserve">6. Key Insight Extraction</w:t>
      </w:r>
    </w:p>
    <w:p>
      <w:pPr>
        <w:spacing w:after="160" w:line="300"/>
      </w:pPr>
      <w:r>
        <w:rPr>
          <w:color w:val="444444"/>
          <w:sz w:val="22"/>
          <w:szCs w:val="22"/>
        </w:rPr>
        <w:t xml:space="preserve">In the final step, the notebook programmatically identifies the standout data points from the time-based analysis:</w:t>
      </w:r>
    </w:p>
    <w:p>
      <w:pPr>
        <w:pStyle w:val="ListParagraph"/>
        <w:numPr>
          <w:ilvl w:val="0"/>
          <w:numId w:val="3"/>
        </w:numPr>
        <w:spacing w:after="80" w:line="280"/>
      </w:pPr>
      <w:r>
        <w:rPr>
          <w:color w:val="444444"/>
          <w:sz w:val="22"/>
          <w:szCs w:val="22"/>
        </w:rPr>
        <w:t xml:space="preserve">The best-performing hour of the day (highest win rate)</w:t>
      </w:r>
    </w:p>
    <w:p>
      <w:pPr>
        <w:pStyle w:val="ListParagraph"/>
        <w:numPr>
          <w:ilvl w:val="0"/>
          <w:numId w:val="3"/>
        </w:numPr>
        <w:spacing w:after="80" w:line="280"/>
      </w:pPr>
      <w:r>
        <w:rPr>
          <w:color w:val="444444"/>
          <w:sz w:val="22"/>
          <w:szCs w:val="22"/>
        </w:rPr>
        <w:t xml:space="preserve">The best-performing day of the week (highest win rate)</w:t>
      </w:r>
    </w:p>
    <w:p>
      <w:pPr>
        <w:pStyle w:val="ListParagraph"/>
        <w:numPr>
          <w:ilvl w:val="0"/>
          <w:numId w:val="3"/>
        </w:numPr>
        <w:spacing w:after="80" w:line="280"/>
      </w:pPr>
      <w:r>
        <w:rPr>
          <w:color w:val="444444"/>
          <w:sz w:val="22"/>
          <w:szCs w:val="22"/>
        </w:rPr>
        <w:t xml:space="preserve">The best-performing trade duration bucket (highest win rate)</w:t>
      </w:r>
    </w:p>
    <w:p>
      <w:pPr>
        <w:pStyle w:val="ListParagraph"/>
        <w:numPr>
          <w:ilvl w:val="0"/>
          <w:numId w:val="3"/>
        </w:numPr>
        <w:spacing w:after="80" w:line="280"/>
      </w:pPr>
      <w:r>
        <w:rPr>
          <w:color w:val="444444"/>
          <w:sz w:val="22"/>
          <w:szCs w:val="22"/>
        </w:rPr>
        <w:t xml:space="preserve">The average trade duration for winning trades vs. losing trades</w:t>
      </w:r>
    </w:p>
    <w:p>
      <w:pPr>
        <w:spacing w:after="160" w:line="300"/>
      </w:pPr>
      <w:r>
        <w:rPr>
          <w:color w:val="444444"/>
          <w:sz w:val="22"/>
          <w:szCs w:val="22"/>
        </w:rPr>
        <w:t xml:space="preserve">These insights turn the raw charts into concrete, actionable takeaways — e.g. "trades opened around a specific hour and held for a specific duration have historically performed best."</w:t>
      </w:r>
    </w:p>
    <w:p>
      <w:pPr>
        <w:pStyle w:val="Heading1"/>
        <w:pBdr>
          <w:bottom w:val="single" w:color="2E74B5" w:sz="8" w:space="4"/>
        </w:pBdr>
        <w:spacing w:after="160" w:before="360"/>
      </w:pPr>
      <w:r>
        <w:rPr>
          <w:b/>
          <w:bCs/>
          <w:color w:val="1F3864"/>
          <w:sz w:val="30"/>
          <w:szCs w:val="30"/>
        </w:rPr>
        <w:t xml:space="preserve">7. Outcome / Deliverable</w:t>
      </w:r>
    </w:p>
    <w:p>
      <w:pPr>
        <w:spacing w:after="160" w:line="300"/>
      </w:pPr>
      <w:r>
        <w:rPr>
          <w:color w:val="444444"/>
          <w:sz w:val="22"/>
          <w:szCs w:val="22"/>
        </w:rPr>
        <w:t xml:space="preserve">The notebook produces a complete performance diagnostic of the trading account, combining:</w:t>
      </w:r>
    </w:p>
    <w:p>
      <w:pPr>
        <w:pStyle w:val="ListParagraph"/>
        <w:numPr>
          <w:ilvl w:val="0"/>
          <w:numId w:val="3"/>
        </w:numPr>
        <w:spacing w:after="80" w:line="280"/>
      </w:pPr>
      <w:r>
        <w:rPr>
          <w:color w:val="444444"/>
          <w:sz w:val="22"/>
          <w:szCs w:val="22"/>
        </w:rPr>
        <w:t xml:space="preserve">A cleaned, feature-enriched dataset ready for further analysis or modeling</w:t>
      </w:r>
    </w:p>
    <w:p>
      <w:pPr>
        <w:pStyle w:val="ListParagraph"/>
        <w:numPr>
          <w:ilvl w:val="0"/>
          <w:numId w:val="3"/>
        </w:numPr>
        <w:spacing w:after="80" w:line="280"/>
      </w:pPr>
      <w:r>
        <w:rPr>
          <w:color w:val="444444"/>
          <w:sz w:val="22"/>
          <w:szCs w:val="22"/>
        </w:rPr>
        <w:t xml:space="preserve">A quantitative summary (total trades, gross/net profit, win rate)</w:t>
      </w:r>
    </w:p>
    <w:p>
      <w:pPr>
        <w:pStyle w:val="ListParagraph"/>
        <w:numPr>
          <w:ilvl w:val="0"/>
          <w:numId w:val="3"/>
        </w:numPr>
        <w:spacing w:after="80" w:line="280"/>
      </w:pPr>
      <w:r>
        <w:rPr>
          <w:color w:val="444444"/>
          <w:sz w:val="22"/>
          <w:szCs w:val="22"/>
        </w:rPr>
        <w:t xml:space="preserve">A set of visual reports covering profitability by symbol, direction, time of day, day of week, and holding duration</w:t>
      </w:r>
    </w:p>
    <w:p>
      <w:pPr>
        <w:pStyle w:val="ListParagraph"/>
        <w:numPr>
          <w:ilvl w:val="0"/>
          <w:numId w:val="3"/>
        </w:numPr>
        <w:spacing w:after="80" w:line="280"/>
      </w:pPr>
      <w:r>
        <w:rPr>
          <w:color w:val="444444"/>
          <w:sz w:val="22"/>
          <w:szCs w:val="22"/>
        </w:rPr>
        <w:t xml:space="preserve">A short list of data-driven behavioral insights to guide future trading decisions</w:t>
      </w:r>
    </w:p>
    <w:p>
      <w:pPr>
        <w:spacing w:after="160" w:line="300"/>
      </w:pPr>
      <w:r>
        <w:rPr>
          <w:color w:val="444444"/>
          <w:sz w:val="22"/>
          <w:szCs w:val="22"/>
        </w:rPr>
        <w:t xml:space="preserve">This EDA lays the groundwork for potential next steps, such as building a predictive model for trade outcomes, setting rule-based filters (e.g. avoid trading during low win-rate hours), or automating this reporting on a recurring basis.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2026-07-03T07:00:11.985Z</dcterms:created>
  <dcterms:modified xsi:type="dcterms:W3CDTF">2026-07-03T07:00:11.985Z</dcterms:modified>
</cp:coreProperties>
</file>

<file path=docProps/custom.xml><?xml version="1.0" encoding="utf-8"?>
<Properties xmlns="http://schemas.openxmlformats.org/officeDocument/2006/custom-properties" xmlns:vt="http://schemas.openxmlformats.org/officeDocument/2006/docPropsVTypes"/>
</file>