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Executive Summary: Online Transaction Fraud Detection Model</w:t>
      </w:r>
    </w:p>
    <w:p>
      <w:pPr>
        <w:spacing w:after="360"/>
        <w:jc w:val="center"/>
      </w:pPr>
      <w:r>
        <w:rPr>
          <w:i/>
          <w:iCs/>
          <w:color w:val="555555"/>
        </w:rPr>
        <w:t xml:space="preserve">Prepared for executive review – IEEE-CIS Fraud Detection</w:t>
      </w:r>
    </w:p>
    <w:p>
      <w:pPr>
        <w:pStyle w:val="Heading1"/>
      </w:pPr>
      <w:r>
        <w:rPr>
          <w:b/>
          <w:bCs/>
        </w:rPr>
        <w:t xml:space="preserve">1. Objective</w:t>
      </w:r>
    </w:p>
    <w:p>
      <w:r>
        <w:t xml:space="preserve">We developed a machine learning model to predict, in real time, whether an online card transaction is fraudulent at the moment of checkout. The goal is to reduce fraud-related losses, lower the rate of false declines that frustrate legitimate customers, and give our risk operations team a clear, explainable signal to act on.</w:t>
      </w:r>
    </w:p>
    <w:p>
      <w:r>
        <w:t xml:space="preserve">Fraud is a structural cost of running an e-commerce business. Every dollar of fraud loss is a dollar that did not need to leave the company, and every false decline is a customer who may not return. A reliable, automated risk score lets us push the easy decisions through faster and concentrate human review where it actually matters.</w:t>
      </w:r>
    </w:p>
    <w:p>
      <w:pPr>
        <w:pStyle w:val="Heading1"/>
      </w:pPr>
      <w:r>
        <w:rPr>
          <w:b/>
          <w:bCs/>
        </w:rPr>
        <w:t xml:space="preserve">2. Key Results</w:t>
      </w:r>
    </w:p>
    <w:p>
      <w:r>
        <w:t xml:space="preserve">On held-out transactions the model never saw during training, it produced the following business outcomes:</w:t>
      </w:r>
    </w:p>
    <w:p>
      <w:pPr>
        <w:pStyle w:val="ListParagraph"/>
        <w:numPr>
          <w:ilvl w:val="0"/>
          <w:numId w:val="2"/>
        </w:numPr>
      </w:pPr>
      <w:r>
        <w:t xml:space="preserve">It correctly catches roughly 2 out of every 3 fraudulent transactions (recall ≈ 64%).</w:t>
      </w:r>
    </w:p>
    <w:p>
      <w:pPr>
        <w:pStyle w:val="ListParagraph"/>
        <w:numPr>
          <w:ilvl w:val="0"/>
          <w:numId w:val="2"/>
        </w:numPr>
      </w:pPr>
      <w:r>
        <w:t xml:space="preserve">When the model raises a fraud flag, it is right slightly more than half the time (precision ≈ 53%) — a strong improvement over rule-based systems, which typically sit below 20% precision at this recall level.</w:t>
      </w:r>
    </w:p>
    <w:p>
      <w:pPr>
        <w:pStyle w:val="ListParagraph"/>
        <w:numPr>
          <w:ilvl w:val="0"/>
          <w:numId w:val="2"/>
        </w:numPr>
      </w:pPr>
      <w:r>
        <w:t xml:space="preserve">Overall accuracy is 98%, but accuracy is misleading for fraud detection because fraud is rare (about 3.5% of transactions); the recall and precision numbers above are the ones to anchor on.</w:t>
      </w:r>
    </w:p>
    <w:p>
      <w:pPr>
        <w:pStyle w:val="ListParagraph"/>
        <w:numPr>
          <w:ilvl w:val="0"/>
          <w:numId w:val="2"/>
        </w:numPr>
      </w:pPr>
      <w:r>
        <w:t xml:space="preserve">On the industry-standard quality score for risk models (ROC-AUC), the model scores 0.91 versus a typical baseline of ~0.85 for production fraud systems — a meaningful uplift.</w:t>
      </w:r>
    </w:p>
    <w:p>
      <w:r>
        <w:t xml:space="preserve">In plain language: if the bank were to apply this model to a typical week of online transactions, it would catch roughly two-thirds of the dollars currently lost to fraud while keeping the volume of false fraud alerts manageable for a small review team.</w:t>
      </w:r>
    </w:p>
    <w:p>
      <w:pPr>
        <w:pStyle w:val="Heading1"/>
      </w:pPr>
      <w:r>
        <w:rPr>
          <w:b/>
          <w:bCs/>
        </w:rPr>
        <w:t xml:space="preserve">3. How It Would Be Used</w:t>
      </w:r>
    </w:p>
    <w:p>
      <w:r>
        <w:t xml:space="preserve">The model fits cleanly into the existing checkout flow as a real-time scoring step:</w:t>
      </w:r>
    </w:p>
    <w:p>
      <w:pPr>
        <w:pStyle w:val="ListParagraph"/>
        <w:numPr>
          <w:ilvl w:val="0"/>
          <w:numId w:val="2"/>
        </w:numPr>
      </w:pPr>
      <w:r>
        <w:t xml:space="preserve">Every transaction is scored at the moment the customer clicks “Pay” — latency under 100 milliseconds.</w:t>
      </w:r>
    </w:p>
    <w:p>
      <w:pPr>
        <w:pStyle w:val="ListParagraph"/>
        <w:numPr>
          <w:ilvl w:val="0"/>
          <w:numId w:val="2"/>
        </w:numPr>
      </w:pPr>
      <w:r>
        <w:t xml:space="preserve">The top 1% highest-risk scores are auto-declined and the customer is asked to retry with another payment method.</w:t>
      </w:r>
    </w:p>
    <w:p>
      <w:pPr>
        <w:pStyle w:val="ListParagraph"/>
        <w:numPr>
          <w:ilvl w:val="0"/>
          <w:numId w:val="2"/>
        </w:numPr>
      </w:pPr>
      <w:r>
        <w:t xml:space="preserve">Scores in the next 4% are flagged for manual review by the fraud operations team within 5 minutes.</w:t>
      </w:r>
    </w:p>
    <w:p>
      <w:pPr>
        <w:pStyle w:val="ListParagraph"/>
        <w:numPr>
          <w:ilvl w:val="0"/>
          <w:numId w:val="2"/>
        </w:numPr>
      </w:pPr>
      <w:r>
        <w:t xml:space="preserve">The remaining 95% of transactions go through the standard payment authorization path with no friction added.</w:t>
      </w:r>
    </w:p>
    <w:p>
      <w:pPr>
        <w:pStyle w:val="ListParagraph"/>
        <w:numPr>
          <w:ilvl w:val="0"/>
          <w:numId w:val="2"/>
        </w:numPr>
      </w:pPr>
      <w:r>
        <w:t xml:space="preserve">Every decision — approve, review, or decline — logs the top three factors that drove the score, so reviewers can see at a glance why a transaction was flagged.</w:t>
      </w:r>
    </w:p>
    <w:p>
      <w:r>
        <w:t xml:space="preserve">Retraining cadence: quarterly on fresh data, with weekly health-checks on calibration and recall.</w:t>
      </w:r>
    </w:p>
    <w:p>
      <w:pPr>
        <w:pStyle w:val="Heading1"/>
      </w:pPr>
      <w:r>
        <w:rPr>
          <w:b/>
          <w:bCs/>
        </w:rPr>
        <w:t xml:space="preserve">4. Key Drivers of Fraud</w:t>
      </w:r>
    </w:p>
    <w:p>
      <w:r>
        <w:t xml:space="preserve">The model identifies these as the strongest predictors of fraudulent activity, ranked by influence:</w:t>
      </w:r>
    </w:p>
    <w:p>
      <w:pPr>
        <w:pStyle w:val="ListParagraph"/>
        <w:numPr>
          <w:ilvl w:val="0"/>
          <w:numId w:val="2"/>
        </w:numPr>
      </w:pPr>
      <w:r>
        <w:t xml:space="preserve">Transaction amount and how it compares to the cardholder’s typical spend. Transactions sharply above or below the historical mean for a card are a strong signal.</w:t>
      </w:r>
    </w:p>
    <w:p>
      <w:pPr>
        <w:pStyle w:val="ListParagraph"/>
        <w:numPr>
          <w:ilvl w:val="0"/>
          <w:numId w:val="2"/>
        </w:numPr>
      </w:pPr>
      <w:r>
        <w:t xml:space="preserve">Spending-pattern variance for the card. Cards with very steady spending suddenly behaving erratically are flagged — this is a classic stolen-card pattern.</w:t>
      </w:r>
    </w:p>
    <w:p>
      <w:pPr>
        <w:pStyle w:val="ListParagraph"/>
        <w:numPr>
          <w:ilvl w:val="0"/>
          <w:numId w:val="2"/>
        </w:numPr>
      </w:pPr>
      <w:r>
        <w:t xml:space="preserve">Number of distinct billing addresses associated with the card or customer. A small number is normal; a sudden jump to many addresses is suspicious.</w:t>
      </w:r>
    </w:p>
    <w:p>
      <w:pPr>
        <w:pStyle w:val="ListParagraph"/>
        <w:numPr>
          <w:ilvl w:val="0"/>
          <w:numId w:val="2"/>
        </w:numPr>
      </w:pPr>
      <w:r>
        <w:t xml:space="preserve">Identity verification features (device fingerprint, IP-to-billing distance, email domain age). These are the strongest non-monetary signals.</w:t>
      </w:r>
    </w:p>
    <w:p>
      <w:pPr>
        <w:pStyle w:val="ListParagraph"/>
        <w:numPr>
          <w:ilvl w:val="0"/>
          <w:numId w:val="2"/>
        </w:numPr>
      </w:pPr>
      <w:r>
        <w:t xml:space="preserve">Behavioral clustering. Each transaction is compared to known clusters of past behavior; transactions that sit far from any normal cluster are pushed up the risk scale.</w:t>
      </w:r>
    </w:p>
    <w:p>
      <w:r>
        <w:t xml:space="preserve">These drivers map cleanly onto how a human investigator would think about a suspicious charge. Reviewers can be trained on the model’s reasoning quickly because it surfaces the same signals they already know.</w:t>
      </w:r>
    </w:p>
    <w:p>
      <w:pPr>
        <w:pStyle w:val="Heading1"/>
      </w:pPr>
      <w:r>
        <w:rPr>
          <w:b/>
          <w:bCs/>
        </w:rPr>
        <w:t xml:space="preserve">5. Business Impact</w:t>
      </w:r>
    </w:p>
    <w:p>
      <w:r>
        <w:t xml:space="preserve">E-commerce fraud costs the industry approximately 1–3% of revenue annually. Translating the model’s test-set performance into financial outcomes:</w:t>
      </w:r>
    </w:p>
    <w:p>
      <w:pPr>
        <w:pStyle w:val="ListParagraph"/>
        <w:numPr>
          <w:ilvl w:val="0"/>
          <w:numId w:val="2"/>
        </w:numPr>
      </w:pPr>
      <w:r>
        <w:t xml:space="preserve">Catching ~64% of fraud at the model’s precision is consistent with a 15–25% annual reduction in fraud-related losses if deployed as a real-time pre-authorization step.</w:t>
      </w:r>
    </w:p>
    <w:p>
      <w:pPr>
        <w:pStyle w:val="ListParagraph"/>
        <w:numPr>
          <w:ilvl w:val="0"/>
          <w:numId w:val="2"/>
        </w:numPr>
      </w:pPr>
      <w:r>
        <w:t xml:space="preserve">False-decline rates can be tuned independently from fraud catch rates by adjusting where we set the auto-decline threshold — risk and customer experience teams can pick the operating point.</w:t>
      </w:r>
    </w:p>
    <w:p>
      <w:pPr>
        <w:pStyle w:val="ListParagraph"/>
        <w:numPr>
          <w:ilvl w:val="0"/>
          <w:numId w:val="2"/>
        </w:numPr>
      </w:pPr>
      <w:r>
        <w:t xml:space="preserve">The review queue grows by an estimated 4–6% of total transaction volume, which a small team can absorb.</w:t>
      </w:r>
    </w:p>
    <w:p>
      <w:pPr>
        <w:pStyle w:val="ListParagraph"/>
        <w:numPr>
          <w:ilvl w:val="0"/>
          <w:numId w:val="2"/>
        </w:numPr>
      </w:pPr>
      <w:r>
        <w:t xml:space="preserve">Indirect benefits: faster approvals on low-risk transactions, fewer chargebacks (which carry their own costs and dispute overhead), and an evidence trail for every fraud decision.</w:t>
      </w:r>
    </w:p>
    <w:p>
      <w:r>
        <w:t xml:space="preserve">Net financial impact for a mid-sized e-commerce business processing $100M annually with a 1.5% baseline fraud rate: an estimated $250K–$400K in recovered revenue per year, before factoring in chargeback-fee savings.</w:t>
      </w:r>
    </w:p>
    <w:p>
      <w:pPr>
        <w:pStyle w:val="Heading1"/>
      </w:pPr>
      <w:r>
        <w:rPr>
          <w:b/>
          <w:bCs/>
        </w:rPr>
        <w:t xml:space="preserve">6. Risks and Limitations</w:t>
      </w:r>
    </w:p>
    <w:p>
      <w:r>
        <w:t xml:space="preserve">Three honest caveats:</w:t>
      </w:r>
    </w:p>
    <w:p>
      <w:pPr>
        <w:pStyle w:val="ListParagraph"/>
        <w:numPr>
          <w:ilvl w:val="0"/>
          <w:numId w:val="2"/>
        </w:numPr>
      </w:pPr>
      <w:r>
        <w:t xml:space="preserve">Sample size. The current model was trained on a representative slice of transaction data. Training on the full historical dataset is expected to tighten precision and recall by a few additional points; a production retrain on full data is the first step of pilot deployment.</w:t>
      </w:r>
    </w:p>
    <w:p>
      <w:pPr>
        <w:pStyle w:val="ListParagraph"/>
        <w:numPr>
          <w:ilvl w:val="0"/>
          <w:numId w:val="2"/>
        </w:numPr>
      </w:pPr>
      <w:r>
        <w:t xml:space="preserve">Class imbalance. Fraud is rare (~3.5% of transactions), so recall is the primary lever to optimize — small drops in recall mean a meaningful number of fraudulent dollars get through. Monthly recall monitoring is part of the operational plan.</w:t>
      </w:r>
    </w:p>
    <w:p>
      <w:pPr>
        <w:pStyle w:val="ListParagraph"/>
        <w:numPr>
          <w:ilvl w:val="0"/>
          <w:numId w:val="2"/>
        </w:numPr>
      </w:pPr>
      <w:r>
        <w:t xml:space="preserve">Concept drift. Fraud patterns evolve. New attack vectors (new card-testing scripts, new geographic origins, new merchant impersonations) will surface. Quarterly retraining is the planned mitigation; faster ad-hoc retrains for major incidents.</w:t>
      </w:r>
    </w:p>
    <w:p>
      <w:pPr>
        <w:pStyle w:val="ListParagraph"/>
        <w:numPr>
          <w:ilvl w:val="0"/>
          <w:numId w:val="2"/>
        </w:numPr>
      </w:pPr>
      <w:r>
        <w:t xml:space="preserve">Operational dependency. Real-time scoring depends on the deployment infrastructure being healthy; the live demo for this project runs on temporary academic-account credentials and rolls back to a local fallback automatically if the connection drops, but a production version would use a managed endpoint with full uptime monitoring.</w:t>
      </w:r>
    </w:p>
    <w:p>
      <w:pPr>
        <w:pStyle w:val="ListParagraph"/>
        <w:numPr>
          <w:ilvl w:val="0"/>
          <w:numId w:val="2"/>
        </w:numPr>
      </w:pPr>
      <w:r>
        <w:t xml:space="preserve">Bias. The training data reflects historical fraud-review decisions. If those decisions had systematic biases, the model could inherit them. Pilot deployment will include an independent review-stratification audit.</w:t>
      </w:r>
    </w:p>
    <w:p>
      <w:pPr>
        <w:pStyle w:val="Heading1"/>
      </w:pPr>
      <w:r>
        <w:rPr>
          <w:b/>
          <w:bCs/>
        </w:rPr>
        <w:t xml:space="preserve">7. Recommendation</w:t>
      </w:r>
    </w:p>
    <w:p>
      <w:r>
        <w:t xml:space="preserve">We recommend a 90-day shadow-mode pilot, in which the model scores live transactions in parallel with the existing fraud rules but does not yet make decisions. During the pilot:</w:t>
      </w:r>
    </w:p>
    <w:p>
      <w:pPr>
        <w:pStyle w:val="ListParagraph"/>
        <w:numPr>
          <w:ilvl w:val="0"/>
          <w:numId w:val="2"/>
        </w:numPr>
      </w:pPr>
      <w:r>
        <w:t xml:space="preserve">Compare the model’s would-be decisions against actual outcomes (fraud confirmed vs. legitimate).</w:t>
      </w:r>
    </w:p>
    <w:p>
      <w:pPr>
        <w:pStyle w:val="ListParagraph"/>
        <w:numPr>
          <w:ilvl w:val="0"/>
          <w:numId w:val="2"/>
        </w:numPr>
      </w:pPr>
      <w:r>
        <w:t xml:space="preserve">Validate the projected 15–25% loss-reduction range against real shop traffic.</w:t>
      </w:r>
    </w:p>
    <w:p>
      <w:pPr>
        <w:pStyle w:val="ListParagraph"/>
        <w:numPr>
          <w:ilvl w:val="0"/>
          <w:numId w:val="2"/>
        </w:numPr>
      </w:pPr>
      <w:r>
        <w:t xml:space="preserve">Surface any operational issues (latency, false-decline customer complaints, review-queue volume) before they affect customers.</w:t>
      </w:r>
    </w:p>
    <w:p>
      <w:r>
        <w:t xml:space="preserve">If the pilot confirms the projected lift, transition to a phased rollout: first hard-decline the top 1% of risk scores, then expand to the full review-and-decline policy described in Section 3. Total time from green-light to full deployment: approximately six months.</w:t>
      </w:r>
    </w:p>
    <w:p>
      <w:r>
        <w:rPr>
          <w:b/>
          <w:bCs/>
        </w:rPr>
        <w:t xml:space="preserve">We believe this model is ready for that pilot today.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Summary: Online Transaction Fraud Detection Model</dc:title>
  <dc:creator>Project 4 Team</dc:creator>
  <cp:lastModifiedBy>Un-named</cp:lastModifiedBy>
  <cp:revision>1</cp:revision>
  <dcterms:created xsi:type="dcterms:W3CDTF">2026-04-26T21:55:59.867Z</dcterms:created>
  <dcterms:modified xsi:type="dcterms:W3CDTF">2026-04-26T21:55:59.868Z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