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footer1.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Table.xml" ContentType="application/vnd.openxmlformats-officedocument.wordprocessingml.fontTabl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ind w:end="180"/>
        <w:jc w:val="center"/>
        <w:rPr>
          <w:rFonts w:ascii="Times New Roman" w:hAnsi="Times New Roman" w:eastAsia="Times New Roman" w:cs="Times New Roman"/>
          <w:i/>
          <w:iCs/>
          <w:sz w:val="24"/>
          <w:szCs w:val="24"/>
        </w:rPr>
      </w:pPr>
      <w:r>
        <w:rPr>
          <w:rFonts w:eastAsia="Times New Roman" w:cs="Times New Roman" w:ascii="Times New Roman" w:hAnsi="Times New Roman"/>
          <w:b/>
          <w:bCs/>
          <w:sz w:val="34"/>
          <w:szCs w:val="34"/>
        </w:rPr>
        <w:t>T</w:t>
      </w:r>
      <w:r>
        <w:rPr>
          <w:rFonts w:eastAsia="Times New Roman" w:cs="Times New Roman" w:ascii="Times New Roman" w:hAnsi="Times New Roman"/>
          <w:b/>
          <w:bCs/>
          <w:sz w:val="34"/>
          <w:szCs w:val="34"/>
        </w:rPr>
        <w:t>r</w:t>
      </w:r>
      <w:r>
        <w:rPr>
          <w:rFonts w:eastAsia="Times New Roman" w:cs="Times New Roman" w:ascii="Times New Roman" w:hAnsi="Times New Roman"/>
          <w:b/>
          <w:bCs/>
          <w:sz w:val="34"/>
          <w:szCs w:val="34"/>
        </w:rPr>
        <w:t>e</w:t>
      </w:r>
      <w:r>
        <w:rPr>
          <w:rFonts w:eastAsia="Times New Roman" w:cs="Times New Roman" w:ascii="Times New Roman" w:hAnsi="Times New Roman"/>
          <w:b/>
          <w:bCs/>
          <w:sz w:val="34"/>
          <w:szCs w:val="34"/>
        </w:rPr>
        <w:t>nt</w:t>
      </w:r>
      <w:r>
        <w:rPr>
          <w:rFonts w:eastAsia="Times New Roman" w:cs="Times New Roman" w:ascii="Times New Roman" w:hAnsi="Times New Roman"/>
          <w:b/>
          <w:bCs/>
          <w:sz w:val="34"/>
          <w:szCs w:val="34"/>
        </w:rPr>
        <w:t xml:space="preserve"> W. Dawson, Ph.D.</w:t>
      </w:r>
    </w:p>
    <w:p>
      <w:pPr>
        <w:pStyle w:val="Normal"/>
        <w:spacing w:lineRule="auto" w:line="240"/>
        <w:ind w:end="18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University of Nevada, Las Vegas</w:t>
      </w:r>
    </w:p>
    <w:p>
      <w:pPr>
        <w:pStyle w:val="Normal"/>
        <w:spacing w:lineRule="auto" w:line="240"/>
        <w:ind w:end="18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Las Vegas, Nevada 89154</w:t>
      </w:r>
    </w:p>
    <w:p>
      <w:pPr>
        <w:pStyle w:val="Normal"/>
        <w:spacing w:lineRule="auto" w:line="240"/>
        <w:ind w:end="18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ORCID ID: 0000-0003-1845-8696</w:t>
      </w:r>
    </w:p>
    <w:p>
      <w:pPr>
        <w:pStyle w:val="Normal"/>
        <w:spacing w:lineRule="auto" w:line="240"/>
        <w:ind w:end="180"/>
        <w:jc w:val="center"/>
        <w:rPr>
          <w:rFonts w:ascii="Times New Roman" w:hAnsi="Times New Roman" w:eastAsia="Times New Roman" w:cs="Times New Roman"/>
          <w:b/>
          <w:bCs/>
          <w:sz w:val="24"/>
          <w:szCs w:val="24"/>
        </w:rPr>
      </w:pPr>
      <w:r>
        <w:rPr>
          <w:rFonts w:eastAsia="Times New Roman" w:cs="Times New Roman" w:ascii="Times New Roman" w:hAnsi="Times New Roman"/>
          <w:sz w:val="24"/>
          <w:szCs w:val="24"/>
        </w:rPr>
        <w:t>(225) 348-7617 | dtrentonvt [at] gmail [dot] com</w:t>
      </w:r>
      <w:r>
        <w:rPr>
          <w:rFonts w:eastAsia="Times New Roman" w:cs="Times New Roman" w:ascii="Times New Roman" w:hAnsi="Times New Roman"/>
          <w:b/>
          <w:bCs/>
          <w:sz w:val="24"/>
          <w:szCs w:val="24"/>
        </w:rPr>
        <w:t xml:space="preserve"> </w:t>
      </w:r>
    </w:p>
    <w:p>
      <w:pPr>
        <w:pStyle w:val="Normal"/>
        <w:spacing w:lineRule="auto" w:line="240"/>
        <w:ind w:end="180"/>
        <w:jc w:val="center"/>
        <w:rPr>
          <w:rFonts w:ascii="Times New Roman" w:hAnsi="Times New Roman" w:eastAsia="Times New Roman" w:cs="Times New Roman"/>
          <w:sz w:val="24"/>
          <w:szCs w:val="24"/>
        </w:rPr>
      </w:pPr>
      <w:hyperlink r:id="rId2">
        <w:r>
          <w:rPr>
            <w:rStyle w:val="Style3"/>
            <w:rFonts w:eastAsia="Times New Roman" w:cs="Times New Roman" w:ascii="Times New Roman" w:hAnsi="Times New Roman"/>
            <w:color w:val="1155CC"/>
            <w:sz w:val="24"/>
            <w:szCs w:val="24"/>
            <w:u w:val="single"/>
          </w:rPr>
          <w:t>Google Scholar</w:t>
        </w:r>
      </w:hyperlink>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EDUCATION</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color w:val="000000"/>
          <w:sz w:val="24"/>
          <w:szCs w:val="24"/>
        </w:rPr>
        <w:t>Ph.D.</w:t>
      </w:r>
      <w:r>
        <w:rPr>
          <w:rFonts w:eastAsia="Times New Roman" w:cs="Times New Roman" w:ascii="Times New Roman" w:hAnsi="Times New Roman"/>
          <w:color w:val="000000"/>
          <w:sz w:val="24"/>
          <w:szCs w:val="24"/>
        </w:rPr>
        <w:t>, Louisiana State University (2022)</w:t>
      </w:r>
      <w:r>
        <w:rPr>
          <w:rFonts w:eastAsia="Times New Roman" w:cs="Times New Roman" w:ascii="Times New Roman" w:hAnsi="Times New Roman"/>
          <w:sz w:val="24"/>
          <w:szCs w:val="24"/>
        </w:rPr>
        <w:tab/>
        <w:tab/>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Curriculum Studies (Computer Science Education emphasis)</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Dissertation: Computer Science in Community Colleges: Attitudes and Trends </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Advisor: Kerri Tobin</w:t>
      </w:r>
      <w:r>
        <w:rPr>
          <w:rFonts w:eastAsia="Times New Roman" w:cs="Times New Roman" w:ascii="Times New Roman" w:hAnsi="Times New Roman"/>
          <w:color w:val="000000"/>
          <w:sz w:val="24"/>
          <w:szCs w:val="24"/>
        </w:rPr>
        <w:tab/>
        <w:tab/>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tab/>
        <w:tab/>
        <w:tab/>
        <w:tab/>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color w:val="000000"/>
          <w:sz w:val="24"/>
          <w:szCs w:val="24"/>
        </w:rPr>
        <w:t>M.Ed.</w:t>
      </w:r>
      <w:r>
        <w:rPr>
          <w:rFonts w:eastAsia="Times New Roman" w:cs="Times New Roman" w:ascii="Times New Roman" w:hAnsi="Times New Roman"/>
          <w:color w:val="000000"/>
          <w:sz w:val="24"/>
          <w:szCs w:val="24"/>
        </w:rPr>
        <w:t xml:space="preserve">, </w:t>
      </w:r>
      <w:r>
        <w:rPr>
          <w:rFonts w:eastAsia="Times New Roman" w:cs="Times New Roman" w:ascii="Times New Roman" w:hAnsi="Times New Roman"/>
          <w:sz w:val="24"/>
          <w:szCs w:val="24"/>
        </w:rPr>
        <w:t>Virginia Polytechnic Institute and State University (2017)</w:t>
        <w:tab/>
        <w:tab/>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Instructional Design and Technology</w:t>
      </w:r>
      <w:r>
        <w:rPr>
          <w:rFonts w:eastAsia="Times New Roman" w:cs="Times New Roman" w:ascii="Times New Roman" w:hAnsi="Times New Roman"/>
          <w:color w:val="000000"/>
          <w:sz w:val="24"/>
          <w:szCs w:val="24"/>
        </w:rPr>
        <w:tab/>
        <w:tab/>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B.B.A.</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000000"/>
          <w:sz w:val="24"/>
          <w:szCs w:val="24"/>
        </w:rPr>
        <w:t>The University o</w:t>
      </w:r>
      <w:r>
        <w:rPr>
          <w:rFonts w:eastAsia="Times New Roman" w:cs="Times New Roman" w:ascii="Times New Roman" w:hAnsi="Times New Roman"/>
          <w:sz w:val="24"/>
          <w:szCs w:val="24"/>
        </w:rPr>
        <w:t>f Oklahoma</w:t>
        <w:tab/>
        <w:t>(2002)</w:t>
        <w:tab/>
        <w:tab/>
        <w:tab/>
        <w:tab/>
        <w:tab/>
        <w:tab/>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Marketing</w:t>
      </w:r>
      <w:r>
        <w:rPr>
          <w:rFonts w:eastAsia="Times New Roman" w:cs="Times New Roman" w:ascii="Times New Roman" w:hAnsi="Times New Roman"/>
          <w:b/>
          <w:bCs/>
          <w:sz w:val="24"/>
          <w:szCs w:val="24"/>
        </w:rPr>
        <w:tab/>
        <w:tab/>
        <w:tab/>
        <w:tab/>
        <w:tab/>
        <w:tab/>
        <w:tab/>
      </w:r>
    </w:p>
    <w:p>
      <w:pPr>
        <w:pStyle w:val="Normal"/>
        <w:tabs>
          <w:tab w:val="clear" w:pos="720"/>
          <w:tab w:val="left" w:pos="7560" w:leader="none"/>
        </w:tabs>
        <w:spacing w:lineRule="auto" w:line="240"/>
        <w:ind w:start="288" w:end="180"/>
        <w:rPr>
          <w:rFonts w:ascii="Times New Roman" w:hAnsi="Times New Roman" w:eastAsia="Times New Roman" w:cs="Times New Roman"/>
          <w:b/>
          <w:bCs/>
          <w:sz w:val="24"/>
          <w:szCs w:val="24"/>
        </w:rPr>
      </w:pPr>
      <w:r>
        <w:rPr>
          <w:rFonts w:eastAsia="Times New Roman" w:cs="Times New Roman" w:ascii="Times New Roman" w:hAnsi="Times New Roman"/>
          <w:b/>
          <w:bCs/>
          <w:color w:val="000000"/>
          <w:sz w:val="24"/>
          <w:szCs w:val="24"/>
        </w:rPr>
        <w:tab/>
        <w:tab/>
      </w:r>
      <w:r>
        <w:rPr>
          <w:rFonts w:eastAsia="Times New Roman" w:cs="Times New Roman" w:ascii="Times New Roman" w:hAnsi="Times New Roman"/>
          <w:b/>
          <w:bCs/>
          <w:sz w:val="24"/>
          <w:szCs w:val="24"/>
        </w:rPr>
        <w:t xml:space="preserve"> </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mallCaps/>
          <w:sz w:val="24"/>
          <w:szCs w:val="24"/>
        </w:rPr>
        <w:t xml:space="preserve">ACADEMIC APPOINTMENTS </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Assistant Professor</w:t>
        <w:tab/>
        <w:tab/>
        <w:tab/>
        <w:tab/>
        <w:tab/>
        <w:tab/>
        <w:tab/>
        <w:tab/>
        <w:tab/>
        <w:tab/>
      </w:r>
      <w:r>
        <w:rPr>
          <w:rFonts w:eastAsia="Times New Roman" w:cs="Times New Roman" w:ascii="Times New Roman" w:hAnsi="Times New Roman"/>
          <w:sz w:val="24"/>
          <w:szCs w:val="24"/>
        </w:rPr>
        <w:t>June 2026</w:t>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Director, Governors Cyber Academy</w:t>
        <w:tab/>
        <w:tab/>
        <w:tab/>
        <w:tab/>
        <w:tab/>
        <w:tab/>
        <w:tab/>
      </w:r>
      <w:r>
        <w:rPr>
          <w:rFonts w:eastAsia="Times New Roman" w:cs="Times New Roman" w:ascii="Times New Roman" w:hAnsi="Times New Roman"/>
          <w:sz w:val="24"/>
          <w:szCs w:val="24"/>
        </w:rPr>
        <w:t>June 2026</w:t>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Dakota State University</w:t>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College of Education and Human Performance</w:t>
        <w:tab/>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rPr>
          <w:rFonts w:ascii="Times New Roman" w:hAnsi="Times New Roman" w:eastAsia="Times New Roman" w:cs="Times New Roman"/>
          <w:b/>
          <w:bCs/>
          <w:i/>
          <w:iCs/>
          <w:sz w:val="24"/>
          <w:szCs w:val="24"/>
        </w:rPr>
      </w:pPr>
      <w:r>
        <w:rPr>
          <w:rFonts w:eastAsia="Times New Roman" w:cs="Times New Roman" w:ascii="Times New Roman" w:hAnsi="Times New Roman"/>
          <w:b/>
          <w:bCs/>
          <w:sz w:val="24"/>
          <w:szCs w:val="24"/>
        </w:rPr>
        <w:t>Postdoctoral Fellow</w:t>
      </w:r>
      <w:r>
        <w:rPr>
          <w:rFonts w:eastAsia="Times New Roman" w:cs="Times New Roman" w:ascii="Times New Roman" w:hAnsi="Times New Roman"/>
          <w:sz w:val="24"/>
          <w:szCs w:val="24"/>
        </w:rPr>
        <w:tab/>
        <w:tab/>
        <w:tab/>
      </w:r>
      <w:r>
        <w:rPr>
          <w:rFonts w:eastAsia="Times New Roman" w:cs="Times New Roman" w:ascii="Times New Roman" w:hAnsi="Times New Roman"/>
          <w:b/>
          <w:bCs/>
          <w:i/>
          <w:iCs/>
          <w:sz w:val="24"/>
          <w:szCs w:val="24"/>
        </w:rPr>
        <w:tab/>
        <w:tab/>
        <w:tab/>
        <w:tab/>
        <w:tab/>
        <w:tab/>
        <w:tab/>
      </w:r>
      <w:r>
        <w:rPr>
          <w:rFonts w:eastAsia="Times New Roman" w:cs="Times New Roman" w:ascii="Times New Roman" w:hAnsi="Times New Roman"/>
          <w:sz w:val="24"/>
          <w:szCs w:val="24"/>
        </w:rPr>
        <w:t xml:space="preserve">2025–2026 </w:t>
      </w:r>
      <w:r>
        <w:rPr>
          <w:rFonts w:eastAsia="Times New Roman" w:cs="Times New Roman" w:ascii="Times New Roman" w:hAnsi="Times New Roman"/>
          <w:b/>
          <w:bCs/>
          <w:i/>
          <w:iCs/>
          <w:sz w:val="24"/>
          <w:szCs w:val="24"/>
        </w:rPr>
        <w:tab/>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University of Nevada, Las Vegas</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College of Education</w:t>
      </w:r>
    </w:p>
    <w:p>
      <w:pPr>
        <w:pStyle w:val="Normal"/>
        <w:tabs>
          <w:tab w:val="clear" w:pos="720"/>
          <w:tab w:val="left" w:pos="7560" w:leader="none"/>
        </w:tabs>
        <w:spacing w:lineRule="auto" w:line="240"/>
        <w:ind w:start="63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b/>
        <w:tab/>
        <w:tab/>
        <w:tab/>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Postdoctoral Researcher</w:t>
        <w:tab/>
        <w:tab/>
        <w:tab/>
        <w:tab/>
        <w:tab/>
        <w:tab/>
        <w:tab/>
        <w:tab/>
        <w:tab/>
      </w:r>
      <w:r>
        <w:rPr>
          <w:rFonts w:eastAsia="Times New Roman" w:cs="Times New Roman" w:ascii="Times New Roman" w:hAnsi="Times New Roman"/>
          <w:sz w:val="24"/>
          <w:szCs w:val="24"/>
        </w:rPr>
        <w:t>2024</w:t>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Adjunct Assistant Professor </w:t>
      </w:r>
      <w:r>
        <w:rPr>
          <w:rFonts w:eastAsia="Times New Roman" w:cs="Times New Roman" w:ascii="Times New Roman" w:hAnsi="Times New Roman"/>
          <w:sz w:val="24"/>
          <w:szCs w:val="24"/>
        </w:rPr>
        <w:tab/>
        <w:tab/>
        <w:tab/>
        <w:tab/>
        <w:tab/>
        <w:tab/>
        <w:tab/>
        <w:tab/>
        <w:t>2024</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The University of Texas at Arlington</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Department of Curriculum and Instruction</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mallCaps/>
          <w:sz w:val="24"/>
          <w:szCs w:val="24"/>
        </w:rPr>
        <w:t xml:space="preserve">PROFESSIONAL EXPERIENCE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Educational Program Manager</w:t>
      </w:r>
      <w:r>
        <w:rPr>
          <w:rFonts w:eastAsia="Times New Roman" w:cs="Times New Roman" w:ascii="Times New Roman" w:hAnsi="Times New Roman"/>
          <w:b/>
          <w:bCs/>
          <w:i/>
          <w:iCs/>
          <w:sz w:val="24"/>
          <w:szCs w:val="24"/>
        </w:rPr>
        <w:t xml:space="preserve"> </w:t>
      </w:r>
      <w:r>
        <w:rPr>
          <w:rFonts w:eastAsia="Times New Roman" w:cs="Times New Roman" w:ascii="Times New Roman" w:hAnsi="Times New Roman"/>
          <w:sz w:val="24"/>
          <w:szCs w:val="24"/>
        </w:rPr>
        <w:tab/>
        <w:tab/>
        <w:tab/>
        <w:tab/>
        <w:tab/>
        <w:tab/>
        <w:tab/>
        <w:tab/>
        <w:t>2023–2024 University of North Texas Health Sciences Center</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Department of Educational Programs</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tab/>
        <w:tab/>
        <w:tab/>
        <w:tab/>
      </w:r>
    </w:p>
    <w:p>
      <w:pPr>
        <w:pStyle w:val="Normal"/>
        <w:tabs>
          <w:tab w:val="clear" w:pos="720"/>
          <w:tab w:val="left" w:pos="720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Assessment Coordinator </w:t>
      </w:r>
      <w:r>
        <w:rPr>
          <w:rFonts w:eastAsia="Times New Roman" w:cs="Times New Roman" w:ascii="Times New Roman" w:hAnsi="Times New Roman"/>
          <w:sz w:val="24"/>
          <w:szCs w:val="24"/>
        </w:rPr>
        <w:tab/>
        <w:tab/>
        <w:tab/>
        <w:t xml:space="preserve">2023 </w:t>
      </w:r>
      <w:r>
        <w:rPr>
          <w:rFonts w:eastAsia="Times New Roman" w:cs="Times New Roman" w:ascii="Times New Roman" w:hAnsi="Times New Roman"/>
          <w:b/>
          <w:bCs/>
          <w:sz w:val="24"/>
          <w:szCs w:val="24"/>
        </w:rPr>
        <w:tab/>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University of California, Merced</w:t>
        <w:br/>
        <w:t>Office of Assessment and Institutional Effectiveness</w:t>
        <w:tab/>
      </w:r>
    </w:p>
    <w:p>
      <w:pPr>
        <w:pStyle w:val="Normal"/>
        <w:tabs>
          <w:tab w:val="clear" w:pos="720"/>
          <w:tab w:val="left" w:pos="7560" w:leader="none"/>
        </w:tabs>
        <w:spacing w:lineRule="auto" w:line="240"/>
        <w:ind w:start="288"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Graduate Assistant </w:t>
      </w:r>
      <w:r>
        <w:rPr>
          <w:rFonts w:eastAsia="Times New Roman" w:cs="Times New Roman" w:ascii="Times New Roman" w:hAnsi="Times New Roman"/>
          <w:sz w:val="24"/>
          <w:szCs w:val="24"/>
        </w:rPr>
        <w:tab/>
        <w:tab/>
        <w:tab/>
        <w:tab/>
        <w:tab/>
        <w:tab/>
        <w:tab/>
        <w:tab/>
        <w:tab/>
        <w:tab/>
        <w:t>2019–2021</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Louisiana State University</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College of Education</w:t>
        <w:tab/>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Instructor</w:t>
        <w:tab/>
        <w:tab/>
        <w:tab/>
        <w:tab/>
        <w:tab/>
        <w:tab/>
        <w:tab/>
        <w:tab/>
        <w:tab/>
        <w:tab/>
        <w:tab/>
      </w:r>
      <w:r>
        <w:rPr>
          <w:rFonts w:eastAsia="Times New Roman" w:cs="Times New Roman" w:ascii="Times New Roman" w:hAnsi="Times New Roman"/>
          <w:sz w:val="24"/>
          <w:szCs w:val="24"/>
        </w:rPr>
        <w:t>2018–2019</w:t>
      </w:r>
      <w:r>
        <w:rPr>
          <w:rFonts w:eastAsia="Times New Roman" w:cs="Times New Roman" w:ascii="Times New Roman" w:hAnsi="Times New Roman"/>
          <w:b/>
          <w:bCs/>
          <w:sz w:val="24"/>
          <w:szCs w:val="24"/>
        </w:rPr>
        <w:t xml:space="preserve"> </w:t>
      </w:r>
      <w:r>
        <w:rPr>
          <w:rFonts w:eastAsia="Times New Roman" w:cs="Times New Roman" w:ascii="Times New Roman" w:hAnsi="Times New Roman"/>
          <w:sz w:val="24"/>
          <w:szCs w:val="24"/>
        </w:rPr>
        <w:t>South Louisiana Community College</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Baton Rouge Community College </w:t>
      </w:r>
    </w:p>
    <w:p>
      <w:pPr>
        <w:pStyle w:val="Normal"/>
        <w:tabs>
          <w:tab w:val="clear" w:pos="720"/>
          <w:tab w:val="left" w:pos="7193"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tab/>
        <w:tab/>
        <w:t xml:space="preserve">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Graduate Assistant </w:t>
        <w:tab/>
        <w:tab/>
        <w:tab/>
        <w:tab/>
        <w:tab/>
        <w:tab/>
        <w:tab/>
        <w:tab/>
        <w:tab/>
        <w:tab/>
      </w:r>
      <w:r>
        <w:rPr>
          <w:rFonts w:eastAsia="Times New Roman" w:cs="Times New Roman" w:ascii="Times New Roman" w:hAnsi="Times New Roman"/>
          <w:sz w:val="24"/>
          <w:szCs w:val="24"/>
        </w:rPr>
        <w:t>2016–2017</w:t>
      </w:r>
      <w:r>
        <w:rPr>
          <w:rFonts w:eastAsia="Times New Roman" w:cs="Times New Roman" w:ascii="Times New Roman" w:hAnsi="Times New Roman"/>
          <w:b/>
          <w:bCs/>
          <w:sz w:val="24"/>
          <w:szCs w:val="24"/>
        </w:rPr>
        <w:t xml:space="preserve"> </w:t>
      </w:r>
      <w:r>
        <w:rPr>
          <w:rFonts w:eastAsia="Times New Roman" w:cs="Times New Roman" w:ascii="Times New Roman" w:hAnsi="Times New Roman"/>
          <w:sz w:val="24"/>
          <w:szCs w:val="24"/>
        </w:rPr>
        <w:t>Virginia Tech</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APEX Center for Entrepreneurship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Pamplin College of Business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tab/>
        <w:tab/>
        <w:tab/>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t>PUBLICATIONS</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Peer-Reviewed Conference Proceedings</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[7] </w:t>
      </w:r>
      <w:r>
        <w:rPr>
          <w:rFonts w:eastAsia="Times New Roman" w:cs="Times New Roman" w:ascii="Times New Roman" w:hAnsi="Times New Roman"/>
          <w:b/>
          <w:bCs/>
          <w:sz w:val="24"/>
          <w:szCs w:val="24"/>
        </w:rPr>
        <w:t xml:space="preserve">Dawson, T. W. </w:t>
      </w:r>
      <w:r>
        <w:rPr>
          <w:rFonts w:eastAsia="Times New Roman" w:cs="Times New Roman" w:ascii="Times New Roman" w:hAnsi="Times New Roman"/>
          <w:sz w:val="24"/>
          <w:szCs w:val="24"/>
        </w:rPr>
        <w:t>(2026). Exploring self-doubt in community college computer science: Evidence from exploratory factor analysis. In</w:t>
      </w:r>
      <w:r>
        <w:rPr>
          <w:rFonts w:eastAsia="Times New Roman" w:cs="Times New Roman" w:ascii="Times New Roman" w:hAnsi="Times New Roman"/>
          <w:i/>
          <w:iCs/>
          <w:sz w:val="24"/>
          <w:szCs w:val="24"/>
        </w:rPr>
        <w:t xml:space="preserve"> Proceedings of the 57th Technical Symposium on Computer Science Education (SIGCSE)</w:t>
      </w: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highlight w:val="white"/>
        </w:rPr>
        <w:t xml:space="preserve">pp. 1283–1284. </w:t>
      </w:r>
      <w:r>
        <w:rPr>
          <w:rFonts w:eastAsia="Times New Roman" w:cs="Times New Roman" w:ascii="Times New Roman" w:hAnsi="Times New Roman"/>
          <w:sz w:val="24"/>
          <w:szCs w:val="24"/>
        </w:rPr>
        <w:t xml:space="preserve">St. Louis, MO. </w:t>
      </w:r>
      <w:hyperlink r:id="rId3">
        <w:r>
          <w:rPr>
            <w:rStyle w:val="Style3"/>
            <w:rFonts w:eastAsia="Times New Roman" w:cs="Times New Roman" w:ascii="Times New Roman" w:hAnsi="Times New Roman"/>
            <w:color w:val="1155CC"/>
            <w:sz w:val="24"/>
            <w:szCs w:val="24"/>
            <w:u w:val="single"/>
          </w:rPr>
          <w:t>https://doi.org/10.1145/3770761.3777171</w:t>
        </w:r>
      </w:hyperlink>
      <w:r>
        <w:rPr>
          <w:rFonts w:eastAsia="Times New Roman" w:cs="Times New Roman" w:ascii="Times New Roman" w:hAnsi="Times New Roman"/>
          <w:sz w:val="24"/>
          <w:szCs w:val="24"/>
        </w:rPr>
        <w:t xml:space="preserve">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[6]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Sahin, B., Hack, M., &amp; Fasching-Varner, K. J. (2026). Investigating pre-service teachers’ perceived program support and its relationship to teaching self-efficacy across traditional and apprenticeship pathways</w:t>
      </w:r>
      <w:r>
        <w:rPr>
          <w:rFonts w:eastAsia="Times New Roman" w:cs="Times New Roman" w:ascii="Times New Roman" w:hAnsi="Times New Roman"/>
          <w:i/>
          <w:iCs/>
          <w:sz w:val="24"/>
          <w:szCs w:val="24"/>
        </w:rPr>
        <w:t xml:space="preserve">. </w:t>
      </w:r>
      <w:r>
        <w:rPr>
          <w:rFonts w:eastAsia="Times New Roman" w:cs="Times New Roman" w:ascii="Times New Roman" w:hAnsi="Times New Roman"/>
          <w:sz w:val="24"/>
          <w:szCs w:val="24"/>
        </w:rPr>
        <w:t xml:space="preserve">In </w:t>
      </w:r>
      <w:r>
        <w:rPr>
          <w:rFonts w:eastAsia="Times New Roman" w:cs="Times New Roman" w:ascii="Times New Roman" w:hAnsi="Times New Roman"/>
          <w:i/>
          <w:iCs/>
          <w:sz w:val="24"/>
          <w:szCs w:val="24"/>
        </w:rPr>
        <w:t>Proceedings of the Annual Meeting of the American Educational Research Association (AERA</w:t>
      </w:r>
      <w:r>
        <w:rPr>
          <w:rFonts w:eastAsia="Times New Roman" w:cs="Times New Roman" w:ascii="Times New Roman" w:hAnsi="Times New Roman"/>
          <w:sz w:val="24"/>
          <w:szCs w:val="24"/>
        </w:rPr>
        <w:t>), Los Angeles, CA.</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[5]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(2026). Adapting computing attitudes surveys for community college students: Emerging constructs from factor analysis. In </w:t>
      </w:r>
      <w:r>
        <w:rPr>
          <w:rFonts w:eastAsia="Times New Roman" w:cs="Times New Roman" w:ascii="Times New Roman" w:hAnsi="Times New Roman"/>
          <w:i/>
          <w:iCs/>
          <w:sz w:val="24"/>
          <w:szCs w:val="24"/>
        </w:rPr>
        <w:t>Proceedings of the Annual Meeting of the American Educational Research Association (AERA)</w:t>
      </w:r>
      <w:r>
        <w:rPr>
          <w:rFonts w:eastAsia="Times New Roman" w:cs="Times New Roman" w:ascii="Times New Roman" w:hAnsi="Times New Roman"/>
          <w:sz w:val="24"/>
          <w:szCs w:val="24"/>
        </w:rPr>
        <w:t>, Los Angeles, CA.</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[4] Joshi, D., Joswick, C., Jocius, R., Albert, J., Blanton, M., Petrulin, B., &amp; </w:t>
      </w:r>
      <w:r>
        <w:rPr>
          <w:rFonts w:eastAsia="Times New Roman" w:cs="Times New Roman" w:ascii="Times New Roman" w:hAnsi="Times New Roman"/>
          <w:b/>
          <w:bCs/>
          <w:sz w:val="24"/>
          <w:szCs w:val="24"/>
        </w:rPr>
        <w:t xml:space="preserve">Dawson, T.W. </w:t>
      </w:r>
      <w:r>
        <w:rPr>
          <w:rFonts w:eastAsia="Times New Roman" w:cs="Times New Roman" w:ascii="Times New Roman" w:hAnsi="Times New Roman"/>
          <w:sz w:val="24"/>
          <w:szCs w:val="24"/>
        </w:rPr>
        <w:t xml:space="preserve">(2025). Assessing elementary teachers’ knowledge of integrated computational thinking. In </w:t>
      </w:r>
      <w:r>
        <w:rPr>
          <w:rFonts w:eastAsia="Times New Roman" w:cs="Times New Roman" w:ascii="Times New Roman" w:hAnsi="Times New Roman"/>
          <w:i/>
          <w:iCs/>
          <w:sz w:val="24"/>
          <w:szCs w:val="24"/>
        </w:rPr>
        <w:t xml:space="preserve">Proceedings of the 56th Annual Technical Symposium on Computer Science Education (SIGCSE TS 2025), </w:t>
      </w:r>
      <w:r>
        <w:rPr>
          <w:rFonts w:eastAsia="Times New Roman" w:cs="Times New Roman" w:ascii="Times New Roman" w:hAnsi="Times New Roman"/>
          <w:sz w:val="24"/>
          <w:szCs w:val="24"/>
        </w:rPr>
        <w:t xml:space="preserve">pp. 1501–1502. Pittsburgh, PA. </w:t>
      </w:r>
      <w:hyperlink r:id="rId4">
        <w:r>
          <w:rPr>
            <w:rStyle w:val="Style3"/>
            <w:rFonts w:eastAsia="Times New Roman" w:cs="Times New Roman" w:ascii="Times New Roman" w:hAnsi="Times New Roman"/>
            <w:color w:val="1155CC"/>
            <w:sz w:val="24"/>
            <w:szCs w:val="24"/>
            <w:u w:val="single"/>
          </w:rPr>
          <w:t>https://doi.org/10.1145/3641555.3705131</w:t>
        </w:r>
      </w:hyperlink>
      <w:r>
        <w:rPr>
          <w:rFonts w:eastAsia="Times New Roman" w:cs="Times New Roman" w:ascii="Times New Roman" w:hAnsi="Times New Roman"/>
          <w:sz w:val="24"/>
          <w:szCs w:val="24"/>
        </w:rPr>
        <w:t xml:space="preserve">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[3]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Calabrese, J. E., &amp; Joswick, C. (2025). The learning styles zombie concept: A systematic review of NCTM publications.</w:t>
      </w:r>
      <w:r>
        <w:rPr>
          <w:rFonts w:eastAsia="Times New Roman" w:cs="Times New Roman" w:ascii="Times New Roman" w:hAnsi="Times New Roman"/>
          <w:i/>
          <w:iCs/>
          <w:sz w:val="24"/>
          <w:szCs w:val="24"/>
        </w:rPr>
        <w:t xml:space="preserve"> </w:t>
      </w:r>
      <w:r>
        <w:rPr>
          <w:rFonts w:eastAsia="Times New Roman" w:cs="Times New Roman" w:ascii="Times New Roman" w:hAnsi="Times New Roman"/>
          <w:sz w:val="24"/>
          <w:szCs w:val="24"/>
        </w:rPr>
        <w:t xml:space="preserve">In </w:t>
      </w:r>
      <w:r>
        <w:rPr>
          <w:rFonts w:eastAsia="Times New Roman" w:cs="Times New Roman" w:ascii="Times New Roman" w:hAnsi="Times New Roman"/>
          <w:i/>
          <w:iCs/>
          <w:sz w:val="24"/>
          <w:szCs w:val="24"/>
        </w:rPr>
        <w:t>Proceedings of the Annual Meeting of the American Educational Research Association (AERA)</w:t>
      </w:r>
      <w:r>
        <w:rPr>
          <w:rFonts w:eastAsia="Times New Roman" w:cs="Times New Roman" w:ascii="Times New Roman" w:hAnsi="Times New Roman"/>
          <w:sz w:val="24"/>
          <w:szCs w:val="24"/>
        </w:rPr>
        <w:t>, Denver, CO.</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[2]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(2021). The block-based, text-based, and CS1 prepared. In </w:t>
      </w:r>
      <w:r>
        <w:rPr>
          <w:rFonts w:eastAsia="Times New Roman" w:cs="Times New Roman" w:ascii="Times New Roman" w:hAnsi="Times New Roman"/>
          <w:i/>
          <w:iCs/>
          <w:sz w:val="24"/>
          <w:szCs w:val="24"/>
        </w:rPr>
        <w:t>Proceedings of the 17th Annual Conference on International Computing Education Research (ICER)</w:t>
      </w:r>
      <w:r>
        <w:rPr>
          <w:rFonts w:eastAsia="Times New Roman" w:cs="Times New Roman" w:ascii="Times New Roman" w:hAnsi="Times New Roman"/>
          <w:sz w:val="24"/>
          <w:szCs w:val="24"/>
        </w:rPr>
        <w:t>, pp. 413–414. Virtual.</w:t>
      </w:r>
      <w:hyperlink r:id="rId5">
        <w:r>
          <w:rPr>
            <w:rStyle w:val="Style3"/>
            <w:rFonts w:eastAsia="Times New Roman" w:cs="Times New Roman" w:ascii="Times New Roman" w:hAnsi="Times New Roman"/>
            <w:sz w:val="24"/>
            <w:szCs w:val="24"/>
          </w:rPr>
          <w:t xml:space="preserve"> </w:t>
        </w:r>
      </w:hyperlink>
      <w:hyperlink r:id="rId6">
        <w:r>
          <w:rPr>
            <w:rStyle w:val="Style3"/>
            <w:rFonts w:eastAsia="Times New Roman" w:cs="Times New Roman" w:ascii="Times New Roman" w:hAnsi="Times New Roman"/>
            <w:color w:val="1155CC"/>
            <w:sz w:val="24"/>
            <w:szCs w:val="24"/>
            <w:u w:val="single"/>
          </w:rPr>
          <w:t>https://doi.org/10.1145/3446871.3469777</w:t>
        </w:r>
      </w:hyperlink>
      <w:r>
        <w:rPr>
          <w:rFonts w:eastAsia="Times New Roman" w:cs="Times New Roman" w:ascii="Times New Roman" w:hAnsi="Times New Roman"/>
          <w:sz w:val="24"/>
          <w:szCs w:val="24"/>
        </w:rPr>
        <w:t xml:space="preserve">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tabs>
          <w:tab w:val="clear" w:pos="720"/>
          <w:tab w:val="left" w:pos="4351" w:leader="none"/>
        </w:tabs>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 Alegre, F., Moreno, J.,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Tanjong, E. E., &amp; Kirshner, D. H. (2020). Computational thinking for STEM teacher leadership training at Louisiana State University. In </w:t>
      </w:r>
      <w:r>
        <w:rPr>
          <w:rFonts w:eastAsia="Times New Roman" w:cs="Times New Roman" w:ascii="Times New Roman" w:hAnsi="Times New Roman"/>
          <w:i/>
          <w:iCs/>
          <w:sz w:val="24"/>
          <w:szCs w:val="24"/>
        </w:rPr>
        <w:t>Proceedings of the Annual Research on Equity and Sustained Participation in Engineering, Computing, and Technology (RESPECT)</w:t>
      </w:r>
      <w:r>
        <w:rPr>
          <w:rFonts w:eastAsia="Times New Roman" w:cs="Times New Roman" w:ascii="Times New Roman" w:hAnsi="Times New Roman"/>
          <w:sz w:val="24"/>
          <w:szCs w:val="24"/>
        </w:rPr>
        <w:t xml:space="preserve">, pp. 1–2. Portland, OR. </w:t>
      </w:r>
      <w:hyperlink r:id="rId7">
        <w:r>
          <w:rPr>
            <w:rStyle w:val="Style3"/>
            <w:rFonts w:eastAsia="Times New Roman" w:cs="Times New Roman" w:ascii="Times New Roman" w:hAnsi="Times New Roman"/>
            <w:color w:val="1155CC"/>
            <w:sz w:val="24"/>
            <w:szCs w:val="24"/>
            <w:u w:val="single"/>
          </w:rPr>
          <w:t>https://doi.org/10.1109/RESPECT49803.2020.9272455</w:t>
        </w:r>
      </w:hyperlink>
      <w:r>
        <w:rPr>
          <w:rFonts w:eastAsia="Times New Roman" w:cs="Times New Roman" w:ascii="Times New Roman" w:hAnsi="Times New Roman"/>
          <w:sz w:val="24"/>
          <w:szCs w:val="24"/>
        </w:rPr>
        <w:t xml:space="preserve"> </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rPr>
          <w:rFonts w:ascii="Times New Roman" w:hAnsi="Times New Roman" w:eastAsia="Times New Roman" w:cs="Times New Roman"/>
          <w:i/>
          <w:iCs/>
          <w:sz w:val="24"/>
          <w:szCs w:val="24"/>
        </w:rPr>
      </w:pPr>
      <w:r>
        <w:rPr>
          <w:rFonts w:eastAsia="Times New Roman" w:cs="Times New Roman" w:ascii="Times New Roman" w:hAnsi="Times New Roman"/>
          <w:b/>
          <w:bCs/>
          <w:sz w:val="24"/>
          <w:szCs w:val="24"/>
        </w:rPr>
        <w:t>Peer-Reviewed Journal Articles in Revision/Review</w:t>
      </w:r>
      <w:r>
        <w:rPr>
          <w:rFonts w:eastAsia="Times New Roman" w:cs="Times New Roman" w:ascii="Times New Roman" w:hAnsi="Times New Roman"/>
          <w:i/>
          <w:iCs/>
          <w:sz w:val="24"/>
          <w:szCs w:val="24"/>
        </w:rPr>
        <w:t xml:space="preserve">. </w:t>
      </w:r>
    </w:p>
    <w:p>
      <w:pPr>
        <w:pStyle w:val="Normal"/>
        <w:spacing w:lineRule="auto" w:line="240"/>
        <w:ind w:start="720" w:end="180"/>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r>
    </w:p>
    <w:p>
      <w:pPr>
        <w:pStyle w:val="Normal"/>
        <w:spacing w:lineRule="auto" w:line="240"/>
        <w:ind w:hanging="360" w:start="360" w:end="180"/>
        <w:rPr>
          <w:rFonts w:ascii="Times New Roman" w:hAnsi="Times New Roman" w:eastAsia="Times New Roman" w:cs="Times New Roman"/>
          <w:i/>
          <w:iCs/>
          <w:sz w:val="24"/>
          <w:szCs w:val="24"/>
        </w:rPr>
      </w:pPr>
      <w:r>
        <w:rPr>
          <w:rFonts w:eastAsia="Times New Roman" w:cs="Times New Roman" w:ascii="Times New Roman" w:hAnsi="Times New Roman"/>
          <w:sz w:val="24"/>
          <w:szCs w:val="24"/>
        </w:rPr>
        <w:t>[4]</w:t>
      </w:r>
      <w:r>
        <w:rPr>
          <w:rFonts w:eastAsia="Times New Roman" w:cs="Times New Roman" w:ascii="Times New Roman" w:hAnsi="Times New Roman"/>
          <w:b/>
          <w:bCs/>
          <w:sz w:val="24"/>
          <w:szCs w:val="24"/>
        </w:rPr>
        <w:t xml:space="preserve"> Dawson, T.W.</w:t>
      </w:r>
      <w:r>
        <w:rPr>
          <w:rFonts w:eastAsia="Times New Roman" w:cs="Times New Roman" w:ascii="Times New Roman" w:hAnsi="Times New Roman"/>
          <w:sz w:val="24"/>
          <w:szCs w:val="24"/>
        </w:rPr>
        <w:t xml:space="preserve">, Joswick, C., Tobin, K., &amp; Karadimou, O. (in press). Exploring community college students’ perceptions of computer science: A pilot study of adapted computing attitudes surveys. </w:t>
      </w:r>
      <w:r>
        <w:rPr>
          <w:rFonts w:eastAsia="Times New Roman" w:cs="Times New Roman" w:ascii="Times New Roman" w:hAnsi="Times New Roman"/>
          <w:i/>
          <w:iCs/>
          <w:sz w:val="24"/>
          <w:szCs w:val="24"/>
        </w:rPr>
        <w:t>Community College Enterprise.</w:t>
      </w:r>
    </w:p>
    <w:p>
      <w:pPr>
        <w:pStyle w:val="Normal"/>
        <w:spacing w:lineRule="auto" w:line="240"/>
        <w:ind w:hanging="360" w:start="360" w:end="180"/>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[3] </w:t>
      </w:r>
      <w:r>
        <w:rPr>
          <w:rFonts w:eastAsia="Times New Roman" w:cs="Times New Roman" w:ascii="Times New Roman" w:hAnsi="Times New Roman"/>
          <w:b/>
          <w:bCs/>
          <w:sz w:val="24"/>
          <w:szCs w:val="24"/>
        </w:rPr>
        <w:t>Dawson, T.W.</w:t>
      </w:r>
      <w:r>
        <w:rPr>
          <w:rFonts w:eastAsia="Times New Roman" w:cs="Times New Roman" w:ascii="Times New Roman" w:hAnsi="Times New Roman"/>
          <w:sz w:val="24"/>
          <w:szCs w:val="24"/>
        </w:rPr>
        <w:t xml:space="preserve">, Butler, M., &amp; Fasching-Varner, K.J. (revise &amp; resubmit). What counts as competent teaching? A systematic narrative synthesis of teacher competencies in K–12 education. </w:t>
      </w:r>
      <w:r>
        <w:rPr>
          <w:rFonts w:eastAsia="Times New Roman" w:cs="Times New Roman" w:ascii="Times New Roman" w:hAnsi="Times New Roman"/>
          <w:i/>
          <w:iCs/>
          <w:sz w:val="24"/>
          <w:szCs w:val="24"/>
        </w:rPr>
        <w:t>Teaching and Teacher Education</w:t>
      </w:r>
      <w:r>
        <w:rPr>
          <w:rFonts w:eastAsia="Times New Roman" w:cs="Times New Roman" w:ascii="Times New Roman" w:hAnsi="Times New Roman"/>
          <w:sz w:val="24"/>
          <w:szCs w:val="24"/>
        </w:rPr>
        <w:t>.</w:t>
      </w:r>
    </w:p>
    <w:p>
      <w:pPr>
        <w:pStyle w:val="Normal"/>
        <w:spacing w:lineRule="auto" w:line="240"/>
        <w:ind w:hanging="360" w:start="360"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hanging="360" w:start="360" w:end="180"/>
        <w:rPr>
          <w:rFonts w:ascii="Times New Roman" w:hAnsi="Times New Roman" w:eastAsia="Times New Roman" w:cs="Times New Roman"/>
          <w:i/>
          <w:iCs/>
          <w:sz w:val="24"/>
          <w:szCs w:val="24"/>
        </w:rPr>
      </w:pPr>
      <w:r>
        <w:rPr>
          <w:rFonts w:eastAsia="Times New Roman" w:cs="Times New Roman" w:ascii="Times New Roman" w:hAnsi="Times New Roman"/>
          <w:sz w:val="24"/>
          <w:szCs w:val="24"/>
        </w:rPr>
        <w:t>[2]</w:t>
      </w:r>
      <w:r>
        <w:rPr>
          <w:rFonts w:eastAsia="Times New Roman" w:cs="Times New Roman" w:ascii="Times New Roman" w:hAnsi="Times New Roman"/>
          <w:b/>
          <w:bCs/>
          <w:sz w:val="24"/>
          <w:szCs w:val="24"/>
        </w:rPr>
        <w:t xml:space="preserve"> Dawson, T.W.</w:t>
      </w:r>
      <w:r>
        <w:rPr>
          <w:rFonts w:eastAsia="Times New Roman" w:cs="Times New Roman" w:ascii="Times New Roman" w:hAnsi="Times New Roman"/>
          <w:sz w:val="24"/>
          <w:szCs w:val="24"/>
        </w:rPr>
        <w:t xml:space="preserve">, Hack, M., Fasching-Varner, K.J. (revise and resubmit). Evaluating an online orientation within an apprenticeship teacher preparation pathway: Initial evidence of student satisfaction and preparedness. </w:t>
      </w:r>
      <w:r>
        <w:rPr>
          <w:rFonts w:eastAsia="Times New Roman" w:cs="Times New Roman" w:ascii="Times New Roman" w:hAnsi="Times New Roman"/>
          <w:i/>
          <w:iCs/>
          <w:sz w:val="24"/>
          <w:szCs w:val="24"/>
        </w:rPr>
        <w:t xml:space="preserve">The Journal of Continuing Higher Education. </w:t>
      </w:r>
    </w:p>
    <w:p>
      <w:pPr>
        <w:pStyle w:val="Normal"/>
        <w:spacing w:lineRule="auto" w:line="240"/>
        <w:ind w:hanging="360" w:start="360" w:end="180"/>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r>
    </w:p>
    <w:p>
      <w:pPr>
        <w:pStyle w:val="Normal"/>
        <w:spacing w:lineRule="auto" w:line="240"/>
        <w:ind w:hanging="360" w:start="360" w:end="180"/>
        <w:rPr>
          <w:rFonts w:ascii="Times New Roman" w:hAnsi="Times New Roman" w:eastAsia="Times New Roman" w:cs="Times New Roman"/>
          <w:i/>
          <w:iCs/>
          <w:sz w:val="24"/>
          <w:szCs w:val="24"/>
        </w:rPr>
      </w:pPr>
      <w:r>
        <w:rPr>
          <w:rFonts w:eastAsia="Times New Roman" w:cs="Times New Roman" w:ascii="Times New Roman" w:hAnsi="Times New Roman"/>
          <w:sz w:val="24"/>
          <w:szCs w:val="24"/>
        </w:rPr>
        <w:t xml:space="preserve">[1]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Hoffman, A., Sahin, B., &amp; Fasching-Varner, K. J. (out for review). Program support and preservice teacher self-efficacy: A causal-comparative analysis of traditional and apprenticeship preparation pathways. </w:t>
      </w:r>
      <w:r>
        <w:rPr>
          <w:rFonts w:eastAsia="Times New Roman" w:cs="Times New Roman" w:ascii="Times New Roman" w:hAnsi="Times New Roman"/>
          <w:i/>
          <w:iCs/>
          <w:sz w:val="24"/>
          <w:szCs w:val="24"/>
        </w:rPr>
        <w:t>Action in Teacher Education</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Peer-Reviewed Journal Articles in Preparation</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[2] Hoffman, A., Hack, M.,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&amp; Fasching-Varner, K. J. (in preparation). Comparative analysis of start timing on satisfaction in an online asynchronous orientation.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 Salguero, M., </w:t>
      </w:r>
      <w:r>
        <w:rPr>
          <w:rFonts w:eastAsia="Times New Roman" w:cs="Times New Roman" w:ascii="Times New Roman" w:hAnsi="Times New Roman"/>
          <w:b/>
          <w:bCs/>
          <w:sz w:val="24"/>
          <w:szCs w:val="24"/>
        </w:rPr>
        <w:t>Dawson, T.W.</w:t>
      </w:r>
      <w:r>
        <w:rPr>
          <w:rFonts w:eastAsia="Times New Roman" w:cs="Times New Roman" w:ascii="Times New Roman" w:hAnsi="Times New Roman"/>
          <w:sz w:val="24"/>
          <w:szCs w:val="24"/>
        </w:rPr>
        <w:t xml:space="preserve"> (in preparation). Systematic literature review examining institutional supports in shaping English learners’ transition into first-year college. </w:t>
      </w:r>
    </w:p>
    <w:p>
      <w:pPr>
        <w:pStyle w:val="Normal"/>
        <w:spacing w:lineRule="auto" w:line="240"/>
        <w:rPr>
          <w:rFonts w:ascii="Times New Roman" w:hAnsi="Times New Roman" w:eastAsia="Times New Roman" w:cs="Times New Roman"/>
          <w:b/>
          <w:bCs/>
          <w:smallCaps/>
          <w:sz w:val="24"/>
          <w:szCs w:val="24"/>
        </w:rPr>
      </w:pPr>
      <w:r>
        <w:rPr>
          <w:rFonts w:eastAsia="Times New Roman" w:cs="Times New Roman" w:ascii="Times New Roman" w:hAnsi="Times New Roman"/>
          <w:b/>
          <w:bCs/>
          <w:sz w:val="24"/>
          <w:szCs w:val="24"/>
        </w:rPr>
        <w:br/>
        <w:t>Peer-Reviewed Conference Presentations</w:t>
      </w:r>
    </w:p>
    <w:p>
      <w:pPr>
        <w:pStyle w:val="Normal"/>
        <w:spacing w:lineRule="auto" w:line="240" w:before="240" w:after="240"/>
        <w:ind w:hanging="450" w:start="45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[20]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(2026). A Pilot Study Exploring Attitudinal Dimensions in Community College Computer Science: Evidence from Exploratory Factor Analysis. Poster presented at the 57th ACM Technical Symposium on Computer Science Education (SIGCSE), St. Louis, MO. </w:t>
      </w:r>
    </w:p>
    <w:p>
      <w:pPr>
        <w:pStyle w:val="Normal"/>
        <w:spacing w:lineRule="auto" w:line="240" w:before="240" w:after="240"/>
        <w:ind w:hanging="450" w:start="45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[19]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Hoffman, A., Sahin, B., Hack, M., &amp; Fasching-Varner, K. J. (2026). </w:t>
      </w:r>
      <w:r>
        <w:rPr>
          <w:rFonts w:eastAsia="Times New Roman" w:cs="Times New Roman" w:ascii="Times New Roman" w:hAnsi="Times New Roman"/>
          <w:color w:val="1C1C1C"/>
          <w:sz w:val="24"/>
          <w:szCs w:val="24"/>
        </w:rPr>
        <w:t>Investigating pre-service teachers’ perceived program support and its relationship to teaching self-efficacy across traditional and apprenticeship pathways</w:t>
      </w:r>
      <w:r>
        <w:rPr>
          <w:rFonts w:eastAsia="Times New Roman" w:cs="Times New Roman" w:ascii="Times New Roman" w:hAnsi="Times New Roman"/>
          <w:sz w:val="24"/>
          <w:szCs w:val="24"/>
        </w:rPr>
        <w:t xml:space="preserve">. Accepted presentation at the Annual Meeting of the American Educational Research Association (AERA), Los Angeles, CA. </w:t>
      </w:r>
    </w:p>
    <w:p>
      <w:pPr>
        <w:pStyle w:val="Normal"/>
        <w:spacing w:lineRule="auto" w:line="240" w:before="240" w:after="240"/>
        <w:ind w:hanging="450" w:start="45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[18] </w:t>
      </w:r>
      <w:r>
        <w:rPr>
          <w:rFonts w:eastAsia="Times New Roman" w:cs="Times New Roman" w:ascii="Times New Roman" w:hAnsi="Times New Roman"/>
          <w:b/>
          <w:bCs/>
          <w:sz w:val="24"/>
          <w:szCs w:val="24"/>
        </w:rPr>
        <w:t xml:space="preserve">Dawson, T. W. </w:t>
      </w:r>
      <w:r>
        <w:rPr>
          <w:rFonts w:eastAsia="Times New Roman" w:cs="Times New Roman" w:ascii="Times New Roman" w:hAnsi="Times New Roman"/>
          <w:sz w:val="24"/>
          <w:szCs w:val="24"/>
        </w:rPr>
        <w:t>(2026). Adapting computing attitudes surveys for community college students: Emerging constructs from factor analysis. Accepted presentation at the Annual Meeting of the American Educational Research Association (AERA), Los Angeles, CA.</w:t>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[17] Joshi, D., Joswick, C., Jocius, R., Albert, J., Blanton, M., Petrulin, B., &amp;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(2025). Assessing elementary teachers’ knowledge of integrated computational thinking. Poster presented at the 56th ACM Technical Symposium on Computer Science Education (SIGCSE), Pittsburgh, PA. </w:t>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[16]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Calabrese, J. E., &amp; Joswick, C. (2025). The learning styles zombie concept: A systematic review of NCTM publications. Peer-reviewed paper accepted for presentation at the Annual Meeting of the American Educational Research Association (AERA), Denver, CO. </w:t>
      </w:r>
    </w:p>
    <w:p>
      <w:pPr>
        <w:pStyle w:val="Normal"/>
        <w:spacing w:lineRule="auto" w:line="240"/>
        <w:ind w:hanging="450" w:start="450" w:end="180"/>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[15]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Joswick, C. (</w:t>
      </w:r>
      <w:r>
        <w:rPr>
          <w:rFonts w:eastAsia="Times New Roman" w:cs="Times New Roman" w:ascii="Times New Roman" w:hAnsi="Times New Roman"/>
          <w:sz w:val="24"/>
          <w:szCs w:val="24"/>
        </w:rPr>
        <w:t>2025</w:t>
      </w:r>
      <w:r>
        <w:rPr>
          <w:rFonts w:eastAsia="Times New Roman" w:cs="Times New Roman" w:ascii="Times New Roman" w:hAnsi="Times New Roman"/>
          <w:color w:val="000000"/>
          <w:sz w:val="24"/>
          <w:szCs w:val="24"/>
        </w:rPr>
        <w:t xml:space="preserve">). Investigating the influence of K–12 computer science experience on community college students’ interest in programming. Peer-reviewed paper presented at the 2025 Annual </w:t>
      </w:r>
      <w:r>
        <w:rPr>
          <w:rFonts w:eastAsia="Times New Roman" w:cs="Times New Roman" w:ascii="Times New Roman" w:hAnsi="Times New Roman"/>
          <w:sz w:val="24"/>
          <w:szCs w:val="24"/>
        </w:rPr>
        <w:t xml:space="preserve">Conference for the </w:t>
      </w:r>
      <w:r>
        <w:rPr>
          <w:rFonts w:eastAsia="Times New Roman" w:cs="Times New Roman" w:ascii="Times New Roman" w:hAnsi="Times New Roman"/>
          <w:color w:val="000000"/>
          <w:sz w:val="24"/>
          <w:szCs w:val="24"/>
        </w:rPr>
        <w:t>Southeast Educational Research Association (SERA)</w:t>
      </w:r>
      <w:r>
        <w:rPr>
          <w:rFonts w:eastAsia="Times New Roman" w:cs="Times New Roman" w:ascii="Times New Roman" w:hAnsi="Times New Roman"/>
          <w:sz w:val="24"/>
          <w:szCs w:val="24"/>
        </w:rPr>
        <w:t>, San Antonio, TX.</w:t>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[14] </w:t>
      </w:r>
      <w:r>
        <w:rPr>
          <w:rFonts w:eastAsia="Times New Roman" w:cs="Times New Roman" w:ascii="Times New Roman" w:hAnsi="Times New Roman"/>
          <w:b/>
          <w:bCs/>
          <w:sz w:val="24"/>
          <w:szCs w:val="24"/>
        </w:rPr>
        <w:t xml:space="preserve">Dawson, T.W., </w:t>
      </w:r>
      <w:r>
        <w:rPr>
          <w:rFonts w:eastAsia="Times New Roman" w:cs="Times New Roman" w:ascii="Times New Roman" w:hAnsi="Times New Roman"/>
          <w:sz w:val="24"/>
          <w:szCs w:val="24"/>
        </w:rPr>
        <w:t>&amp; Karadimou, O. (2025). Navigating the Nevada Forward undergraduate apprenticeship program. Poster presented at the Truckee Meadows Community College Annual EDU Night, Reno, NV.</w:t>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[13] Butler, M., Nolan, J., Karadimou, O., </w:t>
      </w:r>
      <w:r>
        <w:rPr>
          <w:rFonts w:eastAsia="Times New Roman" w:cs="Times New Roman" w:ascii="Times New Roman" w:hAnsi="Times New Roman"/>
          <w:b/>
          <w:bCs/>
          <w:sz w:val="24"/>
          <w:szCs w:val="24"/>
        </w:rPr>
        <w:t>Dawson, T.W.</w:t>
      </w:r>
      <w:r>
        <w:rPr>
          <w:rFonts w:eastAsia="Times New Roman" w:cs="Times New Roman" w:ascii="Times New Roman" w:hAnsi="Times New Roman"/>
          <w:sz w:val="24"/>
          <w:szCs w:val="24"/>
        </w:rPr>
        <w:t xml:space="preserve">, Hack, M., &amp; Fasching-Varner, K. J. (2025). The Nevada Forward Initiative: An apprenticeship program strengthening the teacher preparation pipeline. Poster presented at the 2025 UNLV College of Education Annual Education Expo Conference, Las Vegas, NV. </w:t>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[12]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&amp; Manson, S. (2024). Teaching strategies for academic medicine. Session presented at the Texas Academy of Family Physicians Semiannual Conference, Austin, TX. </w:t>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[11]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(2</w:t>
      </w:r>
      <w:r>
        <w:rPr>
          <w:rFonts w:eastAsia="Times New Roman" w:cs="Times New Roman" w:ascii="Times New Roman" w:hAnsi="Times New Roman"/>
          <w:sz w:val="24"/>
          <w:szCs w:val="24"/>
        </w:rPr>
        <w:t>024</w:t>
      </w:r>
      <w:r>
        <w:rPr>
          <w:rFonts w:eastAsia="Times New Roman" w:cs="Times New Roman" w:ascii="Times New Roman" w:hAnsi="Times New Roman"/>
          <w:color w:val="000000"/>
          <w:sz w:val="24"/>
          <w:szCs w:val="24"/>
        </w:rPr>
        <w:t>). Demystifying nuances among variable types in statistics. Session presented at the University of North Texas Health Science Center at Fort Worth</w:t>
      </w:r>
      <w:r>
        <w:rPr>
          <w:rFonts w:eastAsia="Times New Roman" w:cs="Times New Roman" w:ascii="Times New Roman" w:hAnsi="Times New Roman"/>
          <w:sz w:val="24"/>
          <w:szCs w:val="24"/>
        </w:rPr>
        <w:t>’s</w:t>
      </w:r>
      <w:r>
        <w:rPr>
          <w:rFonts w:eastAsia="Times New Roman" w:cs="Times New Roman" w:ascii="Times New Roman" w:hAnsi="Times New Roman"/>
          <w:color w:val="000000"/>
          <w:sz w:val="24"/>
          <w:szCs w:val="24"/>
        </w:rPr>
        <w:t xml:space="preserve"> Graduate Certifica</w:t>
      </w:r>
      <w:r>
        <w:rPr>
          <w:rFonts w:eastAsia="Times New Roman" w:cs="Times New Roman" w:ascii="Times New Roman" w:hAnsi="Times New Roman"/>
          <w:sz w:val="24"/>
          <w:szCs w:val="24"/>
        </w:rPr>
        <w:t>te in Medical Education Annual Conference</w:t>
      </w:r>
      <w:r>
        <w:rPr>
          <w:rFonts w:eastAsia="Times New Roman" w:cs="Times New Roman" w:ascii="Times New Roman" w:hAnsi="Times New Roman"/>
          <w:color w:val="000000"/>
          <w:sz w:val="24"/>
          <w:szCs w:val="24"/>
        </w:rPr>
        <w:t>, Fort Worth, TX.</w:t>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[10]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&amp; Hollins, K. (202</w:t>
      </w:r>
      <w:r>
        <w:rPr>
          <w:rFonts w:eastAsia="Times New Roman" w:cs="Times New Roman" w:ascii="Times New Roman" w:hAnsi="Times New Roman"/>
          <w:sz w:val="24"/>
          <w:szCs w:val="24"/>
        </w:rPr>
        <w:t>2</w:t>
      </w:r>
      <w:r>
        <w:rPr>
          <w:rFonts w:eastAsia="Times New Roman" w:cs="Times New Roman" w:ascii="Times New Roman" w:hAnsi="Times New Roman"/>
          <w:color w:val="000000"/>
          <w:sz w:val="24"/>
          <w:szCs w:val="24"/>
        </w:rPr>
        <w:t>). Culturally responsive pedagogy to cultivate an inclusive learning environment. Session presented at the Curriculum Camp Annual Conference at Louisiana State University, Baton Rouge, LA.</w:t>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[9]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(2022). An evaluation of attitudes and beliefs toward computer science at community colleges. Session presented at the Louisiana Educational Research Annual Conference (LERA), Lafayette, LA. </w:t>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[8]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(202</w:t>
      </w:r>
      <w:r>
        <w:rPr>
          <w:rFonts w:eastAsia="Times New Roman" w:cs="Times New Roman" w:ascii="Times New Roman" w:hAnsi="Times New Roman"/>
          <w:sz w:val="24"/>
          <w:szCs w:val="24"/>
        </w:rPr>
        <w:t>1</w:t>
      </w:r>
      <w:r>
        <w:rPr>
          <w:rFonts w:eastAsia="Times New Roman" w:cs="Times New Roman" w:ascii="Times New Roman" w:hAnsi="Times New Roman"/>
          <w:color w:val="000000"/>
          <w:sz w:val="24"/>
          <w:szCs w:val="24"/>
        </w:rPr>
        <w:t>). The block-based, text-based, and CS1 prepared. Paper presentation at the 17th Annual ACM Conference on International Computing Education Research (ICER). August 16–19, 2021, Virtual Event</w:t>
      </w:r>
      <w:r>
        <w:rPr>
          <w:rFonts w:eastAsia="Times New Roman" w:cs="Times New Roman" w:ascii="Times New Roman" w:hAnsi="Times New Roman"/>
          <w:sz w:val="24"/>
          <w:szCs w:val="24"/>
        </w:rPr>
        <w:t xml:space="preserve"> (due to COVID-19).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[7]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Alegre, F., &amp; Moreno, J. (2021). A culmination of strategies for K–12 educators to assess students’ CS knowledge. Paper session presented at the UTeach STEM Educators Annual Conference, Virtual Event</w:t>
      </w:r>
      <w:r>
        <w:rPr>
          <w:rFonts w:eastAsia="Times New Roman" w:cs="Times New Roman" w:ascii="Times New Roman" w:hAnsi="Times New Roman"/>
          <w:sz w:val="24"/>
          <w:szCs w:val="24"/>
        </w:rPr>
        <w:t xml:space="preserve"> (due to COVID-19). </w:t>
      </w:r>
    </w:p>
    <w:p>
      <w:pPr>
        <w:pStyle w:val="Normal"/>
        <w:spacing w:lineRule="auto" w:line="240"/>
        <w:ind w:hanging="360" w:start="360"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[6]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(2021). Comparing 15 computer science assessment strategies for pre-college learners: A systematic review of the CS literature. Paper session presented at the Curriculum Camp Annual Conference at Louisiana State University, Baton Rouge, LA.</w:t>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[5]</w:t>
      </w:r>
      <w:r>
        <w:rPr>
          <w:rFonts w:eastAsia="Times New Roman" w:cs="Times New Roman" w:ascii="Times New Roman" w:hAnsi="Times New Roman"/>
          <w:b/>
          <w:bCs/>
          <w:sz w:val="24"/>
          <w:szCs w:val="24"/>
        </w:rPr>
        <w:t xml:space="preserve"> Dawson, T.W.</w:t>
      </w:r>
      <w:r>
        <w:rPr>
          <w:rFonts w:eastAsia="Times New Roman" w:cs="Times New Roman" w:ascii="Times New Roman" w:hAnsi="Times New Roman"/>
          <w:sz w:val="24"/>
          <w:szCs w:val="24"/>
        </w:rPr>
        <w:t>, Alegre, F., &amp; Moreno, J. (2020). A modified 5Es Instructional Model tailored for computer science educators. Paper presentation at the UTeach STEM Educators Annual Conference, Austin, TX. (Conference canceled due to COVID-19).</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[4] Jenevein, S., Kirby, L., Harlow, L., Moreno, J., </w:t>
      </w:r>
      <w:r>
        <w:rPr>
          <w:rFonts w:eastAsia="Times New Roman" w:cs="Times New Roman" w:ascii="Times New Roman" w:hAnsi="Times New Roman"/>
          <w:b/>
          <w:bCs/>
          <w:sz w:val="24"/>
          <w:szCs w:val="24"/>
        </w:rPr>
        <w:t>Dawson, T.W</w:t>
      </w:r>
      <w:r>
        <w:rPr>
          <w:rFonts w:eastAsia="Times New Roman" w:cs="Times New Roman" w:ascii="Times New Roman" w:hAnsi="Times New Roman"/>
          <w:sz w:val="24"/>
          <w:szCs w:val="24"/>
        </w:rPr>
        <w:t xml:space="preserve">., &amp; Thompson, R. (2020). Expanding computer science certification pathways. Accepted for presentation at the UTeach STEM Educators Annual Conference, Austin, TX. (Conference canceled due to COVID-19).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[3]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Alegre, F. &amp; Moreno, J. (2020). Adding a 6th "E" to the 5Es Instructional Model in computer science education. Accepted for presentation at the American Association for the Advancement of Curriculum Studies (AAACS) Annual Conference. San Francisco, CA. (Conference </w:t>
      </w:r>
      <w:r>
        <w:rPr>
          <w:rFonts w:eastAsia="Times New Roman" w:cs="Times New Roman" w:ascii="Times New Roman" w:hAnsi="Times New Roman"/>
          <w:sz w:val="24"/>
          <w:szCs w:val="24"/>
        </w:rPr>
        <w:t>canceled</w:t>
      </w:r>
      <w:r>
        <w:rPr>
          <w:rFonts w:eastAsia="Times New Roman" w:cs="Times New Roman" w:ascii="Times New Roman" w:hAnsi="Times New Roman"/>
          <w:color w:val="000000"/>
          <w:sz w:val="24"/>
          <w:szCs w:val="24"/>
        </w:rPr>
        <w:t xml:space="preserve"> due to COVID-19). </w:t>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[2]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Fernando, A., &amp; Moreno, J. (2020). A modified 5Es Instructional Model tailored for computer science educators. Session presented at the Louisiana Educational Research Annual Conference (LERA), Lafayette, LA.  </w:t>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[1]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&amp; Reed, G. (2019). Improving educational outcomes: Blending online with traditional face-to-face instruction. Session presented at the Coalition of Adult Basic Education (COABE) Annual Conference, New Orleans, LA.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mallCaps/>
          <w:sz w:val="24"/>
          <w:szCs w:val="24"/>
        </w:rPr>
        <w:t>GRANT EXPERIENCE</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As a Postdoc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University of Nevada, Las Vegas</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Project: Nevada Forward Initiative</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PI: Kenny Varner</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Award: $3,000,000 (US DoE Augustus F. Hawkins Centers of Excellence Program Grant)</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Jan 2025–present</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University of Nevada, Las Vegas (UNLV) and College of Southern Nevada (CSN)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Independent Research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Project: Community college computer science and cyber study.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PI: Trent Dawson</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UNLV IRB and CSN IRB approved</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Status: Second semester of data collection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July 2025–present</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The University of Texas at Arlington</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Project: Math + SEL + E (US DoE SEED Grant)</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PI: Candace Joswick</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Award: $5,600,000 (Award #S423A220084)</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June 2024–Dec 2024</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Citadel and The University of Texas at Arlington</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Project: Unpacking Computational Thinking (NSF DRK–12)</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PIs: Jennifer Albert, Candace Joswick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Awards: $2,550,527 (Award #2300322), $443,801 (Award #2300323)</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June 2024–Dec 2024</w:t>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As a Grant Writer</w:t>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University of Texas at Arlington </w:t>
        <w:br/>
        <w:t>Project: Integrating K–12 AI/Cybersecurity into Computer Science (NSF DRK–12)</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PI: Candace Joswick</w:t>
        <w:br/>
        <w:t>Proposed Budget: $820,000</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Oct 2024</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As a Graduate Assistant</w:t>
      </w:r>
    </w:p>
    <w:p>
      <w:pPr>
        <w:pStyle w:val="Normal"/>
        <w:spacing w:lineRule="auto" w:line="240"/>
        <w:ind w:end="180"/>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Louisiana State University</w:t>
      </w:r>
      <w:r>
        <w:rPr>
          <w:rFonts w:eastAsia="Times New Roman" w:cs="Times New Roman" w:ascii="Times New Roman" w:hAnsi="Times New Roman"/>
          <w:b/>
          <w:bCs/>
          <w:sz w:val="24"/>
          <w:szCs w:val="24"/>
        </w:rPr>
        <w:br/>
      </w:r>
      <w:r>
        <w:rPr>
          <w:rFonts w:eastAsia="Times New Roman" w:cs="Times New Roman" w:ascii="Times New Roman" w:hAnsi="Times New Roman"/>
          <w:sz w:val="24"/>
          <w:szCs w:val="24"/>
        </w:rPr>
        <w:t>Project: Baton Rouge Bringing Youth Technology Education Success (NSF CISE/CNS)</w:t>
        <w:br/>
        <w:t>PI: Juana Moreno</w:t>
        <w:br/>
        <w:t>Award: $5,000,000 (Award #1923573)</w:t>
        <w:br/>
        <w:t>May 2020–May 2022</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Louisiana State University</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Project: Expanding and Strengthening the STEM Teacher Workforce (US DoE SEED Grant)</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PI: Juana Moreno</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Award: $1,000,000 (Award #U423A180139)</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sz w:val="24"/>
          <w:szCs w:val="24"/>
        </w:rPr>
        <w:t>May 2019–May 2021</w:t>
        <w:tab/>
      </w:r>
      <w:r>
        <w:rPr>
          <w:rFonts w:eastAsia="Times New Roman" w:cs="Times New Roman" w:ascii="Times New Roman" w:hAnsi="Times New Roman"/>
          <w:b/>
          <w:bCs/>
          <w:sz w:val="24"/>
          <w:szCs w:val="24"/>
        </w:rPr>
        <w:tab/>
      </w:r>
    </w:p>
    <w:p>
      <w:pPr>
        <w:pStyle w:val="Normal"/>
        <w:spacing w:lineRule="auto" w:line="24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mallCaps/>
          <w:sz w:val="24"/>
          <w:szCs w:val="24"/>
        </w:rPr>
        <w:t xml:space="preserve">TEACHING EXPERIENCE </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Instructor of Record </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EDUC 5394: Understanding and Designing Classroom Research (Graduate)</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University of Texas at Arlington (Fall 2024)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AMED 5600: Scholarly Activity for Academic Health Professionals (Graduate)</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University of North Texas Health Science Center (Spring 2024)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English and math (High School Equivalency)</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South Louisiana Community College &amp; Baton Rouge Community College (2018–2019)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Teaching Assistant</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Louisiana State University (2019–2022)</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CSC 2700: Computer Science Teaching Methods (Undergraduate)</w:t>
        <w:tab/>
        <w:tab/>
        <w:tab/>
        <w:tab/>
      </w:r>
    </w:p>
    <w:p>
      <w:pPr>
        <w:pStyle w:val="Normal"/>
        <w:spacing w:lineRule="auto" w:line="240"/>
        <w:ind w:end="54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EDCI 7141: Studies in the Teaching of Mathematics in Secondary Schools (Graduate)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EDCI 2500: Knowing and Learning in Mathematics Education (Undergraduate)</w:t>
        <w:tab/>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EDCI 7821 Problems with Curriculum and Instruction (Graduate) </w:t>
        <w:tab/>
        <w:tab/>
        <w:tab/>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Professional Development Workshops</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Quarterly Pre-Service Teacher PD, University of Nevada, Las Vegas (2025–present) </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Monthly In-Service Teacher PD, The University of Texas at Arlington (Fall 2024)</w:t>
      </w:r>
    </w:p>
    <w:p>
      <w:pPr>
        <w:pStyle w:val="Normal"/>
        <w:tabs>
          <w:tab w:val="clear" w:pos="720"/>
          <w:tab w:val="left" w:pos="7560" w:leader="none"/>
        </w:tab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t>AWARDS</w:t>
      </w:r>
    </w:p>
    <w:p>
      <w:pPr>
        <w:pStyle w:val="Normal"/>
        <w:tabs>
          <w:tab w:val="clear" w:pos="720"/>
          <w:tab w:val="left" w:pos="7560" w:leader="none"/>
        </w:tab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Fellowship</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International Computing Education Research (ICER) Doctoral Consortium (2021) </w:t>
      </w:r>
    </w:p>
    <w:p>
      <w:pPr>
        <w:pStyle w:val="Normal"/>
        <w:spacing w:lineRule="auto" w:line="240"/>
        <w:ind w:end="187"/>
        <w:rPr>
          <w:rFonts w:ascii="Times New Roman" w:hAnsi="Times New Roman" w:eastAsia="Times New Roman" w:cs="Times New Roman"/>
          <w:color w:val="222222"/>
          <w:sz w:val="24"/>
          <w:szCs w:val="24"/>
        </w:rPr>
      </w:pPr>
      <w:r>
        <w:rPr>
          <w:rFonts w:eastAsia="Times New Roman" w:cs="Times New Roman" w:ascii="Times New Roman" w:hAnsi="Times New Roman"/>
          <w:color w:val="222222"/>
          <w:sz w:val="24"/>
          <w:szCs w:val="24"/>
        </w:rPr>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t>SERVICE</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Supervision of Graduate Assistants</w:t>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sz w:val="24"/>
          <w:szCs w:val="24"/>
        </w:rPr>
        <w:tab/>
        <w:tab/>
        <w:tab/>
      </w:r>
    </w:p>
    <w:p>
      <w:pPr>
        <w:pStyle w:val="Normal"/>
        <w:keepLines/>
        <w:spacing w:lineRule="auto" w:line="240"/>
        <w:ind w:end="180"/>
        <w:rPr>
          <w:rFonts w:ascii="Times New Roman" w:hAnsi="Times New Roman" w:eastAsia="Times New Roman" w:cs="Times New Roman"/>
          <w:b/>
          <w:bCs/>
          <w:color w:val="191919"/>
          <w:sz w:val="24"/>
          <w:szCs w:val="24"/>
        </w:rPr>
      </w:pPr>
      <w:r>
        <w:rPr>
          <w:rFonts w:eastAsia="Times New Roman" w:cs="Times New Roman" w:ascii="Times New Roman" w:hAnsi="Times New Roman"/>
          <w:color w:val="191919"/>
          <w:sz w:val="24"/>
          <w:szCs w:val="24"/>
        </w:rPr>
        <w:t>Maria Salguero, PhD, Education Counseling, UNLV</w:t>
        <w:tab/>
        <w:tab/>
        <w:tab/>
        <w:tab/>
        <w:tab/>
        <w:t xml:space="preserve">2026 </w:t>
      </w:r>
    </w:p>
    <w:p>
      <w:pPr>
        <w:pStyle w:val="Normal"/>
        <w:keepLines/>
        <w:spacing w:lineRule="auto" w:line="240"/>
        <w:ind w:end="180"/>
        <w:rPr>
          <w:rFonts w:ascii="Times New Roman" w:hAnsi="Times New Roman" w:eastAsia="Times New Roman" w:cs="Times New Roman"/>
          <w:b/>
          <w:bCs/>
          <w:color w:val="191919"/>
          <w:sz w:val="24"/>
          <w:szCs w:val="24"/>
        </w:rPr>
      </w:pPr>
      <w:r>
        <w:rPr>
          <w:rFonts w:eastAsia="Times New Roman" w:cs="Times New Roman" w:ascii="Times New Roman" w:hAnsi="Times New Roman"/>
          <w:color w:val="191919"/>
          <w:sz w:val="24"/>
          <w:szCs w:val="24"/>
        </w:rPr>
        <w:t xml:space="preserve">Sulabh Khadka, PhD STEM Education, UNLV </w:t>
        <w:tab/>
        <w:tab/>
        <w:tab/>
        <w:tab/>
        <w:tab/>
        <w:tab/>
        <w:t>2025</w:t>
      </w:r>
    </w:p>
    <w:p>
      <w:pPr>
        <w:pStyle w:val="Normal"/>
        <w:keepLines/>
        <w:spacing w:lineRule="auto" w:line="240"/>
        <w:ind w:end="180"/>
        <w:rPr>
          <w:rFonts w:ascii="Times New Roman" w:hAnsi="Times New Roman" w:eastAsia="Times New Roman" w:cs="Times New Roman"/>
          <w:b/>
          <w:bCs/>
          <w:color w:val="191919"/>
          <w:sz w:val="24"/>
          <w:szCs w:val="24"/>
        </w:rPr>
      </w:pPr>
      <w:r>
        <w:rPr>
          <w:rFonts w:eastAsia="Times New Roman" w:cs="Times New Roman" w:ascii="Times New Roman" w:hAnsi="Times New Roman"/>
          <w:color w:val="191919"/>
          <w:sz w:val="24"/>
          <w:szCs w:val="24"/>
        </w:rPr>
        <w:t xml:space="preserve">Shaunak Amble, MS Computer Science, UTA </w:t>
        <w:tab/>
        <w:tab/>
        <w:tab/>
        <w:tab/>
        <w:tab/>
        <w:tab/>
        <w:t>2024</w:t>
      </w:r>
    </w:p>
    <w:p>
      <w:pPr>
        <w:pStyle w:val="Normal"/>
        <w:keepLines/>
        <w:spacing w:lineRule="auto" w:line="240"/>
        <w:ind w:end="180"/>
        <w:rPr>
          <w:rFonts w:ascii="Times New Roman" w:hAnsi="Times New Roman" w:eastAsia="Times New Roman" w:cs="Times New Roman"/>
          <w:b/>
          <w:bCs/>
          <w:color w:val="191919"/>
          <w:sz w:val="24"/>
          <w:szCs w:val="24"/>
        </w:rPr>
      </w:pPr>
      <w:r>
        <w:rPr>
          <w:rFonts w:eastAsia="Times New Roman" w:cs="Times New Roman" w:ascii="Times New Roman" w:hAnsi="Times New Roman"/>
          <w:color w:val="222222"/>
          <w:sz w:val="24"/>
          <w:szCs w:val="24"/>
        </w:rPr>
        <w:t xml:space="preserve">Keerthi Mandalapu, MS Data Science, UTA </w:t>
      </w:r>
      <w:r>
        <w:rPr>
          <w:rFonts w:eastAsia="Times New Roman" w:cs="Times New Roman" w:ascii="Times New Roman" w:hAnsi="Times New Roman"/>
          <w:color w:val="191919"/>
          <w:sz w:val="24"/>
          <w:szCs w:val="24"/>
        </w:rPr>
        <w:tab/>
        <w:tab/>
        <w:tab/>
        <w:tab/>
        <w:tab/>
        <w:tab/>
        <w:tab/>
        <w:t>2024</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Service to Organizations </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Committee Member, NSF BRICCS-TX—San Jacinto College </w:t>
        <w:tab/>
        <w:tab/>
        <w:tab/>
        <w:t>202</w:t>
      </w:r>
      <w:r>
        <w:rPr>
          <w:rFonts w:eastAsia="Times New Roman" w:cs="Times New Roman" w:ascii="Times New Roman" w:hAnsi="Times New Roman"/>
          <w:sz w:val="24"/>
          <w:szCs w:val="24"/>
        </w:rPr>
        <w:t>4–2025</w:t>
      </w:r>
    </w:p>
    <w:p>
      <w:pPr>
        <w:pStyle w:val="Normal"/>
        <w:tabs>
          <w:tab w:val="clear" w:pos="720"/>
          <w:tab w:val="left" w:pos="7560" w:leader="none"/>
        </w:tabs>
        <w:spacing w:lineRule="auto" w:line="240"/>
        <w:ind w:end="180"/>
        <w:rPr>
          <w:rFonts w:ascii="Times New Roman" w:hAnsi="Times New Roman" w:eastAsia="Times New Roman" w:cs="Times New Roman"/>
          <w:b/>
          <w:bCs/>
          <w:color w:val="000000"/>
          <w:sz w:val="24"/>
          <w:szCs w:val="24"/>
        </w:rPr>
      </w:pPr>
      <w:r>
        <w:rPr>
          <w:rFonts w:eastAsia="Times New Roman" w:cs="Times New Roman" w:ascii="Times New Roman" w:hAnsi="Times New Roman"/>
          <w:color w:val="000000"/>
          <w:sz w:val="24"/>
          <w:szCs w:val="24"/>
        </w:rPr>
        <w:t>Committee Member, DBER—UC Merced</w:t>
        <w:tab/>
        <w:t xml:space="preserve">     </w:t>
        <w:tab/>
        <w:tab/>
        <w:t>2023</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Executive Officer, Curriculum Theory Project—LSU </w:t>
        <w:tab/>
        <w:tab/>
        <w:tab/>
        <w:t xml:space="preserve">2020–2022 </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Treasurer, Instructional Design and Technology Association—Virginia Tech </w:t>
        <w:tab/>
        <w:t>2016–2017</w:t>
        <w:tab/>
        <w:tab/>
        <w:tab/>
        <w:tab/>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Service to Journals and Conferences </w:t>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Session Chair, Accessible Computing, SIGCSE </w:t>
        <w:tab/>
        <w:tab/>
        <w:tab/>
        <w:t>2026</w:t>
        <w:tab/>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Manuscript Reviewer, Community College Review</w:t>
        <w:tab/>
        <w:tab/>
        <w:tab/>
        <w:t>202</w:t>
      </w:r>
      <w:r>
        <w:rPr>
          <w:rFonts w:eastAsia="Times New Roman" w:cs="Times New Roman" w:ascii="Times New Roman" w:hAnsi="Times New Roman"/>
          <w:sz w:val="24"/>
          <w:szCs w:val="24"/>
        </w:rPr>
        <w:t>5</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Proposal Reviewer, AERA, Division K, Section 6</w:t>
        <w:tab/>
        <w:tab/>
        <w:tab/>
        <w:t>2025, 2026</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Proposal Reviewer, ACM SIGCSE Technical Symposium </w:t>
        <w:tab/>
        <w:tab/>
        <w:tab/>
      </w:r>
      <w:r>
        <w:rPr>
          <w:rFonts w:eastAsia="Times New Roman" w:cs="Times New Roman" w:ascii="Times New Roman" w:hAnsi="Times New Roman"/>
          <w:sz w:val="24"/>
          <w:szCs w:val="24"/>
        </w:rPr>
        <w:t>2</w:t>
      </w:r>
      <w:r>
        <w:rPr>
          <w:rFonts w:eastAsia="Times New Roman" w:cs="Times New Roman" w:ascii="Times New Roman" w:hAnsi="Times New Roman"/>
          <w:color w:val="000000"/>
          <w:sz w:val="24"/>
          <w:szCs w:val="24"/>
        </w:rPr>
        <w:t>02</w:t>
      </w:r>
      <w:r>
        <w:rPr>
          <w:rFonts w:eastAsia="Times New Roman" w:cs="Times New Roman" w:ascii="Times New Roman" w:hAnsi="Times New Roman"/>
          <w:sz w:val="24"/>
          <w:szCs w:val="24"/>
        </w:rPr>
        <w:t>5</w:t>
      </w:r>
      <w:r>
        <w:rPr>
          <w:rFonts w:eastAsia="Times New Roman" w:cs="Times New Roman" w:ascii="Times New Roman" w:hAnsi="Times New Roman"/>
          <w:color w:val="000000"/>
          <w:sz w:val="24"/>
          <w:szCs w:val="24"/>
        </w:rPr>
        <w:t>, 202</w:t>
      </w:r>
      <w:r>
        <w:rPr>
          <w:rFonts w:eastAsia="Times New Roman" w:cs="Times New Roman" w:ascii="Times New Roman" w:hAnsi="Times New Roman"/>
          <w:sz w:val="24"/>
          <w:szCs w:val="24"/>
        </w:rPr>
        <w:t>6</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Proposal Reviewer, Society for Information Technology and Teacher Education</w:t>
        <w:tab/>
        <w:tab/>
        <w:t>2026</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Proposal Reviewer, Southeastern Educational Research Association</w:t>
        <w:tab/>
        <w:tab/>
        <w:tab/>
        <w:t>2024</w:t>
      </w:r>
      <w:r>
        <w:rPr>
          <w:rFonts w:eastAsia="Times New Roman" w:cs="Times New Roman" w:ascii="Times New Roman" w:hAnsi="Times New Roman"/>
          <w:sz w:val="24"/>
          <w:szCs w:val="24"/>
        </w:rPr>
        <w:t>–</w:t>
      </w:r>
      <w:r>
        <w:rPr>
          <w:rFonts w:eastAsia="Times New Roman" w:cs="Times New Roman" w:ascii="Times New Roman" w:hAnsi="Times New Roman"/>
          <w:color w:val="000000"/>
          <w:sz w:val="24"/>
          <w:szCs w:val="24"/>
        </w:rPr>
        <w:t>2026</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Proposal Reviewer, Curriculum Theory Project Conference</w:t>
        <w:tab/>
        <w:tab/>
        <w:tab/>
        <w:t>202</w:t>
      </w:r>
      <w:r>
        <w:rPr>
          <w:rFonts w:eastAsia="Times New Roman" w:cs="Times New Roman" w:ascii="Times New Roman" w:hAnsi="Times New Roman"/>
          <w:sz w:val="24"/>
          <w:szCs w:val="24"/>
        </w:rPr>
        <w:t>0–</w:t>
      </w:r>
      <w:r>
        <w:rPr>
          <w:rFonts w:eastAsia="Times New Roman" w:cs="Times New Roman" w:ascii="Times New Roman" w:hAnsi="Times New Roman"/>
          <w:color w:val="000000"/>
          <w:sz w:val="24"/>
          <w:szCs w:val="24"/>
        </w:rPr>
        <w:t>2022</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Invited Speaker, LSU Graduate Student Association Lunch and Learn </w:t>
        <w:tab/>
        <w:tab/>
        <w:tab/>
        <w:t>2022</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Session Chair, Louisiana Educational Research Association Conference</w:t>
        <w:tab/>
        <w:tab/>
        <w:tab/>
        <w:t>2021</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000000"/>
          <w:sz w:val="24"/>
          <w:szCs w:val="24"/>
        </w:rPr>
        <w:t>2022</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Session Chair, American Association Advancement of Curriculum Studies </w:t>
        <w:tab/>
        <w:tab/>
        <w:tab/>
        <w:t>2020</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000000"/>
          <w:sz w:val="24"/>
          <w:szCs w:val="24"/>
        </w:rPr>
        <w:t>2022</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Moderator, American Association Advancement of Curriculum Studies</w:t>
        <w:tab/>
        <w:tab/>
        <w:tab/>
        <w:t>2021</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000000"/>
          <w:sz w:val="24"/>
          <w:szCs w:val="24"/>
        </w:rPr>
        <w:t>2022</w:t>
      </w:r>
    </w:p>
    <w:p>
      <w:pPr>
        <w:pStyle w:val="Normal"/>
        <w:spacing w:lineRule="auto" w:line="240"/>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Service to Community</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Co-chair, Fundraising Committee, Dallas Roundup </w:t>
        <w:tab/>
        <w:tab/>
        <w:tab/>
        <w:t>2024–2025</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Chair, Volunteer Committee, Dallas Roundup</w:t>
        <w:tab/>
        <w:tab/>
        <w:tab/>
        <w:t>2023–2024</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Chair, Volunteer Committee, Black Men in White Coats Youth Summit </w:t>
        <w:tab/>
      </w:r>
      <w:r>
        <w:rPr>
          <w:rFonts w:eastAsia="Times New Roman" w:cs="Times New Roman" w:ascii="Times New Roman" w:hAnsi="Times New Roman"/>
          <w:sz w:val="24"/>
          <w:szCs w:val="24"/>
        </w:rPr>
        <w:tab/>
        <w:tab/>
      </w:r>
      <w:r>
        <w:rPr>
          <w:rFonts w:eastAsia="Times New Roman" w:cs="Times New Roman" w:ascii="Times New Roman" w:hAnsi="Times New Roman"/>
          <w:color w:val="000000"/>
          <w:sz w:val="24"/>
          <w:szCs w:val="24"/>
        </w:rPr>
        <w:t>2023–2024</w:t>
      </w:r>
    </w:p>
    <w:p>
      <w:pPr>
        <w:pStyle w:val="Normal"/>
        <w:keepLine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color w:val="191919"/>
          <w:sz w:val="24"/>
          <w:szCs w:val="24"/>
        </w:rPr>
        <w:tab/>
      </w:r>
      <w:r>
        <w:rPr>
          <w:rFonts w:eastAsia="Times New Roman" w:cs="Times New Roman" w:ascii="Times New Roman" w:hAnsi="Times New Roman"/>
          <w:i/>
          <w:iCs/>
          <w:color w:val="222222"/>
          <w:sz w:val="24"/>
          <w:szCs w:val="24"/>
        </w:rPr>
        <w:tab/>
      </w:r>
      <w:r>
        <w:rPr>
          <w:rFonts w:eastAsia="Times New Roman" w:cs="Times New Roman" w:ascii="Times New Roman" w:hAnsi="Times New Roman"/>
          <w:color w:val="222222"/>
          <w:sz w:val="24"/>
          <w:szCs w:val="24"/>
        </w:rPr>
        <w:tab/>
      </w:r>
      <w:r>
        <w:rPr>
          <w:rFonts w:eastAsia="Times New Roman" w:cs="Times New Roman" w:ascii="Times New Roman" w:hAnsi="Times New Roman"/>
          <w:color w:val="000000"/>
          <w:sz w:val="24"/>
          <w:szCs w:val="24"/>
        </w:rPr>
        <w:tab/>
      </w:r>
    </w:p>
    <w:p>
      <w:pPr>
        <w:pStyle w:val="Normal"/>
        <w:spacing w:lineRule="auto" w:line="240"/>
        <w:ind w:end="187"/>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TECHNICAL SKILLS</w:t>
      </w:r>
    </w:p>
    <w:p>
      <w:pPr>
        <w:pStyle w:val="Normal"/>
        <w:spacing w:lineRule="auto" w:line="240"/>
        <w:ind w:end="180"/>
        <w:rPr>
          <w:rFonts w:ascii="Times New Roman" w:hAnsi="Times New Roman" w:eastAsia="Times New Roman" w:cs="Times New Roman"/>
          <w:i/>
          <w:iCs/>
          <w:color w:val="000000"/>
          <w:sz w:val="24"/>
          <w:szCs w:val="24"/>
        </w:rPr>
      </w:pPr>
      <w:r>
        <w:rPr>
          <w:rFonts w:eastAsia="Times New Roman" w:cs="Times New Roman" w:ascii="Times New Roman" w:hAnsi="Times New Roman"/>
          <w:b/>
          <w:bCs/>
          <w:sz w:val="24"/>
          <w:szCs w:val="24"/>
        </w:rPr>
        <w:t xml:space="preserve">R </w:t>
      </w:r>
      <w:r>
        <w:rPr>
          <w:rFonts w:eastAsia="Times New Roman" w:cs="Times New Roman" w:ascii="Times New Roman" w:hAnsi="Times New Roman"/>
          <w:sz w:val="24"/>
          <w:szCs w:val="24"/>
        </w:rPr>
        <w:t>(advanced)</w:t>
      </w:r>
      <w:r>
        <w:rPr>
          <w:rFonts w:eastAsia="Times New Roman" w:cs="Times New Roman" w:ascii="Times New Roman" w:hAnsi="Times New Roman"/>
          <w:b/>
          <w:bCs/>
          <w:sz w:val="24"/>
          <w:szCs w:val="24"/>
        </w:rPr>
        <w:t>:</w:t>
      </w:r>
      <w:r>
        <w:rPr>
          <w:rFonts w:eastAsia="Times New Roman" w:cs="Times New Roman" w:ascii="Times New Roman" w:hAnsi="Times New Roman"/>
          <w:sz w:val="24"/>
          <w:szCs w:val="24"/>
        </w:rPr>
        <w:t xml:space="preserve"> descriptive and inferential statistics, assumption testing, exploratory and confirmatory factor analysis (EFA/CFA), survey reliability analysis, missing data imputation, multiple regression with model fit evaluation, correlation analysis, and data visualization</w:t>
      </w:r>
    </w:p>
    <w:p>
      <w:pPr>
        <w:pStyle w:val="Normal"/>
        <w:spacing w:lineRule="auto" w:line="240"/>
        <w:ind w:end="180"/>
        <w:rPr>
          <w:rFonts w:ascii="Times New Roman" w:hAnsi="Times New Roman" w:eastAsia="Times New Roman" w:cs="Times New Roman"/>
          <w:i/>
          <w:iCs/>
          <w:color w:val="000000"/>
          <w:sz w:val="24"/>
          <w:szCs w:val="24"/>
        </w:rPr>
      </w:pPr>
      <w:r>
        <w:rPr>
          <w:rFonts w:eastAsia="Times New Roman" w:cs="Times New Roman" w:ascii="Times New Roman" w:hAnsi="Times New Roman"/>
          <w:b/>
          <w:bCs/>
          <w:color w:val="000000"/>
          <w:sz w:val="24"/>
          <w:szCs w:val="24"/>
        </w:rPr>
        <w:t xml:space="preserve">Atlas.ti </w:t>
      </w:r>
      <w:r>
        <w:rPr>
          <w:rFonts w:eastAsia="Times New Roman" w:cs="Times New Roman" w:ascii="Times New Roman" w:hAnsi="Times New Roman"/>
          <w:color w:val="000000"/>
          <w:sz w:val="24"/>
          <w:szCs w:val="24"/>
        </w:rPr>
        <w:t xml:space="preserve">(intermediate) qualitative thematic coding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b/>
          <w:bCs/>
          <w:color w:val="000000"/>
          <w:sz w:val="24"/>
          <w:szCs w:val="24"/>
        </w:rPr>
        <w:t>Qualtrics</w:t>
      </w:r>
      <w:r>
        <w:rPr>
          <w:rFonts w:eastAsia="Times New Roman" w:cs="Times New Roman" w:ascii="Times New Roman" w:hAnsi="Times New Roman"/>
          <w:color w:val="000000"/>
          <w:sz w:val="24"/>
          <w:szCs w:val="24"/>
        </w:rPr>
        <w:t xml:space="preserve"> (expert): survey design, distribution, and data export</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b/>
          <w:bCs/>
          <w:color w:val="000000"/>
          <w:sz w:val="24"/>
          <w:szCs w:val="24"/>
        </w:rPr>
        <w:t>Canvas</w:t>
      </w:r>
      <w:r>
        <w:rPr>
          <w:rFonts w:eastAsia="Times New Roman" w:cs="Times New Roman" w:ascii="Times New Roman" w:hAnsi="Times New Roman"/>
          <w:color w:val="000000"/>
          <w:sz w:val="24"/>
          <w:szCs w:val="24"/>
        </w:rPr>
        <w:t xml:space="preserve"> (expert): course design, asynchronous and hybrid instructional delivery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b/>
          <w:bCs/>
          <w:color w:val="000000"/>
          <w:sz w:val="24"/>
          <w:szCs w:val="24"/>
        </w:rPr>
        <w:t>Scratch, Python, Java, Haskell</w:t>
      </w:r>
      <w:r>
        <w:rPr>
          <w:rFonts w:eastAsia="Times New Roman" w:cs="Times New Roman" w:ascii="Times New Roman" w:hAnsi="Times New Roman"/>
          <w:color w:val="000000"/>
          <w:sz w:val="24"/>
          <w:szCs w:val="24"/>
        </w:rPr>
        <w:t xml:space="preserve"> (intermediate)</w:t>
      </w:r>
      <w:r>
        <w:rPr>
          <w:rFonts w:eastAsia="Times New Roman" w:cs="Times New Roman" w:ascii="Times New Roman" w:hAnsi="Times New Roman"/>
          <w:sz w:val="24"/>
          <w:szCs w:val="24"/>
        </w:rPr>
        <w:t xml:space="preserve">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b/>
          <w:bCs/>
          <w:color w:val="000000"/>
          <w:sz w:val="24"/>
          <w:szCs w:val="24"/>
        </w:rPr>
        <w:t xml:space="preserve">LaTeX </w:t>
      </w:r>
      <w:r>
        <w:rPr>
          <w:rFonts w:eastAsia="Times New Roman" w:cs="Times New Roman" w:ascii="Times New Roman" w:hAnsi="Times New Roman"/>
          <w:color w:val="000000"/>
          <w:sz w:val="24"/>
          <w:szCs w:val="24"/>
        </w:rPr>
        <w:t xml:space="preserve">(expert): technical manuscript preparation and formatting </w:t>
      </w:r>
    </w:p>
    <w:p>
      <w:pPr>
        <w:pStyle w:val="Normal"/>
        <w:tabs>
          <w:tab w:val="clear" w:pos="720"/>
          <w:tab w:val="left" w:pos="7560" w:leader="none"/>
        </w:tab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t>ACADEMIC AFFILIATIONS</w:t>
      </w:r>
    </w:p>
    <w:p>
      <w:pPr>
        <w:pStyle w:val="Normal"/>
        <w:tabs>
          <w:tab w:val="clear" w:pos="720"/>
          <w:tab w:val="left" w:pos="7560" w:leader="none"/>
        </w:tabs>
        <w:spacing w:lineRule="auto" w:line="240"/>
        <w:ind w:start="27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Special Interest Group on Computer Science Education</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American Educational Researcher Association  </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Southwest Educational Research Association</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Computer Science Teachers Association </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Association for Computing Machinery</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International Computing Research Association </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Computer Science for ALL </w:t>
      </w:r>
    </w:p>
    <w:p>
      <w:pPr>
        <w:pStyle w:val="Normal"/>
        <w:spacing w:lineRule="auto" w:line="240"/>
        <w:ind w:end="187"/>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360"/>
        <w:rPr>
          <w:rFonts w:ascii="Times New Roman" w:hAnsi="Times New Roman" w:eastAsia="Times New Roman" w:cs="Times New Roman"/>
          <w:sz w:val="24"/>
          <w:szCs w:val="24"/>
        </w:rPr>
      </w:pPr>
      <w:r>
        <w:rPr>
          <w:rFonts w:eastAsia="Times New Roman" w:cs="Times New Roman" w:ascii="Times New Roman" w:hAnsi="Times New Roman"/>
          <w:sz w:val="24"/>
          <w:szCs w:val="24"/>
        </w:rPr>
      </w:r>
    </w:p>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080" w:right="1080" w:gutter="0" w:header="720" w:top="777" w:footer="288"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Cambria">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jc w:val="end"/>
      <w:rPr/>
      <w:pPrChange w:id="0" w:author="Trent Dawson" w:date="2025-07-20T00:39:00Z">
        <w:pPr>
          <w:tabs>
            <w:tab w:val="center" w:pos="4680" w:leader="none"/>
            <w:tab w:val="right" w:pos="9360" w:leader="none"/>
          </w:tabs>
          <w:spacing w:lineRule="auto" w:line="240"/>
        </w:pPr>
      </w:pPrChange>
    </w:pPr>
    <w:sdt>
      <w:sdtPr>
        <w:tag w:val="goog_rdk_1"/>
        <w:id w:val="-1101144147"/>
      </w:sdtPr>
      <w:sdtContent>
        <w:r>
          <w:rPr>
            <w:color w:val="000000"/>
          </w:rPr>
        </w:r>
        <w:ins w:id="0" w:author="Trent Dawson" w:date="2025-07-20T00:39:00Z">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ins>
        <w:r>
          <w:rPr>
            <w:color w:val="000000"/>
          </w:rPr>
        </w:r>
      </w:sdtContent>
    </w:sdt>
    <w:sdt>
      <w:sdtPr>
        <w:tag w:val="goog_rdk_2"/>
        <w:id w:val="-2131221709"/>
      </w:sdtPr>
      <w:sdtContent>
        <w:r>
          <w:rPr>
            <w:color w:val="000000"/>
          </w:rPr>
        </w:r>
        <w:r>
          <w:rPr>
            <w:color w:val="000000"/>
          </w:rPr>
        </w:r>
      </w:sdtContent>
    </w:sdt>
  </w:p>
  <w:p>
    <w:pPr>
      <w:pStyle w:val="Normal"/>
      <w:tabs>
        <w:tab w:val="clear" w:pos="720"/>
        <w:tab w:val="center" w:pos="4680" w:leader="none"/>
        <w:tab w:val="right" w:pos="9360" w:leader="none"/>
      </w:tabs>
      <w:spacing w:lineRule="auto" w:line="240"/>
      <w:ind w:end="360"/>
      <w:jc w:val="end"/>
      <w:rPr>
        <w:color w:val="000000"/>
      </w:rPr>
    </w:pPr>
    <w:r>
      <w:rPr>
        <w:color w:val="000000"/>
      </w:rPr>
    </w:r>
  </w:p>
  <w:p>
    <w:pPr>
      <w:pStyle w:val="Normal"/>
      <w:tabs>
        <w:tab w:val="clear" w:pos="720"/>
        <w:tab w:val="center" w:pos="4680" w:leader="none"/>
        <w:tab w:val="right" w:pos="9360" w:leader="none"/>
      </w:tabs>
      <w:spacing w:lineRule="auto" w:line="240"/>
      <w:ind w:end="360"/>
      <w:rPr>
        <w:color w:val="000000"/>
      </w:rPr>
    </w:pPr>
    <w:r>
      <w:rPr>
        <w:color w:val="000000"/>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ind w:start="72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tabs>
        <w:tab w:val="clear" w:pos="720"/>
        <w:tab w:val="center" w:pos="4860" w:leader="none"/>
        <w:tab w:val="right" w:pos="9720" w:leader="none"/>
      </w:tabs>
      <w:spacing w:lineRule="auto" w:line="240"/>
      <w:jc w:val="center"/>
      <w:rPr>
        <w:color w:val="000000"/>
        <w:sz w:val="18"/>
        <w:szCs w:val="18"/>
      </w:rPr>
    </w:pPr>
    <w:r>
      <w:rPr>
        <w:rFonts w:eastAsia="Times New Roman" w:cs="Times New Roman" w:ascii="Times New Roman" w:hAnsi="Times New Roman"/>
        <w:i/>
        <w:iCs/>
        <w:sz w:val="18"/>
        <w:szCs w:val="18"/>
      </w:rPr>
      <w:tab/>
      <w:tab/>
      <w:tab/>
      <w:tab/>
      <w:tab/>
      <w:tab/>
      <w:t>Updated May 2026</w:t>
      <w:tab/>
    </w:r>
    <w:r>
      <w:rPr>
        <w:rFonts w:eastAsia="Times New Roman" w:cs="Times New Roman" w:ascii="Times New Roman" w:hAnsi="Times New Roman"/>
        <w:sz w:val="18"/>
        <w:szCs w:val="18"/>
      </w:rPr>
      <w:tab/>
      <w:t xml:space="preserve">  Trent Dawson CV | </w:t>
    </w:r>
    <w:r>
      <w:rPr>
        <w:rFonts w:eastAsia="Times New Roman" w:cs="Times New Roman" w:ascii="Times New Roman" w:hAnsi="Times New Roman"/>
        <w:color w:val="000000"/>
        <w:sz w:val="18"/>
        <w:szCs w:val="18"/>
      </w:rPr>
      <w:fldChar w:fldCharType="begin"/>
    </w:r>
    <w:r>
      <w:rPr>
        <w:rFonts w:eastAsia="Times New Roman" w:cs="Times New Roman" w:ascii="Times New Roman" w:hAnsi="Times New Roman"/>
        <w:color w:val="000000"/>
        <w:sz w:val="18"/>
        <w:szCs w:val="18"/>
      </w:rPr>
      <w:instrText xml:space="preserve"> PAGE </w:instrText>
    </w:r>
    <w:r>
      <w:rPr>
        <w:rFonts w:eastAsia="Times New Roman" w:cs="Times New Roman" w:ascii="Times New Roman" w:hAnsi="Times New Roman"/>
        <w:color w:val="000000"/>
        <w:sz w:val="18"/>
        <w:szCs w:val="18"/>
      </w:rPr>
      <w:fldChar w:fldCharType="separate"/>
    </w:r>
    <w:r>
      <w:rPr>
        <w:rFonts w:eastAsia="Times New Roman" w:cs="Times New Roman" w:ascii="Times New Roman" w:hAnsi="Times New Roman"/>
        <w:color w:val="000000"/>
        <w:sz w:val="18"/>
        <w:szCs w:val="18"/>
      </w:rPr>
      <w:t>8</w:t>
    </w:r>
    <w:r>
      <w:rPr>
        <w:rFonts w:eastAsia="Times New Roman" w:cs="Times New Roman" w:ascii="Times New Roman" w:hAnsi="Times New Roman"/>
        <w:color w:val="000000"/>
        <w:sz w:val="18"/>
        <w:szCs w:val="18"/>
      </w:rPr>
      <w:fldChar w:fldCharType="end"/>
    </w:r>
  </w:p>
  <w:p>
    <w:pPr>
      <w:pStyle w:val="Normal"/>
      <w:tabs>
        <w:tab w:val="clear" w:pos="720"/>
        <w:tab w:val="center" w:pos="4680" w:leader="none"/>
        <w:tab w:val="right" w:pos="9360" w:leader="none"/>
        <w:tab w:val="right" w:pos="9900" w:leader="none"/>
      </w:tabs>
      <w:spacing w:lineRule="auto" w:line="240"/>
      <w:ind w:end="360"/>
      <w:rPr>
        <w:rFonts w:ascii="Times New Roman" w:hAnsi="Times New Roman" w:eastAsia="Times New Roman" w:cs="Times New Roman"/>
        <w:color w:val="000000"/>
      </w:rPr>
    </w:pPr>
    <w:r>
      <w:rPr>
        <w:color w:val="000000"/>
      </w:rPr>
      <w:tab/>
    </w:r>
    <w:r>
      <w:rPr>
        <w:rFonts w:eastAsia="Times New Roman" w:cs="Times New Roman" w:ascii="Times New Roman" w:hAnsi="Times New Roman"/>
        <w:color w:val="000000"/>
      </w:rPr>
      <w:tab/>
      <w:tab/>
    </w:r>
  </w:p>
  <w:p>
    <w:pPr>
      <w:pStyle w:val="Normal"/>
      <w:tabs>
        <w:tab w:val="clear" w:pos="720"/>
        <w:tab w:val="center" w:pos="4680" w:leader="none"/>
        <w:tab w:val="right" w:pos="9360" w:leader="none"/>
      </w:tabs>
      <w:spacing w:lineRule="auto" w:line="240"/>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ind w:start="72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tabs>
        <w:tab w:val="clear" w:pos="720"/>
        <w:tab w:val="center" w:pos="4860" w:leader="none"/>
        <w:tab w:val="right" w:pos="9720" w:leader="none"/>
      </w:tabs>
      <w:spacing w:lineRule="auto" w:line="240"/>
      <w:jc w:val="center"/>
      <w:rPr>
        <w:color w:val="000000"/>
        <w:sz w:val="18"/>
        <w:szCs w:val="18"/>
      </w:rPr>
    </w:pPr>
    <w:r>
      <w:rPr>
        <w:rFonts w:eastAsia="Times New Roman" w:cs="Times New Roman" w:ascii="Times New Roman" w:hAnsi="Times New Roman"/>
        <w:i/>
        <w:iCs/>
        <w:sz w:val="18"/>
        <w:szCs w:val="18"/>
      </w:rPr>
      <w:tab/>
      <w:tab/>
      <w:tab/>
      <w:tab/>
      <w:tab/>
      <w:tab/>
      <w:t>Updated May 2026</w:t>
      <w:tab/>
    </w:r>
    <w:r>
      <w:rPr>
        <w:rFonts w:eastAsia="Times New Roman" w:cs="Times New Roman" w:ascii="Times New Roman" w:hAnsi="Times New Roman"/>
        <w:sz w:val="18"/>
        <w:szCs w:val="18"/>
      </w:rPr>
      <w:tab/>
      <w:t xml:space="preserve">  Trent Dawson CV | </w:t>
    </w:r>
    <w:r>
      <w:rPr>
        <w:rFonts w:eastAsia="Times New Roman" w:cs="Times New Roman" w:ascii="Times New Roman" w:hAnsi="Times New Roman"/>
        <w:color w:val="000000"/>
        <w:sz w:val="18"/>
        <w:szCs w:val="18"/>
      </w:rPr>
      <w:fldChar w:fldCharType="begin"/>
    </w:r>
    <w:r>
      <w:rPr>
        <w:rFonts w:eastAsia="Times New Roman" w:cs="Times New Roman" w:ascii="Times New Roman" w:hAnsi="Times New Roman"/>
        <w:color w:val="000000"/>
        <w:sz w:val="18"/>
        <w:szCs w:val="18"/>
      </w:rPr>
      <w:instrText xml:space="preserve"> PAGE </w:instrText>
    </w:r>
    <w:r>
      <w:rPr>
        <w:rFonts w:eastAsia="Times New Roman" w:cs="Times New Roman" w:ascii="Times New Roman" w:hAnsi="Times New Roman"/>
        <w:color w:val="000000"/>
        <w:sz w:val="18"/>
        <w:szCs w:val="18"/>
      </w:rPr>
      <w:fldChar w:fldCharType="separate"/>
    </w:r>
    <w:r>
      <w:rPr>
        <w:rFonts w:eastAsia="Times New Roman" w:cs="Times New Roman" w:ascii="Times New Roman" w:hAnsi="Times New Roman"/>
        <w:color w:val="000000"/>
        <w:sz w:val="18"/>
        <w:szCs w:val="18"/>
      </w:rPr>
      <w:t>8</w:t>
    </w:r>
    <w:r>
      <w:rPr>
        <w:rFonts w:eastAsia="Times New Roman" w:cs="Times New Roman" w:ascii="Times New Roman" w:hAnsi="Times New Roman"/>
        <w:color w:val="000000"/>
        <w:sz w:val="18"/>
        <w:szCs w:val="18"/>
      </w:rPr>
      <w:fldChar w:fldCharType="end"/>
    </w:r>
  </w:p>
  <w:p>
    <w:pPr>
      <w:pStyle w:val="Normal"/>
      <w:tabs>
        <w:tab w:val="clear" w:pos="720"/>
        <w:tab w:val="center" w:pos="4680" w:leader="none"/>
        <w:tab w:val="right" w:pos="9360" w:leader="none"/>
        <w:tab w:val="right" w:pos="9900" w:leader="none"/>
      </w:tabs>
      <w:spacing w:lineRule="auto" w:line="240"/>
      <w:ind w:end="360"/>
      <w:rPr>
        <w:rFonts w:ascii="Times New Roman" w:hAnsi="Times New Roman" w:eastAsia="Times New Roman" w:cs="Times New Roman"/>
        <w:color w:val="000000"/>
      </w:rPr>
    </w:pPr>
    <w:r>
      <w:rPr>
        <w:color w:val="000000"/>
      </w:rPr>
      <w:tab/>
    </w:r>
    <w:r>
      <w:rPr>
        <w:rFonts w:eastAsia="Times New Roman" w:cs="Times New Roman" w:ascii="Times New Roman" w:hAnsi="Times New Roman"/>
        <w:color w:val="000000"/>
      </w:rPr>
      <w:tab/>
      <w:tab/>
    </w:r>
  </w:p>
  <w:p>
    <w:pPr>
      <w:pStyle w:val="Normal"/>
      <w:tabs>
        <w:tab w:val="clear" w:pos="720"/>
        <w:tab w:val="center" w:pos="4680" w:leader="none"/>
        <w:tab w:val="right" w:pos="9360" w:leader="none"/>
      </w:tabs>
      <w:spacing w:lineRule="auto" w:line="240"/>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keepLines/>
      <w:tabs>
        <w:tab w:val="clear" w:pos="720"/>
        <w:tab w:val="left" w:pos="8640" w:leader="none"/>
      </w:tabs>
      <w:spacing w:before="0" w:after="40"/>
      <w:rPr>
        <w:rFonts w:ascii="Cambria" w:hAnsi="Cambria" w:eastAsia="Cambria" w:cs="Cambria"/>
        <w:b/>
        <w:bCs/>
        <w:smallCaps/>
        <w:color w:val="000000"/>
      </w:rPr>
    </w:pPr>
    <w:r>
      <w:rPr>
        <w:rFonts w:eastAsia="Cambria" w:cs="Cambria" w:ascii="Cambria" w:hAnsi="Cambria"/>
        <w:b/>
        <w:bCs/>
        <w:smallCaps/>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keepLines/>
      <w:tabs>
        <w:tab w:val="clear" w:pos="720"/>
        <w:tab w:val="left" w:pos="8640" w:leader="none"/>
      </w:tabs>
      <w:spacing w:before="0" w:after="40"/>
      <w:rPr>
        <w:rFonts w:ascii="Cambria" w:hAnsi="Cambria" w:eastAsia="Cambria" w:cs="Cambria"/>
        <w:b/>
        <w:bCs/>
        <w:smallCaps/>
        <w:color w:val="000000"/>
      </w:rPr>
    </w:pPr>
    <w:r>
      <w:rPr>
        <w:rFonts w:eastAsia="Cambria" w:cs="Cambria" w:ascii="Cambria" w:hAnsi="Cambria"/>
        <w:b/>
        <w:bCs/>
        <w:smallCaps/>
        <w:color w:val="000000"/>
      </w:rPr>
    </w:r>
  </w:p>
</w:hdr>
</file>

<file path=word/settings.xml><?xml version="1.0" encoding="utf-8"?>
<w:settings xmlns:w="http://schemas.openxmlformats.org/wordprocessingml/2006/main">
  <w:zoom w:percent="130"/>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16"/>
        <w:szCs w:val="16"/>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64" w:before="0" w:after="0"/>
      <w:jc w:val="start"/>
    </w:pPr>
    <w:rPr>
      <w:rFonts w:ascii="Calibri" w:hAnsi="Calibri" w:eastAsia="Calibri" w:cs="Calibri"/>
      <w:color w:val="auto"/>
      <w:kern w:val="0"/>
      <w:sz w:val="16"/>
      <w:szCs w:val="16"/>
      <w:lang w:val="en-US" w:eastAsia="en-US" w:bidi="ar-SA"/>
    </w:rPr>
  </w:style>
  <w:style w:type="paragraph" w:styleId="Heading1">
    <w:name w:val="heading 1"/>
    <w:basedOn w:val="Normal"/>
    <w:next w:val="Normal"/>
    <w:uiPriority w:val="9"/>
    <w:qFormat/>
    <w:pPr>
      <w:keepNext w:val="true"/>
      <w:keepLines/>
      <w:spacing w:before="0" w:after="40"/>
      <w:outlineLvl w:val="0"/>
    </w:pPr>
    <w:rPr>
      <w:rFonts w:ascii="Cambria" w:hAnsi="Cambria" w:eastAsia="Cambria" w:cs="Cambria"/>
      <w:b/>
      <w:bCs/>
      <w:smallCaps/>
      <w:color w:val="000000"/>
    </w:rPr>
  </w:style>
  <w:style w:type="paragraph" w:styleId="Heading2">
    <w:name w:val="heading 2"/>
    <w:basedOn w:val="Normal"/>
    <w:next w:val="Normal"/>
    <w:uiPriority w:val="9"/>
    <w:semiHidden/>
    <w:unhideWhenUsed/>
    <w:qFormat/>
    <w:pPr>
      <w:spacing w:before="240" w:after="40"/>
      <w:outlineLvl w:val="1"/>
    </w:pPr>
    <w:rPr>
      <w:smallCaps/>
      <w:color w:val="000000"/>
    </w:rPr>
  </w:style>
  <w:style w:type="paragraph" w:styleId="Heading3">
    <w:name w:val="heading 3"/>
    <w:basedOn w:val="Normal"/>
    <w:next w:val="Normal"/>
    <w:uiPriority w:val="9"/>
    <w:semiHidden/>
    <w:unhideWhenUsed/>
    <w:qFormat/>
    <w:pPr>
      <w:ind w:start="288"/>
      <w:outlineLvl w:val="2"/>
    </w:pPr>
    <w:rPr>
      <w:i/>
      <w:iCs/>
    </w:rPr>
  </w:style>
  <w:style w:type="paragraph" w:styleId="Heading4">
    <w:name w:val="heading 4"/>
    <w:basedOn w:val="Normal"/>
    <w:next w:val="Normal"/>
    <w:uiPriority w:val="9"/>
    <w:semiHidden/>
    <w:unhideWhenUsed/>
    <w:qFormat/>
    <w:pPr>
      <w:keepNext w:val="true"/>
      <w:keepLines/>
      <w:spacing w:before="40" w:after="0"/>
      <w:outlineLvl w:val="3"/>
    </w:pPr>
    <w:rPr>
      <w:rFonts w:ascii="Cambria" w:hAnsi="Cambria" w:eastAsia="Cambria" w:cs="Cambria"/>
      <w:i/>
      <w:iCs/>
      <w:color w:val="366091"/>
    </w:rPr>
  </w:style>
  <w:style w:type="paragraph" w:styleId="Heading5">
    <w:name w:val="heading 5"/>
    <w:basedOn w:val="Normal"/>
    <w:next w:val="Normal"/>
    <w:uiPriority w:val="9"/>
    <w:semiHidden/>
    <w:unhideWhenUsed/>
    <w:qFormat/>
    <w:pPr>
      <w:keepNext w:val="true"/>
      <w:keepLines/>
      <w:spacing w:before="40" w:after="0"/>
      <w:outlineLvl w:val="4"/>
    </w:pPr>
    <w:rPr>
      <w:rFonts w:ascii="Cambria" w:hAnsi="Cambria" w:eastAsia="Cambria" w:cs="Cambria"/>
      <w:color w:val="366091"/>
    </w:rPr>
  </w:style>
  <w:style w:type="paragraph" w:styleId="Heading6">
    <w:name w:val="heading 6"/>
    <w:basedOn w:val="Normal"/>
    <w:next w:val="Normal"/>
    <w:uiPriority w:val="9"/>
    <w:semiHidden/>
    <w:unhideWhenUsed/>
    <w:qFormat/>
    <w:pPr>
      <w:keepNext w:val="true"/>
      <w:keepLines/>
      <w:spacing w:before="200" w:after="40"/>
      <w:outlineLvl w:val="5"/>
    </w:pPr>
    <w:rPr>
      <w:b/>
      <w:bCs/>
      <w:sz w:val="20"/>
      <w:szCs w:val="20"/>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uiPriority w:val="10"/>
    <w:qFormat/>
    <w:pPr>
      <w:keepNext w:val="true"/>
      <w:keepLines/>
      <w:spacing w:before="480" w:after="120"/>
    </w:pPr>
    <w:rPr>
      <w:b/>
      <w:bCs/>
      <w:sz w:val="72"/>
      <w:szCs w:val="72"/>
    </w:rPr>
  </w:style>
  <w:style w:type="paragraph" w:styleId="Subtitle">
    <w:name w:val="Subtitle"/>
    <w:basedOn w:val="Normal"/>
    <w:next w:val="Normal"/>
    <w:uiPriority w:val="11"/>
    <w:qFormat/>
    <w:pPr>
      <w:keepNext w:val="true"/>
      <w:keepLines/>
      <w:spacing w:before="360" w:after="80"/>
    </w:pPr>
    <w:rPr>
      <w:rFonts w:ascii="Georgia" w:hAnsi="Georgia" w:eastAsia="Georgia" w:cs="Georgia"/>
      <w:i/>
      <w:iCs/>
      <w:color w:val="666666"/>
      <w:sz w:val="48"/>
      <w:szCs w:val="48"/>
    </w:rPr>
  </w:style>
  <w:style w:type="paragraph" w:styleId="ListParagraph">
    <w:name w:val="List Paragraph"/>
    <w:basedOn w:val="Normal"/>
    <w:uiPriority w:val="34"/>
    <w:qFormat/>
    <w:rsid w:val="00960f01"/>
    <w:pPr>
      <w:spacing w:before="0" w:after="0"/>
      <w:ind w:start="720"/>
      <w:contextualSpacing/>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cholar.google.com/citations?hl=en&amp;user=3w--ftkAAAAJ&amp;view_op=list_works&amp;sortby=pubdate" TargetMode="External"/><Relationship Id="rId3" Type="http://schemas.openxmlformats.org/officeDocument/2006/relationships/hyperlink" Target="https://doi.org/10.1145/3770761.3777171" TargetMode="External"/><Relationship Id="rId4" Type="http://schemas.openxmlformats.org/officeDocument/2006/relationships/hyperlink" Target="https://doi.org/10.1145/3641555.3705131" TargetMode="External"/><Relationship Id="rId5" Type="http://schemas.openxmlformats.org/officeDocument/2006/relationships/hyperlink" Target="https://doi.org/10.1145/3446871.3469777" TargetMode="External"/><Relationship Id="rId6" Type="http://schemas.openxmlformats.org/officeDocument/2006/relationships/hyperlink" Target="https://doi.org/10.1145/3446871.3469777" TargetMode="External"/><Relationship Id="rId7" Type="http://schemas.openxmlformats.org/officeDocument/2006/relationships/hyperlink" Target="https://doi.org/10.1109/RESPECT49803.2020.9272455" TargetMode="Externa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Lk8Ol1Ha8ZjXiJ2ukNNbN+BzNjg==">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Application>LibreOffice/26.2.3.2$MacOSX_AARCH64 LibreOffice_project/70e089b17412e4cb7773e41413306b17a2328c34</Application>
  <AppVersion>15.0000</AppVersion>
  <Pages>8</Pages>
  <Words>2035</Words>
  <Characters>13103</Characters>
  <CharactersWithSpaces>15242</CharactersWithSpaces>
  <Paragraphs>189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2026-04-24T20:12:00Z</dcterms:created>
  <dc:creator/>
  <dc:description/>
  <dc:language>en-US</dc:language>
  <cp:lastModifiedBy/>
  <dcterms:modified xsi:type="dcterms:W3CDTF">2026-05-08T17:58:24Z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TrustLevel">
    <vt:lpwstr>1</vt:lpwstr>
  </property>
  <property fmtid="{D5CDD505-2E9C-101B-9397-08002B2CF9AE}" pid="3" name="Applications">
    <vt:lpwstr>95;#zwd120;#79;#tpl120;#448;#zwd140</vt:lpwstr>
  </property>
  <property fmtid="{D5CDD505-2E9C-101B-9397-08002B2CF9AE}" pid="4" name="ContentTypeId">
    <vt:lpwstr>0x010100AA3F7D94069FF64A86F7DFF56D60E3BE</vt:lpwstr>
  </property>
  <property fmtid="{D5CDD505-2E9C-101B-9397-08002B2CF9AE}" pid="5" name="ImageGenCounter">
    <vt:lpwstr>0</vt:lpwstr>
  </property>
  <property fmtid="{D5CDD505-2E9C-101B-9397-08002B2CF9AE}" pid="6" name="ImageGenStatus">
    <vt:lpwstr>0</vt:lpwstr>
  </property>
  <property fmtid="{D5CDD505-2E9C-101B-9397-08002B2CF9AE}" pid="7" name="PolicheckCounter">
    <vt:lpwstr>0</vt:lpwstr>
  </property>
  <property fmtid="{D5CDD505-2E9C-101B-9397-08002B2CF9AE}" pid="8" name="PolicheckStatus">
    <vt:lpwstr>0</vt:lpwstr>
  </property>
  <property fmtid="{D5CDD505-2E9C-101B-9397-08002B2CF9AE}" pid="9" name="ViolationReportStatus">
    <vt:lpwstr>None</vt:lpwstr>
  </property>
</Properties>
</file>