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12283B"/>
          </w:tcPr>
          <w:p>
            <w:pPr>
              <w:spacing w:before="360" w:after="400"/>
              <w:jc w:val="left"/>
            </w:pPr>
            <w:r/>
            <w:r>
              <w:rPr>
                <w:rFonts w:ascii="Calibri" w:hAnsi="Calibri"/>
                <w:b/>
                <w:color w:val="FFFFFF"/>
                <w:sz w:val="60"/>
              </w:rPr>
              <w:t>LAME BRAIN</w:t>
            </w:r>
            <w:r>
              <w:rPr>
                <w:rFonts w:ascii="Calibri" w:hAnsi="Calibri"/>
                <w:color w:val="7ED6DF"/>
                <w:sz w:val="36"/>
              </w:rPr>
              <w:br/>
              <w:t>ideas</w:t>
            </w:r>
          </w:p>
        </w:tc>
      </w:tr>
    </w:tbl>
    <w:p/>
    <w:p>
      <w:pPr>
        <w:pStyle w:val="Title"/>
      </w:pPr>
      <w:r>
        <w:t>Prospectus &amp;</w:t>
        <w:br/>
        <w:t>Feasibility Study</w:t>
      </w:r>
    </w:p>
    <w:p>
      <w:pPr>
        <w:pStyle w:val="Subtitle"/>
      </w:pPr>
      <w:r>
        <w:t>A staged path from idea-development studio to a validated venture platform</w:t>
      </w:r>
    </w:p>
    <w:p>
      <w:pPr>
        <w:spacing w:before="200" w:after="360"/>
        <w:jc w:val="left"/>
      </w:pPr>
      <w:r>
        <w:rPr>
          <w:i/>
          <w:color w:val="1F4D78"/>
          <w:sz w:val="32"/>
        </w:rPr>
        <w:t>“Ever have one? Come on in.”</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38295"/>
          </w:tcPr>
          <w:p>
            <w:pPr>
              <w:spacing w:after="0" w:before="0" w:line="252" w:lineRule="auto"/>
              <w:jc w:val="left"/>
            </w:pPr>
            <w:r/>
            <w:r>
              <w:rPr>
                <w:rFonts w:ascii="Calibri" w:hAnsi="Calibri"/>
                <w:b/>
                <w:color w:val="FFFFFF"/>
                <w:sz w:val="19"/>
              </w:rPr>
              <w:t>INVESTMENT-COMMITTEE CONCLUSION</w:t>
            </w:r>
          </w:p>
        </w:tc>
      </w:tr>
      <w:tr>
        <w:trPr>
          <w:cantSplit/>
        </w:trPr>
        <w:tc>
          <w:tcPr>
            <w:tcW w:type="dxa" w:w="9360"/>
            <w:tcMar>
              <w:top w:w="80" w:type="dxa"/>
              <w:start w:w="120" w:type="dxa"/>
              <w:bottom w:w="80" w:type="dxa"/>
              <w:end w:w="120" w:type="dxa"/>
            </w:tcMar>
            <w:shd w:fill="FFF2C6"/>
          </w:tcPr>
          <w:p>
            <w:pPr>
              <w:spacing w:after="40" w:before="0" w:line="252" w:lineRule="auto"/>
              <w:jc w:val="left"/>
            </w:pPr>
            <w:r/>
            <w:r>
              <w:rPr>
                <w:rFonts w:ascii="Calibri" w:hAnsi="Calibri"/>
                <w:b w:val="0"/>
                <w:color w:val="1F2933"/>
                <w:sz w:val="20"/>
              </w:rPr>
              <w:t>CONDITIONAL GO for a 90-day paid pop-up and concierge studio. NO-GO for a long-term flagship lease, proprietary funding platform, investor marketplace, or franchise rollout until the validation gates in this prospectus are met.</w:t>
            </w:r>
          </w:p>
        </w:tc>
      </w:tr>
    </w:tbl>
    <w:p>
      <w:pPr>
        <w:spacing w:after="0"/>
      </w:pPr>
    </w:p>
    <w:p>
      <w:r>
        <w:rPr>
          <w:i w:val="0"/>
        </w:rPr>
        <w:t>Prepared 17 July 2026 | Version 1.0 | United States planning basis</w:t>
      </w:r>
    </w:p>
    <w:p>
      <w:pPr>
        <w:pStyle w:val="Caption"/>
      </w:pPr>
      <w:r>
        <w:t>This document is a planning prospectus and feasibility study. It is not an offer to sell securities, audited financial statements, a valuation, legal advice, tax advice, or an assurance of future performance.</w:t>
      </w:r>
    </w:p>
    <w:p>
      <w:r>
        <w:br w:type="page"/>
      </w:r>
    </w:p>
    <w:p>
      <w:pPr>
        <w:spacing w:after="40"/>
      </w:pPr>
      <w:r>
        <w:rPr>
          <w:b/>
          <w:color w:val="238295"/>
          <w:sz w:val="17"/>
        </w:rPr>
        <w:t>AT A GLANCE</w:t>
      </w:r>
    </w:p>
    <w:p>
      <w:pPr>
        <w:pStyle w:val="Heading1"/>
        <w:keepNext/>
        <w:keepLines/>
      </w:pPr>
      <w:r>
        <w:t>01  Executive decision</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1F8B4C"/>
          </w:tcPr>
          <w:p>
            <w:pPr>
              <w:spacing w:after="0" w:before="0" w:line="252" w:lineRule="auto"/>
              <w:jc w:val="left"/>
            </w:pPr>
            <w:r/>
            <w:r>
              <w:rPr>
                <w:rFonts w:ascii="Calibri" w:hAnsi="Calibri"/>
                <w:b/>
                <w:color w:val="FFFFFF"/>
                <w:sz w:val="19"/>
              </w:rPr>
              <w:t>THE RECOMMENDATION</w:t>
            </w:r>
          </w:p>
        </w:tc>
      </w:tr>
      <w:tr>
        <w:trPr>
          <w:cantSplit/>
        </w:trPr>
        <w:tc>
          <w:tcPr>
            <w:tcW w:type="dxa" w:w="9360"/>
            <w:tcMar>
              <w:top w:w="80" w:type="dxa"/>
              <w:start w:w="120" w:type="dxa"/>
              <w:bottom w:w="80" w:type="dxa"/>
              <w:end w:w="120" w:type="dxa"/>
            </w:tcMar>
            <w:shd w:fill="E7F4EA"/>
          </w:tcPr>
          <w:p>
            <w:pPr>
              <w:spacing w:after="40" w:before="0" w:line="252" w:lineRule="auto"/>
              <w:jc w:val="left"/>
            </w:pPr>
            <w:r/>
            <w:r>
              <w:rPr>
                <w:rFonts w:ascii="Calibri" w:hAnsi="Calibri"/>
                <w:b w:val="0"/>
                <w:color w:val="1F2933"/>
                <w:sz w:val="20"/>
              </w:rPr>
              <w:t>Launch the smallest paid version that can prove willingness to pay, delivery quality, confidentiality, and repeatable economics. Preserve the storefront vision as a tested destination—not as the first irreversible cost.</w:t>
            </w:r>
          </w:p>
        </w:tc>
      </w:tr>
    </w:tbl>
    <w:p>
      <w:pPr>
        <w:spacing w:after="0"/>
      </w:pPr>
    </w:p>
    <w:p>
      <w:r>
        <w:rPr>
          <w:i w:val="0"/>
        </w:rPr>
        <w:t>Lame Brain Ideas can occupy a real gap between free mentoring, do-it-yourself AI, specialist consulting, incubators, and crowdfunding platforms. The gap is not “advice.” It is a confidential, guided transformation from an unstructured idea into decision-ready artifacts: problem definition, evidence, concept options, prototype or pitch, execution plan, and an honest next-step recommendation.</w:t>
      </w:r>
    </w:p>
    <w:p>
      <w:r>
        <w:rPr>
          <w:i w:val="0"/>
        </w:rPr>
        <w:t>The original source concept is emotionally legible and retail-friendly: a place where ordinary people can walk in with an idea and leave with progress. The proposed three exits—take the package home, pursue rewards crowdfunding, or enter an investor pathway—are compelling when they are separated by clear gates. They become legally and operationally hazardous if they are bundled as one promise.</w:t>
      </w:r>
    </w:p>
    <w:tbl>
      <w:tblPr>
        <w:tblW w:type="dxa" w:w="9360"/>
        <w:jc w:val="left"/>
        <w:tblLayout w:type="fixed"/>
        <w:tblLook w:firstColumn="1" w:firstRow="1" w:lastColumn="0" w:lastRow="0" w:noHBand="0" w:noVBand="1" w:val="04A0"/>
        <w:tblInd w:w="0" w:type="dxa"/>
      </w:tblPr>
      <w:tblGrid>
        <w:gridCol w:w="1800"/>
        <w:gridCol w:w="2700"/>
        <w:gridCol w:w="4860"/>
      </w:tblGrid>
      <w:tr>
        <w:trPr>
          <w:tblHeader w:val="true"/>
          <w:cantSplit/>
        </w:trPr>
        <w:tc>
          <w:tcPr>
            <w:tcW w:type="dxa" w:w="18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Decision lens</w:t>
            </w:r>
          </w:p>
        </w:tc>
        <w:tc>
          <w:tcPr>
            <w:tcW w:type="dxa" w:w="27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Finding</w:t>
            </w:r>
          </w:p>
        </w:tc>
        <w:tc>
          <w:tcPr>
            <w:tcW w:type="dxa" w:w="486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Implication</w:t>
            </w:r>
          </w:p>
        </w:tc>
      </w:tr>
      <w:tr>
        <w:trPr>
          <w:cantSplit/>
        </w:trPr>
        <w:tc>
          <w:tcPr>
            <w:tcW w:type="dxa" w:w="1800"/>
            <w:shd w:fill="FFFFFF"/>
            <w:vAlign w:val="center"/>
          </w:tcPr>
          <w:p>
            <w:pPr>
              <w:spacing w:after="0" w:before="0" w:line="252" w:lineRule="auto"/>
              <w:jc w:val="left"/>
            </w:pPr>
            <w:r/>
            <w:r>
              <w:rPr>
                <w:rFonts w:ascii="Calibri" w:hAnsi="Calibri"/>
                <w:b w:val="0"/>
                <w:color w:val="1F2933"/>
                <w:sz w:val="17"/>
              </w:rPr>
              <w:t>Customer need</w:t>
            </w:r>
          </w:p>
        </w:tc>
        <w:tc>
          <w:tcPr>
            <w:tcW w:type="dxa" w:w="2700"/>
            <w:shd w:fill="FFFFFF"/>
            <w:vAlign w:val="center"/>
          </w:tcPr>
          <w:p>
            <w:pPr>
              <w:spacing w:after="0" w:before="0" w:line="252" w:lineRule="auto"/>
              <w:jc w:val="left"/>
            </w:pPr>
            <w:r/>
            <w:r>
              <w:rPr>
                <w:rFonts w:ascii="Calibri" w:hAnsi="Calibri"/>
                <w:b w:val="0"/>
                <w:color w:val="1F2933"/>
                <w:sz w:val="17"/>
              </w:rPr>
              <w:t>Plausible, not yet measured</w:t>
            </w:r>
          </w:p>
        </w:tc>
        <w:tc>
          <w:tcPr>
            <w:tcW w:type="dxa" w:w="4860"/>
            <w:shd w:fill="FFFFFF"/>
            <w:vAlign w:val="center"/>
          </w:tcPr>
          <w:p>
            <w:pPr>
              <w:spacing w:after="0" w:before="0" w:line="252" w:lineRule="auto"/>
              <w:jc w:val="left"/>
            </w:pPr>
            <w:r/>
            <w:r>
              <w:rPr>
                <w:rFonts w:ascii="Calibri" w:hAnsi="Calibri"/>
                <w:b w:val="0"/>
                <w:color w:val="1F2933"/>
                <w:sz w:val="17"/>
              </w:rPr>
              <w:t>Test paid demand before a lease</w:t>
            </w:r>
          </w:p>
        </w:tc>
      </w:tr>
      <w:tr>
        <w:trPr>
          <w:cantSplit/>
        </w:trPr>
        <w:tc>
          <w:tcPr>
            <w:tcW w:type="dxa" w:w="1800"/>
            <w:shd w:fill="F4F6F9"/>
            <w:vAlign w:val="center"/>
          </w:tcPr>
          <w:p>
            <w:pPr>
              <w:spacing w:after="0" w:before="0" w:line="252" w:lineRule="auto"/>
              <w:jc w:val="left"/>
            </w:pPr>
            <w:r/>
            <w:r>
              <w:rPr>
                <w:rFonts w:ascii="Calibri" w:hAnsi="Calibri"/>
                <w:b w:val="0"/>
                <w:color w:val="1F2933"/>
                <w:sz w:val="17"/>
              </w:rPr>
              <w:t>Service feasibility</w:t>
            </w:r>
          </w:p>
        </w:tc>
        <w:tc>
          <w:tcPr>
            <w:tcW w:type="dxa" w:w="2700"/>
            <w:shd w:fill="F4F6F9"/>
            <w:vAlign w:val="center"/>
          </w:tcPr>
          <w:p>
            <w:pPr>
              <w:spacing w:after="0" w:before="0" w:line="252" w:lineRule="auto"/>
              <w:jc w:val="left"/>
            </w:pPr>
            <w:r/>
            <w:r>
              <w:rPr>
                <w:rFonts w:ascii="Calibri" w:hAnsi="Calibri"/>
                <w:b w:val="0"/>
                <w:color w:val="1F2933"/>
                <w:sz w:val="17"/>
              </w:rPr>
              <w:t>High for a concierge studio</w:t>
            </w:r>
          </w:p>
        </w:tc>
        <w:tc>
          <w:tcPr>
            <w:tcW w:type="dxa" w:w="4860"/>
            <w:shd w:fill="F4F6F9"/>
            <w:vAlign w:val="center"/>
          </w:tcPr>
          <w:p>
            <w:pPr>
              <w:spacing w:after="0" w:before="0" w:line="252" w:lineRule="auto"/>
              <w:jc w:val="left"/>
            </w:pPr>
            <w:r/>
            <w:r>
              <w:rPr>
                <w:rFonts w:ascii="Calibri" w:hAnsi="Calibri"/>
                <w:b w:val="0"/>
                <w:color w:val="1F2933"/>
                <w:sz w:val="17"/>
              </w:rPr>
              <w:t>Codify scope, QA, and handoffs</w:t>
            </w:r>
          </w:p>
        </w:tc>
      </w:tr>
      <w:tr>
        <w:trPr>
          <w:cantSplit/>
        </w:trPr>
        <w:tc>
          <w:tcPr>
            <w:tcW w:type="dxa" w:w="1800"/>
            <w:shd w:fill="E8F2F6"/>
            <w:vAlign w:val="center"/>
          </w:tcPr>
          <w:p>
            <w:pPr>
              <w:spacing w:after="0" w:before="0" w:line="252" w:lineRule="auto"/>
              <w:jc w:val="left"/>
            </w:pPr>
            <w:r/>
            <w:r>
              <w:rPr>
                <w:rFonts w:ascii="Calibri" w:hAnsi="Calibri"/>
                <w:b/>
                <w:color w:val="1F2933"/>
                <w:sz w:val="17"/>
              </w:rPr>
              <w:t>Flagship economics</w:t>
            </w:r>
          </w:p>
        </w:tc>
        <w:tc>
          <w:tcPr>
            <w:tcW w:type="dxa" w:w="2700"/>
            <w:shd w:fill="E8F2F6"/>
            <w:vAlign w:val="center"/>
          </w:tcPr>
          <w:p>
            <w:pPr>
              <w:spacing w:after="0" w:before="0" w:line="252" w:lineRule="auto"/>
              <w:jc w:val="left"/>
            </w:pPr>
            <w:r/>
            <w:r>
              <w:rPr>
                <w:rFonts w:ascii="Calibri" w:hAnsi="Calibri"/>
                <w:b/>
                <w:color w:val="1F2933"/>
                <w:sz w:val="17"/>
              </w:rPr>
              <w:t>Weak in base case</w:t>
            </w:r>
          </w:p>
        </w:tc>
        <w:tc>
          <w:tcPr>
            <w:tcW w:type="dxa" w:w="4860"/>
            <w:shd w:fill="E8F2F6"/>
            <w:vAlign w:val="center"/>
          </w:tcPr>
          <w:p>
            <w:pPr>
              <w:spacing w:after="0" w:before="0" w:line="252" w:lineRule="auto"/>
              <w:jc w:val="left"/>
            </w:pPr>
            <w:r/>
            <w:r>
              <w:rPr>
                <w:rFonts w:ascii="Calibri" w:hAnsi="Calibri"/>
                <w:b/>
                <w:color w:val="1F2933"/>
                <w:sz w:val="17"/>
              </w:rPr>
              <w:t>Do not fund on walk-in optimism</w:t>
            </w:r>
          </w:p>
        </w:tc>
      </w:tr>
      <w:tr>
        <w:trPr>
          <w:cantSplit/>
        </w:trPr>
        <w:tc>
          <w:tcPr>
            <w:tcW w:type="dxa" w:w="1800"/>
            <w:shd w:fill="F4F6F9"/>
            <w:vAlign w:val="center"/>
          </w:tcPr>
          <w:p>
            <w:pPr>
              <w:spacing w:after="0" w:before="0" w:line="252" w:lineRule="auto"/>
              <w:jc w:val="left"/>
            </w:pPr>
            <w:r/>
            <w:r>
              <w:rPr>
                <w:rFonts w:ascii="Calibri" w:hAnsi="Calibri"/>
                <w:b w:val="0"/>
                <w:color w:val="1F2933"/>
                <w:sz w:val="17"/>
              </w:rPr>
              <w:t>Platform feasibility</w:t>
            </w:r>
          </w:p>
        </w:tc>
        <w:tc>
          <w:tcPr>
            <w:tcW w:type="dxa" w:w="2700"/>
            <w:shd w:fill="F4F6F9"/>
            <w:vAlign w:val="center"/>
          </w:tcPr>
          <w:p>
            <w:pPr>
              <w:spacing w:after="0" w:before="0" w:line="252" w:lineRule="auto"/>
              <w:jc w:val="left"/>
            </w:pPr>
            <w:r/>
            <w:r>
              <w:rPr>
                <w:rFonts w:ascii="Calibri" w:hAnsi="Calibri"/>
                <w:b w:val="0"/>
                <w:color w:val="1F2933"/>
                <w:sz w:val="17"/>
              </w:rPr>
              <w:t>Conditional and regulated</w:t>
            </w:r>
          </w:p>
        </w:tc>
        <w:tc>
          <w:tcPr>
            <w:tcW w:type="dxa" w:w="4860"/>
            <w:shd w:fill="F4F6F9"/>
            <w:vAlign w:val="center"/>
          </w:tcPr>
          <w:p>
            <w:pPr>
              <w:spacing w:after="0" w:before="0" w:line="252" w:lineRule="auto"/>
              <w:jc w:val="left"/>
            </w:pPr>
            <w:r/>
            <w:r>
              <w:rPr>
                <w:rFonts w:ascii="Calibri" w:hAnsi="Calibri"/>
                <w:b w:val="0"/>
                <w:color w:val="1F2933"/>
                <w:sz w:val="17"/>
              </w:rPr>
              <w:t>Partner first; build later</w:t>
            </w:r>
          </w:p>
        </w:tc>
      </w:tr>
      <w:tr>
        <w:trPr>
          <w:cantSplit/>
        </w:trPr>
        <w:tc>
          <w:tcPr>
            <w:tcW w:type="dxa" w:w="1800"/>
            <w:shd w:fill="FFFFFF"/>
            <w:vAlign w:val="center"/>
          </w:tcPr>
          <w:p>
            <w:pPr>
              <w:spacing w:after="0" w:before="0" w:line="252" w:lineRule="auto"/>
              <w:jc w:val="left"/>
            </w:pPr>
            <w:r/>
            <w:r>
              <w:rPr>
                <w:rFonts w:ascii="Calibri" w:hAnsi="Calibri"/>
                <w:b w:val="0"/>
                <w:color w:val="1F2933"/>
                <w:sz w:val="17"/>
              </w:rPr>
              <w:t>Scalability</w:t>
            </w:r>
          </w:p>
        </w:tc>
        <w:tc>
          <w:tcPr>
            <w:tcW w:type="dxa" w:w="2700"/>
            <w:shd w:fill="FFFFFF"/>
            <w:vAlign w:val="center"/>
          </w:tcPr>
          <w:p>
            <w:pPr>
              <w:spacing w:after="0" w:before="0" w:line="252" w:lineRule="auto"/>
              <w:jc w:val="left"/>
            </w:pPr>
            <w:r/>
            <w:r>
              <w:rPr>
                <w:rFonts w:ascii="Calibri" w:hAnsi="Calibri"/>
                <w:b w:val="0"/>
                <w:color w:val="1F2933"/>
                <w:sz w:val="17"/>
              </w:rPr>
              <w:t>Unproven</w:t>
            </w:r>
          </w:p>
        </w:tc>
        <w:tc>
          <w:tcPr>
            <w:tcW w:type="dxa" w:w="4860"/>
            <w:shd w:fill="FFFFFF"/>
            <w:vAlign w:val="center"/>
          </w:tcPr>
          <w:p>
            <w:pPr>
              <w:spacing w:after="0" w:before="0" w:line="252" w:lineRule="auto"/>
              <w:jc w:val="left"/>
            </w:pPr>
            <w:r/>
            <w:r>
              <w:rPr>
                <w:rFonts w:ascii="Calibri" w:hAnsi="Calibri"/>
                <w:b w:val="0"/>
                <w:color w:val="1F2933"/>
                <w:sz w:val="17"/>
              </w:rPr>
              <w:t>Replicate only after store-level proof</w:t>
            </w:r>
          </w:p>
        </w:tc>
      </w:tr>
    </w:tbl>
    <w:p>
      <w:pPr>
        <w:spacing w:after="0"/>
      </w:pPr>
    </w:p>
    <w:p>
      <w:pPr>
        <w:pStyle w:val="Heading2"/>
        <w:keepNext/>
        <w:keepLines/>
      </w:pPr>
      <w:r>
        <w:t>Financial reality</w:t>
      </w:r>
    </w:p>
    <w:tbl>
      <w:tblPr>
        <w:tblW w:type="dxa" w:w="9360"/>
        <w:jc w:val="left"/>
        <w:tblLayout w:type="fixed"/>
        <w:tblLook w:firstColumn="1" w:firstRow="1" w:lastColumn="0" w:lastRow="0" w:noHBand="0" w:noVBand="1" w:val="04A0"/>
        <w:tblInd w:w="0" w:type="dxa"/>
      </w:tblPr>
      <w:tblGrid>
        <w:gridCol w:w="1500"/>
        <w:gridCol w:w="1680"/>
        <w:gridCol w:w="1680"/>
        <w:gridCol w:w="1350"/>
        <w:gridCol w:w="1650"/>
        <w:gridCol w:w="1500"/>
      </w:tblGrid>
      <w:tr>
        <w:trPr>
          <w:tblHeader w:val="true"/>
          <w:cantSplit/>
        </w:trPr>
        <w:tc>
          <w:tcPr>
            <w:tcW w:type="dxa" w:w="15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Scenario</w:t>
            </w:r>
          </w:p>
        </w:tc>
        <w:tc>
          <w:tcPr>
            <w:tcW w:type="dxa" w:w="1680"/>
            <w:tcMar>
              <w:top w:w="80" w:type="dxa"/>
              <w:start w:w="120" w:type="dxa"/>
              <w:bottom w:w="80" w:type="dxa"/>
              <w:end w:w="120" w:type="dxa"/>
            </w:tcMar>
            <w:shd w:fill="238295"/>
          </w:tcPr>
          <w:p>
            <w:pPr>
              <w:spacing w:after="0" w:before="0" w:line="252" w:lineRule="auto"/>
              <w:jc w:val="right"/>
            </w:pPr>
            <w:r/>
            <w:r>
              <w:rPr>
                <w:rFonts w:ascii="Calibri" w:hAnsi="Calibri"/>
                <w:b/>
                <w:color w:val="FFFFFF"/>
                <w:sz w:val="17"/>
              </w:rPr>
              <w:t>Year 5 revenue</w:t>
            </w:r>
          </w:p>
        </w:tc>
        <w:tc>
          <w:tcPr>
            <w:tcW w:type="dxa" w:w="1680"/>
            <w:tcMar>
              <w:top w:w="80" w:type="dxa"/>
              <w:start w:w="120" w:type="dxa"/>
              <w:bottom w:w="80" w:type="dxa"/>
              <w:end w:w="120" w:type="dxa"/>
            </w:tcMar>
            <w:shd w:fill="238295"/>
          </w:tcPr>
          <w:p>
            <w:pPr>
              <w:spacing w:after="0" w:before="0" w:line="252" w:lineRule="auto"/>
              <w:jc w:val="right"/>
            </w:pPr>
            <w:r/>
            <w:r>
              <w:rPr>
                <w:rFonts w:ascii="Calibri" w:hAnsi="Calibri"/>
                <w:b/>
                <w:color w:val="FFFFFF"/>
                <w:sz w:val="17"/>
              </w:rPr>
              <w:t>Year 5 EBITDA</w:t>
            </w:r>
          </w:p>
        </w:tc>
        <w:tc>
          <w:tcPr>
            <w:tcW w:type="dxa" w:w="1350"/>
            <w:tcMar>
              <w:top w:w="80" w:type="dxa"/>
              <w:start w:w="120" w:type="dxa"/>
              <w:bottom w:w="80" w:type="dxa"/>
              <w:end w:w="120" w:type="dxa"/>
            </w:tcMar>
            <w:shd w:fill="238295"/>
          </w:tcPr>
          <w:p>
            <w:pPr>
              <w:spacing w:after="0" w:before="0" w:line="252" w:lineRule="auto"/>
              <w:jc w:val="right"/>
            </w:pPr>
            <w:r/>
            <w:r>
              <w:rPr>
                <w:rFonts w:ascii="Calibri" w:hAnsi="Calibri"/>
                <w:b/>
                <w:color w:val="FFFFFF"/>
                <w:sz w:val="17"/>
              </w:rPr>
              <w:t>Margin</w:t>
            </w:r>
          </w:p>
        </w:tc>
        <w:tc>
          <w:tcPr>
            <w:tcW w:type="dxa" w:w="1650"/>
            <w:tcMar>
              <w:top w:w="80" w:type="dxa"/>
              <w:start w:w="120" w:type="dxa"/>
              <w:bottom w:w="80" w:type="dxa"/>
              <w:end w:w="120" w:type="dxa"/>
            </w:tcMar>
            <w:shd w:fill="238295"/>
          </w:tcPr>
          <w:p>
            <w:pPr>
              <w:spacing w:after="0" w:before="0" w:line="252" w:lineRule="auto"/>
              <w:jc w:val="right"/>
            </w:pPr>
            <w:r/>
            <w:r>
              <w:rPr>
                <w:rFonts w:ascii="Calibri" w:hAnsi="Calibri"/>
                <w:b/>
                <w:color w:val="FFFFFF"/>
                <w:sz w:val="17"/>
              </w:rPr>
              <w:t>Funding need</w:t>
            </w:r>
          </w:p>
        </w:tc>
        <w:tc>
          <w:tcPr>
            <w:tcW w:type="dxa" w:w="1500"/>
            <w:tcMar>
              <w:top w:w="80" w:type="dxa"/>
              <w:start w:w="120" w:type="dxa"/>
              <w:bottom w:w="80" w:type="dxa"/>
              <w:end w:w="120" w:type="dxa"/>
            </w:tcMar>
            <w:shd w:fill="238295"/>
          </w:tcPr>
          <w:p>
            <w:pPr>
              <w:spacing w:after="0" w:before="0" w:line="252" w:lineRule="auto"/>
              <w:jc w:val="center"/>
            </w:pPr>
            <w:r/>
            <w:r>
              <w:rPr>
                <w:rFonts w:ascii="Calibri" w:hAnsi="Calibri"/>
                <w:b/>
                <w:color w:val="FFFFFF"/>
                <w:sz w:val="17"/>
              </w:rPr>
              <w:t>Break-even</w:t>
            </w:r>
          </w:p>
        </w:tc>
      </w:tr>
      <w:tr>
        <w:trPr>
          <w:cantSplit/>
        </w:trPr>
        <w:tc>
          <w:tcPr>
            <w:tcW w:type="dxa" w:w="1500"/>
            <w:shd w:fill="FFFFFF"/>
            <w:vAlign w:val="center"/>
          </w:tcPr>
          <w:p>
            <w:pPr>
              <w:spacing w:after="0" w:before="0" w:line="252" w:lineRule="auto"/>
              <w:jc w:val="left"/>
            </w:pPr>
            <w:r/>
            <w:r>
              <w:rPr>
                <w:rFonts w:ascii="Calibri" w:hAnsi="Calibri"/>
                <w:b w:val="0"/>
                <w:color w:val="1F2933"/>
                <w:sz w:val="17"/>
              </w:rPr>
              <w:t>Downside</w:t>
            </w:r>
          </w:p>
        </w:tc>
        <w:tc>
          <w:tcPr>
            <w:tcW w:type="dxa" w:w="1680"/>
            <w:shd w:fill="FFFFFF"/>
            <w:vAlign w:val="center"/>
          </w:tcPr>
          <w:p>
            <w:pPr>
              <w:spacing w:after="0" w:before="0" w:line="252" w:lineRule="auto"/>
              <w:jc w:val="right"/>
            </w:pPr>
            <w:r/>
            <w:r>
              <w:rPr>
                <w:rFonts w:ascii="Calibri" w:hAnsi="Calibri"/>
                <w:b w:val="0"/>
                <w:color w:val="1F2933"/>
                <w:sz w:val="17"/>
              </w:rPr>
              <w:t>$1.345M</w:t>
            </w:r>
          </w:p>
        </w:tc>
        <w:tc>
          <w:tcPr>
            <w:tcW w:type="dxa" w:w="1680"/>
            <w:shd w:fill="FFFFFF"/>
            <w:vAlign w:val="center"/>
          </w:tcPr>
          <w:p>
            <w:pPr>
              <w:spacing w:after="0" w:before="0" w:line="252" w:lineRule="auto"/>
              <w:jc w:val="right"/>
            </w:pPr>
            <w:r/>
            <w:r>
              <w:rPr>
                <w:rFonts w:ascii="Calibri" w:hAnsi="Calibri"/>
                <w:b w:val="0"/>
                <w:color w:val="B33A3A"/>
                <w:sz w:val="17"/>
              </w:rPr>
              <w:t>($611K)</w:t>
            </w:r>
          </w:p>
        </w:tc>
        <w:tc>
          <w:tcPr>
            <w:tcW w:type="dxa" w:w="1350"/>
            <w:shd w:fill="FFFFFF"/>
            <w:vAlign w:val="center"/>
          </w:tcPr>
          <w:p>
            <w:pPr>
              <w:spacing w:after="0" w:before="0" w:line="252" w:lineRule="auto"/>
              <w:jc w:val="right"/>
            </w:pPr>
            <w:r/>
            <w:r>
              <w:rPr>
                <w:rFonts w:ascii="Calibri" w:hAnsi="Calibri"/>
                <w:b w:val="0"/>
                <w:color w:val="B33A3A"/>
                <w:sz w:val="17"/>
              </w:rPr>
              <w:t>(45.4%)</w:t>
            </w:r>
          </w:p>
        </w:tc>
        <w:tc>
          <w:tcPr>
            <w:tcW w:type="dxa" w:w="1650"/>
            <w:shd w:fill="FFFFFF"/>
            <w:vAlign w:val="center"/>
          </w:tcPr>
          <w:p>
            <w:pPr>
              <w:spacing w:after="0" w:before="0" w:line="252" w:lineRule="auto"/>
              <w:jc w:val="right"/>
            </w:pPr>
            <w:r/>
            <w:r>
              <w:rPr>
                <w:rFonts w:ascii="Calibri" w:hAnsi="Calibri"/>
                <w:b w:val="0"/>
                <w:color w:val="1F2933"/>
                <w:sz w:val="17"/>
              </w:rPr>
              <w:t>$5.128M</w:t>
            </w:r>
          </w:p>
        </w:tc>
        <w:tc>
          <w:tcPr>
            <w:tcW w:type="dxa" w:w="1500"/>
            <w:shd w:fill="FFFFFF"/>
            <w:vAlign w:val="center"/>
          </w:tcPr>
          <w:p>
            <w:pPr>
              <w:spacing w:after="0" w:before="0" w:line="252" w:lineRule="auto"/>
              <w:jc w:val="center"/>
            </w:pPr>
            <w:r/>
            <w:r>
              <w:rPr>
                <w:rFonts w:ascii="Calibri" w:hAnsi="Calibri"/>
                <w:b w:val="0"/>
                <w:color w:val="1F2933"/>
                <w:sz w:val="17"/>
              </w:rPr>
              <w:t>Beyond Y5</w:t>
            </w:r>
          </w:p>
        </w:tc>
      </w:tr>
      <w:tr>
        <w:trPr>
          <w:cantSplit/>
        </w:trPr>
        <w:tc>
          <w:tcPr>
            <w:tcW w:type="dxa" w:w="1500"/>
            <w:shd w:fill="E8F2F6"/>
            <w:vAlign w:val="center"/>
          </w:tcPr>
          <w:p>
            <w:pPr>
              <w:spacing w:after="0" w:before="0" w:line="252" w:lineRule="auto"/>
              <w:jc w:val="left"/>
            </w:pPr>
            <w:r/>
            <w:r>
              <w:rPr>
                <w:rFonts w:ascii="Calibri" w:hAnsi="Calibri"/>
                <w:b/>
                <w:color w:val="1F2933"/>
                <w:sz w:val="17"/>
              </w:rPr>
              <w:t>Base</w:t>
            </w:r>
          </w:p>
        </w:tc>
        <w:tc>
          <w:tcPr>
            <w:tcW w:type="dxa" w:w="1680"/>
            <w:shd w:fill="E8F2F6"/>
            <w:vAlign w:val="center"/>
          </w:tcPr>
          <w:p>
            <w:pPr>
              <w:spacing w:after="0" w:before="0" w:line="252" w:lineRule="auto"/>
              <w:jc w:val="right"/>
            </w:pPr>
            <w:r/>
            <w:r>
              <w:rPr>
                <w:rFonts w:ascii="Calibri" w:hAnsi="Calibri"/>
                <w:b/>
                <w:color w:val="1F2933"/>
                <w:sz w:val="17"/>
              </w:rPr>
              <w:t>$2.010M</w:t>
            </w:r>
          </w:p>
        </w:tc>
        <w:tc>
          <w:tcPr>
            <w:tcW w:type="dxa" w:w="1680"/>
            <w:shd w:fill="E8F2F6"/>
            <w:vAlign w:val="center"/>
          </w:tcPr>
          <w:p>
            <w:pPr>
              <w:spacing w:after="0" w:before="0" w:line="252" w:lineRule="auto"/>
              <w:jc w:val="right"/>
            </w:pPr>
            <w:r/>
            <w:r>
              <w:rPr>
                <w:rFonts w:ascii="Calibri" w:hAnsi="Calibri"/>
                <w:b/>
                <w:color w:val="1F2933"/>
                <w:sz w:val="17"/>
              </w:rPr>
              <w:t>$75K</w:t>
            </w:r>
          </w:p>
        </w:tc>
        <w:tc>
          <w:tcPr>
            <w:tcW w:type="dxa" w:w="1350"/>
            <w:shd w:fill="E8F2F6"/>
            <w:vAlign w:val="center"/>
          </w:tcPr>
          <w:p>
            <w:pPr>
              <w:spacing w:after="0" w:before="0" w:line="252" w:lineRule="auto"/>
              <w:jc w:val="right"/>
            </w:pPr>
            <w:r/>
            <w:r>
              <w:rPr>
                <w:rFonts w:ascii="Calibri" w:hAnsi="Calibri"/>
                <w:b/>
                <w:color w:val="1F2933"/>
                <w:sz w:val="17"/>
              </w:rPr>
              <w:t>3.7%</w:t>
            </w:r>
          </w:p>
        </w:tc>
        <w:tc>
          <w:tcPr>
            <w:tcW w:type="dxa" w:w="1650"/>
            <w:shd w:fill="E8F2F6"/>
            <w:vAlign w:val="center"/>
          </w:tcPr>
          <w:p>
            <w:pPr>
              <w:spacing w:after="0" w:before="0" w:line="252" w:lineRule="auto"/>
              <w:jc w:val="right"/>
            </w:pPr>
            <w:r/>
            <w:r>
              <w:rPr>
                <w:rFonts w:ascii="Calibri" w:hAnsi="Calibri"/>
                <w:b/>
                <w:color w:val="1F2933"/>
                <w:sz w:val="17"/>
              </w:rPr>
              <w:t>$2.648M</w:t>
            </w:r>
          </w:p>
        </w:tc>
        <w:tc>
          <w:tcPr>
            <w:tcW w:type="dxa" w:w="1500"/>
            <w:shd w:fill="E8F2F6"/>
            <w:vAlign w:val="center"/>
          </w:tcPr>
          <w:p>
            <w:pPr>
              <w:spacing w:after="0" w:before="0" w:line="252" w:lineRule="auto"/>
              <w:jc w:val="center"/>
            </w:pPr>
            <w:r/>
            <w:r>
              <w:rPr>
                <w:rFonts w:ascii="Calibri" w:hAnsi="Calibri"/>
                <w:b/>
                <w:color w:val="1F2933"/>
                <w:sz w:val="17"/>
              </w:rPr>
              <w:t>Year 5</w:t>
            </w:r>
          </w:p>
        </w:tc>
      </w:tr>
      <w:tr>
        <w:trPr>
          <w:cantSplit/>
        </w:trPr>
        <w:tc>
          <w:tcPr>
            <w:tcW w:type="dxa" w:w="1500"/>
            <w:shd w:fill="FFFFFF"/>
            <w:vAlign w:val="center"/>
          </w:tcPr>
          <w:p>
            <w:pPr>
              <w:spacing w:after="0" w:before="0" w:line="252" w:lineRule="auto"/>
              <w:jc w:val="left"/>
            </w:pPr>
            <w:r/>
            <w:r>
              <w:rPr>
                <w:rFonts w:ascii="Calibri" w:hAnsi="Calibri"/>
                <w:b w:val="0"/>
                <w:color w:val="1F2933"/>
                <w:sz w:val="17"/>
              </w:rPr>
              <w:t>Upside</w:t>
            </w:r>
          </w:p>
        </w:tc>
        <w:tc>
          <w:tcPr>
            <w:tcW w:type="dxa" w:w="1680"/>
            <w:shd w:fill="FFFFFF"/>
            <w:vAlign w:val="center"/>
          </w:tcPr>
          <w:p>
            <w:pPr>
              <w:spacing w:after="0" w:before="0" w:line="252" w:lineRule="auto"/>
              <w:jc w:val="right"/>
            </w:pPr>
            <w:r/>
            <w:r>
              <w:rPr>
                <w:rFonts w:ascii="Calibri" w:hAnsi="Calibri"/>
                <w:b w:val="0"/>
                <w:color w:val="1F2933"/>
                <w:sz w:val="17"/>
              </w:rPr>
              <w:t>$2.497M</w:t>
            </w:r>
          </w:p>
        </w:tc>
        <w:tc>
          <w:tcPr>
            <w:tcW w:type="dxa" w:w="1680"/>
            <w:shd w:fill="FFFFFF"/>
            <w:vAlign w:val="center"/>
          </w:tcPr>
          <w:p>
            <w:pPr>
              <w:spacing w:after="0" w:before="0" w:line="252" w:lineRule="auto"/>
              <w:jc w:val="right"/>
            </w:pPr>
            <w:r/>
            <w:r>
              <w:rPr>
                <w:rFonts w:ascii="Calibri" w:hAnsi="Calibri"/>
                <w:b w:val="0"/>
                <w:color w:val="1F2933"/>
                <w:sz w:val="17"/>
              </w:rPr>
              <w:t>$402K</w:t>
            </w:r>
          </w:p>
        </w:tc>
        <w:tc>
          <w:tcPr>
            <w:tcW w:type="dxa" w:w="1350"/>
            <w:shd w:fill="FFFFFF"/>
            <w:vAlign w:val="center"/>
          </w:tcPr>
          <w:p>
            <w:pPr>
              <w:spacing w:after="0" w:before="0" w:line="252" w:lineRule="auto"/>
              <w:jc w:val="right"/>
            </w:pPr>
            <w:r/>
            <w:r>
              <w:rPr>
                <w:rFonts w:ascii="Calibri" w:hAnsi="Calibri"/>
                <w:b w:val="0"/>
                <w:color w:val="1F2933"/>
                <w:sz w:val="17"/>
              </w:rPr>
              <w:t>16.1%</w:t>
            </w:r>
          </w:p>
        </w:tc>
        <w:tc>
          <w:tcPr>
            <w:tcW w:type="dxa" w:w="1650"/>
            <w:shd w:fill="FFFFFF"/>
            <w:vAlign w:val="center"/>
          </w:tcPr>
          <w:p>
            <w:pPr>
              <w:spacing w:after="0" w:before="0" w:line="252" w:lineRule="auto"/>
              <w:jc w:val="right"/>
            </w:pPr>
            <w:r/>
            <w:r>
              <w:rPr>
                <w:rFonts w:ascii="Calibri" w:hAnsi="Calibri"/>
                <w:b w:val="0"/>
                <w:color w:val="1F2933"/>
                <w:sz w:val="17"/>
              </w:rPr>
              <w:t>$2.116M</w:t>
            </w:r>
          </w:p>
        </w:tc>
        <w:tc>
          <w:tcPr>
            <w:tcW w:type="dxa" w:w="1500"/>
            <w:shd w:fill="FFFFFF"/>
            <w:vAlign w:val="center"/>
          </w:tcPr>
          <w:p>
            <w:pPr>
              <w:spacing w:after="0" w:before="0" w:line="252" w:lineRule="auto"/>
              <w:jc w:val="center"/>
            </w:pPr>
            <w:r/>
            <w:r>
              <w:rPr>
                <w:rFonts w:ascii="Calibri" w:hAnsi="Calibri"/>
                <w:b w:val="0"/>
                <w:color w:val="1F2933"/>
                <w:sz w:val="17"/>
              </w:rPr>
              <w:t>Year 4</w:t>
            </w:r>
          </w:p>
        </w:tc>
      </w:tr>
    </w:tbl>
    <w:p>
      <w:pPr>
        <w:spacing w:after="0"/>
      </w:pPr>
    </w:p>
    <w:p>
      <w:pPr>
        <w:pStyle w:val="Caption"/>
      </w:pPr>
      <w:r>
        <w:t>Source: management-assumption financial model accompanying this prospectus. Figures are unlevered and rounded.</w:t>
      </w:r>
    </w:p>
    <w:p>
      <w:r>
        <w:br w:type="page"/>
      </w:r>
    </w:p>
    <w:p>
      <w:pPr>
        <w:spacing w:after="40"/>
      </w:pPr>
      <w:r>
        <w:rPr>
          <w:b/>
          <w:color w:val="238295"/>
          <w:sz w:val="17"/>
        </w:rPr>
        <w:t>WHAT IS BEING EVALUATED</w:t>
      </w:r>
    </w:p>
    <w:p>
      <w:pPr>
        <w:pStyle w:val="Heading1"/>
        <w:keepNext/>
        <w:keepLines/>
      </w:pPr>
      <w:r>
        <w:t>02  Source concept and strategic reframing</w:t>
      </w:r>
    </w:p>
    <w:p>
      <w:pPr>
        <w:pStyle w:val="Heading2"/>
        <w:keepNext/>
        <w:keepLines/>
      </w:pPr>
      <w:r>
        <w:t>What the source actually contains</w:t>
      </w:r>
    </w:p>
    <w:p>
      <w:r>
        <w:rPr>
          <w:i w:val="0"/>
        </w:rPr>
        <w:t>The public ChatGPT share titled “Lame Brain Ideas Plan” contains one user concept prompt and one assistant response. No Canvas documents, attachments, financial files, operating manuals, or brand assets were recoverable. This prospectus therefore treats the user’s prompt as source intent and the assistant response as a set of hypotheses—not as approved strategy or evidence.</w:t>
      </w:r>
    </w:p>
    <w:p>
      <w:r>
        <w:rPr>
          <w:i w:val="0"/>
        </w:rPr>
        <w:t>The source proposes a hip, approachable storefront—part Apple Store, Brookstone, Kickstarter, and Shark Tank—with employees called Brain Stormers, private idea intake, AI-enabled development, and three possible exits. The prior response added tiered packages, studio zones, proprietary AI engines, memberships, city targets, crowdfunding fees, investor memberships, and franchising. Those additions are useful design prompts but require validation.</w:t>
      </w:r>
    </w:p>
    <w:p>
      <w:pPr>
        <w:pStyle w:val="Heading2"/>
        <w:keepNext/>
        <w:keepLines/>
      </w:pPr>
      <w:r>
        <w:t>The investable reframing</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38295"/>
          </w:tcPr>
          <w:p>
            <w:pPr>
              <w:spacing w:after="0" w:before="0" w:line="252" w:lineRule="auto"/>
              <w:jc w:val="left"/>
            </w:pPr>
            <w:r/>
            <w:r>
              <w:rPr>
                <w:rFonts w:ascii="Calibri" w:hAnsi="Calibri"/>
                <w:b/>
                <w:color w:val="FFFFFF"/>
                <w:sz w:val="19"/>
              </w:rPr>
              <w:t>CATEGORY</w:t>
            </w:r>
          </w:p>
        </w:tc>
      </w:tr>
      <w:tr>
        <w:trPr>
          <w:cantSplit/>
        </w:trPr>
        <w:tc>
          <w:tcPr>
            <w:tcW w:type="dxa" w:w="9360"/>
            <w:tcMar>
              <w:top w:w="80" w:type="dxa"/>
              <w:start w:w="120" w:type="dxa"/>
              <w:bottom w:w="80" w:type="dxa"/>
              <w:end w:w="120" w:type="dxa"/>
            </w:tcMar>
            <w:shd w:fill="E8F2F6"/>
          </w:tcPr>
          <w:p>
            <w:pPr>
              <w:spacing w:after="40" w:before="0" w:line="252" w:lineRule="auto"/>
              <w:jc w:val="left"/>
            </w:pPr>
            <w:r/>
            <w:r>
              <w:rPr>
                <w:rFonts w:ascii="Calibri" w:hAnsi="Calibri"/>
                <w:b w:val="0"/>
                <w:color w:val="1F2933"/>
                <w:sz w:val="20"/>
              </w:rPr>
              <w:t>A guided idea-development studio with retail hospitality—not a retail store that happens to sell consulting.</w:t>
            </w:r>
          </w:p>
        </w:tc>
      </w:tr>
    </w:tbl>
    <w:p>
      <w:pPr>
        <w:spacing w:after="0"/>
      </w:pPr>
    </w:p>
    <w:p>
      <w:pPr>
        <w:pStyle w:val="ListBullet"/>
        <w:keepLines/>
        <w:jc w:val="left"/>
      </w:pPr>
      <w:r>
        <w:t>Customer promise: turn ambiguity into evidence, artifacts, and a decision.</w:t>
      </w:r>
    </w:p>
    <w:p>
      <w:pPr>
        <w:pStyle w:val="ListBullet"/>
        <w:keepLines/>
        <w:jc w:val="left"/>
      </w:pPr>
      <w:r>
        <w:t>Operating unit: scoped professional-service engagements delivered through a repeatable studio workflow.</w:t>
      </w:r>
    </w:p>
    <w:p>
      <w:pPr>
        <w:pStyle w:val="ListBullet"/>
        <w:keepLines/>
        <w:jc w:val="left"/>
      </w:pPr>
      <w:r>
        <w:t>Experience advantage: easy walk-in language, tangible outputs, private rooms, workshops, and visible progress.</w:t>
      </w:r>
    </w:p>
    <w:p>
      <w:pPr>
        <w:pStyle w:val="ListBullet"/>
        <w:keepLines/>
        <w:jc w:val="left"/>
      </w:pPr>
      <w:r>
        <w:t>Platform option: rewards crowdfunding and investor introductions only after service quality, demand, and compliance are proven.</w:t>
      </w:r>
    </w:p>
    <w:p>
      <w:pPr>
        <w:pStyle w:val="Heading2"/>
        <w:keepNext/>
        <w:keepLines/>
      </w:pPr>
      <w:r>
        <w:t>Three exits, three distinct products</w:t>
      </w:r>
    </w:p>
    <w:tbl>
      <w:tblPr>
        <w:tblW w:type="dxa" w:w="9360"/>
        <w:jc w:val="left"/>
        <w:tblLayout w:type="fixed"/>
        <w:tblLook w:firstColumn="1" w:firstRow="1" w:lastColumn="0" w:lastRow="0" w:noHBand="0" w:noVBand="1" w:val="04A0"/>
        <w:tblInd w:w="0" w:type="dxa"/>
      </w:tblPr>
      <w:tblGrid>
        <w:gridCol w:w="1650"/>
        <w:gridCol w:w="2850"/>
        <w:gridCol w:w="2100"/>
        <w:gridCol w:w="2760"/>
      </w:tblGrid>
      <w:tr>
        <w:trPr>
          <w:tblHeader w:val="true"/>
          <w:cantSplit/>
        </w:trPr>
        <w:tc>
          <w:tcPr>
            <w:tcW w:type="dxa" w:w="165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Exit</w:t>
            </w:r>
          </w:p>
        </w:tc>
        <w:tc>
          <w:tcPr>
            <w:tcW w:type="dxa" w:w="285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Customer outcome</w:t>
            </w:r>
          </w:p>
        </w:tc>
        <w:tc>
          <w:tcPr>
            <w:tcW w:type="dxa" w:w="21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Business role</w:t>
            </w:r>
          </w:p>
        </w:tc>
        <w:tc>
          <w:tcPr>
            <w:tcW w:type="dxa" w:w="276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Gate</w:t>
            </w:r>
          </w:p>
        </w:tc>
      </w:tr>
      <w:tr>
        <w:trPr>
          <w:cantSplit/>
        </w:trPr>
        <w:tc>
          <w:tcPr>
            <w:tcW w:type="dxa" w:w="1650"/>
            <w:shd w:fill="FFFFFF"/>
            <w:vAlign w:val="center"/>
          </w:tcPr>
          <w:p>
            <w:pPr>
              <w:spacing w:after="0" w:before="0" w:line="252" w:lineRule="auto"/>
              <w:jc w:val="left"/>
            </w:pPr>
            <w:r/>
            <w:r>
              <w:rPr>
                <w:rFonts w:ascii="Calibri" w:hAnsi="Calibri"/>
                <w:b w:val="0"/>
                <w:color w:val="1F2933"/>
                <w:sz w:val="17"/>
              </w:rPr>
              <w:t>Take-home package</w:t>
            </w:r>
          </w:p>
        </w:tc>
        <w:tc>
          <w:tcPr>
            <w:tcW w:type="dxa" w:w="2850"/>
            <w:shd w:fill="FFFFFF"/>
            <w:vAlign w:val="center"/>
          </w:tcPr>
          <w:p>
            <w:pPr>
              <w:spacing w:after="0" w:before="0" w:line="252" w:lineRule="auto"/>
              <w:jc w:val="left"/>
            </w:pPr>
            <w:r/>
            <w:r>
              <w:rPr>
                <w:rFonts w:ascii="Calibri" w:hAnsi="Calibri"/>
                <w:b w:val="0"/>
                <w:color w:val="1F2933"/>
                <w:sz w:val="17"/>
              </w:rPr>
              <w:t>Research, concept, plan, prototype/pitch</w:t>
            </w:r>
          </w:p>
        </w:tc>
        <w:tc>
          <w:tcPr>
            <w:tcW w:type="dxa" w:w="2100"/>
            <w:shd w:fill="FFFFFF"/>
            <w:vAlign w:val="center"/>
          </w:tcPr>
          <w:p>
            <w:pPr>
              <w:spacing w:after="0" w:before="0" w:line="252" w:lineRule="auto"/>
              <w:jc w:val="left"/>
            </w:pPr>
            <w:r/>
            <w:r>
              <w:rPr>
                <w:rFonts w:ascii="Calibri" w:hAnsi="Calibri"/>
                <w:b w:val="0"/>
                <w:color w:val="1F2933"/>
                <w:sz w:val="17"/>
              </w:rPr>
              <w:t>Core revenue</w:t>
            </w:r>
          </w:p>
        </w:tc>
        <w:tc>
          <w:tcPr>
            <w:tcW w:type="dxa" w:w="2760"/>
            <w:shd w:fill="FFFFFF"/>
            <w:vAlign w:val="center"/>
          </w:tcPr>
          <w:p>
            <w:pPr>
              <w:spacing w:after="0" w:before="0" w:line="252" w:lineRule="auto"/>
              <w:jc w:val="left"/>
            </w:pPr>
            <w:r/>
            <w:r>
              <w:rPr>
                <w:rFonts w:ascii="Calibri" w:hAnsi="Calibri"/>
                <w:b w:val="0"/>
                <w:color w:val="1F2933"/>
                <w:sz w:val="17"/>
              </w:rPr>
              <w:t>Available from day one</w:t>
            </w:r>
          </w:p>
        </w:tc>
      </w:tr>
      <w:tr>
        <w:trPr>
          <w:cantSplit/>
        </w:trPr>
        <w:tc>
          <w:tcPr>
            <w:tcW w:type="dxa" w:w="1650"/>
            <w:shd w:fill="F4F6F9"/>
            <w:vAlign w:val="center"/>
          </w:tcPr>
          <w:p>
            <w:pPr>
              <w:spacing w:after="0" w:before="0" w:line="252" w:lineRule="auto"/>
              <w:jc w:val="left"/>
            </w:pPr>
            <w:r/>
            <w:r>
              <w:rPr>
                <w:rFonts w:ascii="Calibri" w:hAnsi="Calibri"/>
                <w:b w:val="0"/>
                <w:color w:val="1F2933"/>
                <w:sz w:val="17"/>
              </w:rPr>
              <w:t>Rewards launch</w:t>
            </w:r>
          </w:p>
        </w:tc>
        <w:tc>
          <w:tcPr>
            <w:tcW w:type="dxa" w:w="2850"/>
            <w:shd w:fill="F4F6F9"/>
            <w:vAlign w:val="center"/>
          </w:tcPr>
          <w:p>
            <w:pPr>
              <w:spacing w:after="0" w:before="0" w:line="252" w:lineRule="auto"/>
              <w:jc w:val="left"/>
            </w:pPr>
            <w:r/>
            <w:r>
              <w:rPr>
                <w:rFonts w:ascii="Calibri" w:hAnsi="Calibri"/>
                <w:b w:val="0"/>
                <w:color w:val="1F2933"/>
                <w:sz w:val="17"/>
              </w:rPr>
              <w:t>Campaign-ready assets and launch plan</w:t>
            </w:r>
          </w:p>
        </w:tc>
        <w:tc>
          <w:tcPr>
            <w:tcW w:type="dxa" w:w="2100"/>
            <w:shd w:fill="F4F6F9"/>
            <w:vAlign w:val="center"/>
          </w:tcPr>
          <w:p>
            <w:pPr>
              <w:spacing w:after="0" w:before="0" w:line="252" w:lineRule="auto"/>
              <w:jc w:val="left"/>
            </w:pPr>
            <w:r/>
            <w:r>
              <w:rPr>
                <w:rFonts w:ascii="Calibri" w:hAnsi="Calibri"/>
                <w:b w:val="0"/>
                <w:color w:val="1F2933"/>
                <w:sz w:val="17"/>
              </w:rPr>
              <w:t>Service + partner referral</w:t>
            </w:r>
          </w:p>
        </w:tc>
        <w:tc>
          <w:tcPr>
            <w:tcW w:type="dxa" w:w="2760"/>
            <w:shd w:fill="F4F6F9"/>
            <w:vAlign w:val="center"/>
          </w:tcPr>
          <w:p>
            <w:pPr>
              <w:spacing w:after="0" w:before="0" w:line="252" w:lineRule="auto"/>
              <w:jc w:val="left"/>
            </w:pPr>
            <w:r/>
            <w:r>
              <w:rPr>
                <w:rFonts w:ascii="Calibri" w:hAnsi="Calibri"/>
                <w:b w:val="0"/>
                <w:color w:val="1F2933"/>
                <w:sz w:val="17"/>
              </w:rPr>
              <w:t>Product and fulfillment readiness</w:t>
            </w:r>
          </w:p>
        </w:tc>
      </w:tr>
      <w:tr>
        <w:trPr>
          <w:cantSplit/>
        </w:trPr>
        <w:tc>
          <w:tcPr>
            <w:tcW w:type="dxa" w:w="1650"/>
            <w:shd w:fill="FFFFFF"/>
            <w:vAlign w:val="center"/>
          </w:tcPr>
          <w:p>
            <w:pPr>
              <w:spacing w:after="0" w:before="0" w:line="252" w:lineRule="auto"/>
              <w:jc w:val="left"/>
            </w:pPr>
            <w:r/>
            <w:r>
              <w:rPr>
                <w:rFonts w:ascii="Calibri" w:hAnsi="Calibri"/>
                <w:b w:val="0"/>
                <w:color w:val="1F2933"/>
                <w:sz w:val="17"/>
              </w:rPr>
              <w:t>Investor pathway</w:t>
            </w:r>
          </w:p>
        </w:tc>
        <w:tc>
          <w:tcPr>
            <w:tcW w:type="dxa" w:w="2850"/>
            <w:shd w:fill="FFFFFF"/>
            <w:vAlign w:val="center"/>
          </w:tcPr>
          <w:p>
            <w:pPr>
              <w:spacing w:after="0" w:before="0" w:line="252" w:lineRule="auto"/>
              <w:jc w:val="left"/>
            </w:pPr>
            <w:r/>
            <w:r>
              <w:rPr>
                <w:rFonts w:ascii="Calibri" w:hAnsi="Calibri"/>
                <w:b w:val="0"/>
                <w:color w:val="1F2933"/>
                <w:sz w:val="17"/>
              </w:rPr>
              <w:t>Finance-ready materials and curated introductions</w:t>
            </w:r>
          </w:p>
        </w:tc>
        <w:tc>
          <w:tcPr>
            <w:tcW w:type="dxa" w:w="2100"/>
            <w:shd w:fill="FFFFFF"/>
            <w:vAlign w:val="center"/>
          </w:tcPr>
          <w:p>
            <w:pPr>
              <w:spacing w:after="0" w:before="0" w:line="252" w:lineRule="auto"/>
              <w:jc w:val="left"/>
            </w:pPr>
            <w:r/>
            <w:r>
              <w:rPr>
                <w:rFonts w:ascii="Calibri" w:hAnsi="Calibri"/>
                <w:b w:val="0"/>
                <w:color w:val="1F2933"/>
                <w:sz w:val="17"/>
              </w:rPr>
              <w:t>Later-phase membership/network</w:t>
            </w:r>
          </w:p>
        </w:tc>
        <w:tc>
          <w:tcPr>
            <w:tcW w:type="dxa" w:w="2760"/>
            <w:shd w:fill="FFFFFF"/>
            <w:vAlign w:val="center"/>
          </w:tcPr>
          <w:p>
            <w:pPr>
              <w:spacing w:after="0" w:before="0" w:line="252" w:lineRule="auto"/>
              <w:jc w:val="left"/>
            </w:pPr>
            <w:r/>
            <w:r>
              <w:rPr>
                <w:rFonts w:ascii="Calibri" w:hAnsi="Calibri"/>
                <w:b w:val="0"/>
                <w:color w:val="1F2933"/>
                <w:sz w:val="17"/>
              </w:rPr>
              <w:t>Specialist legal design and qualified companies</w:t>
            </w:r>
          </w:p>
        </w:tc>
      </w:tr>
    </w:tbl>
    <w:p>
      <w:pPr>
        <w:spacing w:after="0"/>
      </w:pPr>
    </w:p>
    <w:p>
      <w:r>
        <w:br w:type="page"/>
      </w:r>
    </w:p>
    <w:p>
      <w:pPr>
        <w:spacing w:after="40"/>
      </w:pPr>
      <w:r>
        <w:rPr>
          <w:b/>
          <w:color w:val="238295"/>
          <w:sz w:val="17"/>
        </w:rPr>
        <w:t>EVIDENCE BEFORE TAM</w:t>
      </w:r>
    </w:p>
    <w:p>
      <w:pPr>
        <w:pStyle w:val="Heading1"/>
        <w:keepNext/>
        <w:keepLines/>
      </w:pPr>
      <w:r>
        <w:t>03  Market context</w:t>
      </w:r>
    </w:p>
    <w:p>
      <w:r>
        <w:rPr>
          <w:i w:val="0"/>
        </w:rPr>
        <w:t>There is a large, renewing universe of people and firms forming, testing, and improving businesses. That is evidence of activity, not proof that Lame Brain Ideas can capture a fixed percentage. This study avoids a fictional top-down market-size claim and instead uses a bottom-up paid pilot to measure addressable demand by segment, channel, package, and location.</w:t>
      </w:r>
    </w:p>
    <w:tbl>
      <w:tblPr>
        <w:tblW w:type="dxa" w:w="9360"/>
        <w:jc w:val="left"/>
        <w:tblLayout w:type="fixed"/>
        <w:tblLook w:firstColumn="1" w:firstRow="1" w:lastColumn="0" w:lastRow="0" w:noHBand="0" w:noVBand="1" w:val="04A0"/>
        <w:tblInd w:w="0" w:type="dxa"/>
      </w:tblPr>
      <w:tblGrid>
        <w:gridCol w:w="2200"/>
        <w:gridCol w:w="3350"/>
        <w:gridCol w:w="3810"/>
      </w:tblGrid>
      <w:tr>
        <w:trPr>
          <w:tblHeader w:val="true"/>
          <w:cantSplit/>
        </w:trPr>
        <w:tc>
          <w:tcPr>
            <w:tcW w:type="dxa" w:w="22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Signal</w:t>
            </w:r>
          </w:p>
        </w:tc>
        <w:tc>
          <w:tcPr>
            <w:tcW w:type="dxa" w:w="33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Current evidence</w:t>
            </w:r>
          </w:p>
        </w:tc>
        <w:tc>
          <w:tcPr>
            <w:tcW w:type="dxa" w:w="381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Meaning for Lame Brain Ideas</w:t>
            </w:r>
          </w:p>
        </w:tc>
      </w:tr>
      <w:tr>
        <w:trPr>
          <w:cantSplit/>
        </w:trPr>
        <w:tc>
          <w:tcPr>
            <w:tcW w:type="dxa" w:w="2200"/>
            <w:shd w:fill="FFFFFF"/>
            <w:vAlign w:val="center"/>
          </w:tcPr>
          <w:p>
            <w:pPr>
              <w:spacing w:after="0" w:before="0" w:line="252" w:lineRule="auto"/>
              <w:jc w:val="left"/>
            </w:pPr>
            <w:r/>
            <w:r>
              <w:rPr>
                <w:rFonts w:ascii="Calibri" w:hAnsi="Calibri"/>
                <w:b w:val="0"/>
                <w:color w:val="1F2933"/>
                <w:sz w:val="16"/>
              </w:rPr>
              <w:t>Small-business universe</w:t>
            </w:r>
          </w:p>
        </w:tc>
        <w:tc>
          <w:tcPr>
            <w:tcW w:type="dxa" w:w="3350"/>
            <w:shd w:fill="FFFFFF"/>
            <w:vAlign w:val="center"/>
          </w:tcPr>
          <w:p>
            <w:pPr>
              <w:spacing w:after="0" w:before="0" w:line="252" w:lineRule="auto"/>
              <w:jc w:val="left"/>
            </w:pPr>
            <w:r/>
            <w:r>
              <w:rPr>
                <w:rFonts w:ascii="Calibri" w:hAnsi="Calibri"/>
                <w:b w:val="0"/>
                <w:color w:val="1F2933"/>
                <w:sz w:val="16"/>
              </w:rPr>
              <w:t>36,207,130 U.S. small businesses; 82.3% are nonemployers [S1]</w:t>
            </w:r>
          </w:p>
        </w:tc>
        <w:tc>
          <w:tcPr>
            <w:tcW w:type="dxa" w:w="3810"/>
            <w:shd w:fill="FFFFFF"/>
            <w:vAlign w:val="center"/>
          </w:tcPr>
          <w:p>
            <w:pPr>
              <w:spacing w:after="0" w:before="0" w:line="252" w:lineRule="auto"/>
              <w:jc w:val="left"/>
            </w:pPr>
            <w:r/>
            <w:r>
              <w:rPr>
                <w:rFonts w:ascii="Calibri" w:hAnsi="Calibri"/>
                <w:b w:val="0"/>
                <w:color w:val="1F2933"/>
                <w:sz w:val="16"/>
              </w:rPr>
              <w:t>Large fragmented audience; many have limited staff capacity</w:t>
            </w:r>
          </w:p>
        </w:tc>
      </w:tr>
      <w:tr>
        <w:trPr>
          <w:cantSplit/>
        </w:trPr>
        <w:tc>
          <w:tcPr>
            <w:tcW w:type="dxa" w:w="2200"/>
            <w:shd w:fill="F4F6F9"/>
            <w:vAlign w:val="center"/>
          </w:tcPr>
          <w:p>
            <w:pPr>
              <w:spacing w:after="0" w:before="0" w:line="252" w:lineRule="auto"/>
              <w:jc w:val="left"/>
            </w:pPr>
            <w:r/>
            <w:r>
              <w:rPr>
                <w:rFonts w:ascii="Calibri" w:hAnsi="Calibri"/>
                <w:b w:val="0"/>
                <w:color w:val="1F2933"/>
                <w:sz w:val="16"/>
              </w:rPr>
              <w:t>Formation intent</w:t>
            </w:r>
          </w:p>
        </w:tc>
        <w:tc>
          <w:tcPr>
            <w:tcW w:type="dxa" w:w="3350"/>
            <w:shd w:fill="F4F6F9"/>
            <w:vAlign w:val="center"/>
          </w:tcPr>
          <w:p>
            <w:pPr>
              <w:spacing w:after="0" w:before="0" w:line="252" w:lineRule="auto"/>
              <w:jc w:val="left"/>
            </w:pPr>
            <w:r/>
            <w:r>
              <w:rPr>
                <w:rFonts w:ascii="Calibri" w:hAnsi="Calibri"/>
                <w:b w:val="0"/>
                <w:color w:val="1F2933"/>
                <w:sz w:val="16"/>
              </w:rPr>
              <w:t>531,423 seasonally adjusted business applications in June 2026 [S2]</w:t>
            </w:r>
          </w:p>
        </w:tc>
        <w:tc>
          <w:tcPr>
            <w:tcW w:type="dxa" w:w="3810"/>
            <w:shd w:fill="F4F6F9"/>
            <w:vAlign w:val="center"/>
          </w:tcPr>
          <w:p>
            <w:pPr>
              <w:spacing w:after="0" w:before="0" w:line="252" w:lineRule="auto"/>
              <w:jc w:val="left"/>
            </w:pPr>
            <w:r/>
            <w:r>
              <w:rPr>
                <w:rFonts w:ascii="Calibri" w:hAnsi="Calibri"/>
                <w:b w:val="0"/>
                <w:color w:val="1F2933"/>
                <w:sz w:val="16"/>
              </w:rPr>
              <w:t>A recurring upper funnel, not equivalent to paying customers</w:t>
            </w:r>
          </w:p>
        </w:tc>
      </w:tr>
      <w:tr>
        <w:trPr>
          <w:cantSplit/>
        </w:trPr>
        <w:tc>
          <w:tcPr>
            <w:tcW w:type="dxa" w:w="2200"/>
            <w:shd w:fill="FFFFFF"/>
            <w:vAlign w:val="center"/>
          </w:tcPr>
          <w:p>
            <w:pPr>
              <w:spacing w:after="0" w:before="0" w:line="252" w:lineRule="auto"/>
              <w:jc w:val="left"/>
            </w:pPr>
            <w:r/>
            <w:r>
              <w:rPr>
                <w:rFonts w:ascii="Calibri" w:hAnsi="Calibri"/>
                <w:b w:val="0"/>
                <w:color w:val="1F2933"/>
                <w:sz w:val="16"/>
              </w:rPr>
              <w:t>Near-term formation</w:t>
            </w:r>
          </w:p>
        </w:tc>
        <w:tc>
          <w:tcPr>
            <w:tcW w:type="dxa" w:w="3350"/>
            <w:shd w:fill="FFFFFF"/>
            <w:vAlign w:val="center"/>
          </w:tcPr>
          <w:p>
            <w:pPr>
              <w:spacing w:after="0" w:before="0" w:line="252" w:lineRule="auto"/>
              <w:jc w:val="left"/>
            </w:pPr>
            <w:r/>
            <w:r>
              <w:rPr>
                <w:rFonts w:ascii="Calibri" w:hAnsi="Calibri"/>
                <w:b w:val="0"/>
                <w:color w:val="1F2933"/>
                <w:sz w:val="16"/>
              </w:rPr>
              <w:t>29,741 projected payroll startups within four quarters from the June cohort [S2]</w:t>
            </w:r>
          </w:p>
        </w:tc>
        <w:tc>
          <w:tcPr>
            <w:tcW w:type="dxa" w:w="3810"/>
            <w:shd w:fill="FFFFFF"/>
            <w:vAlign w:val="center"/>
          </w:tcPr>
          <w:p>
            <w:pPr>
              <w:spacing w:after="0" w:before="0" w:line="252" w:lineRule="auto"/>
              <w:jc w:val="left"/>
            </w:pPr>
            <w:r/>
            <w:r>
              <w:rPr>
                <w:rFonts w:ascii="Calibri" w:hAnsi="Calibri"/>
                <w:b w:val="0"/>
                <w:color w:val="1F2933"/>
                <w:sz w:val="16"/>
              </w:rPr>
              <w:t>Qualification matters; only a fraction progress</w:t>
            </w:r>
          </w:p>
        </w:tc>
      </w:tr>
      <w:tr>
        <w:trPr>
          <w:cantSplit/>
        </w:trPr>
        <w:tc>
          <w:tcPr>
            <w:tcW w:type="dxa" w:w="2200"/>
            <w:shd w:fill="F4F6F9"/>
            <w:vAlign w:val="center"/>
          </w:tcPr>
          <w:p>
            <w:pPr>
              <w:spacing w:after="0" w:before="0" w:line="252" w:lineRule="auto"/>
              <w:jc w:val="left"/>
            </w:pPr>
            <w:r/>
            <w:r>
              <w:rPr>
                <w:rFonts w:ascii="Calibri" w:hAnsi="Calibri"/>
                <w:b w:val="0"/>
                <w:color w:val="1F2933"/>
                <w:sz w:val="16"/>
              </w:rPr>
              <w:t>AI adoption</w:t>
            </w:r>
          </w:p>
        </w:tc>
        <w:tc>
          <w:tcPr>
            <w:tcW w:type="dxa" w:w="3350"/>
            <w:shd w:fill="F4F6F9"/>
            <w:vAlign w:val="center"/>
          </w:tcPr>
          <w:p>
            <w:pPr>
              <w:spacing w:after="0" w:before="0" w:line="252" w:lineRule="auto"/>
              <w:jc w:val="left"/>
            </w:pPr>
            <w:r/>
            <w:r>
              <w:rPr>
                <w:rFonts w:ascii="Calibri" w:hAnsi="Calibri"/>
                <w:b w:val="0"/>
                <w:color w:val="1F2933"/>
                <w:sz w:val="16"/>
              </w:rPr>
              <w:t>7.6% of small businesses used AI during Sep 2024–Aug 2025; 8.2% among firms with fewer than five employees [S1]</w:t>
            </w:r>
          </w:p>
        </w:tc>
        <w:tc>
          <w:tcPr>
            <w:tcW w:type="dxa" w:w="3810"/>
            <w:shd w:fill="F4F6F9"/>
            <w:vAlign w:val="center"/>
          </w:tcPr>
          <w:p>
            <w:pPr>
              <w:spacing w:after="0" w:before="0" w:line="252" w:lineRule="auto"/>
              <w:jc w:val="left"/>
            </w:pPr>
            <w:r/>
            <w:r>
              <w:rPr>
                <w:rFonts w:ascii="Calibri" w:hAnsi="Calibri"/>
                <w:b w:val="0"/>
                <w:color w:val="1F2933"/>
                <w:sz w:val="16"/>
              </w:rPr>
              <w:t>AI interest is real, but adoption remains uneven</w:t>
            </w:r>
          </w:p>
        </w:tc>
      </w:tr>
      <w:tr>
        <w:trPr>
          <w:cantSplit/>
        </w:trPr>
        <w:tc>
          <w:tcPr>
            <w:tcW w:type="dxa" w:w="2200"/>
            <w:shd w:fill="FFFFFF"/>
            <w:vAlign w:val="center"/>
          </w:tcPr>
          <w:p>
            <w:pPr>
              <w:spacing w:after="0" w:before="0" w:line="252" w:lineRule="auto"/>
              <w:jc w:val="left"/>
            </w:pPr>
            <w:r/>
            <w:r>
              <w:rPr>
                <w:rFonts w:ascii="Calibri" w:hAnsi="Calibri"/>
                <w:b w:val="0"/>
                <w:color w:val="1F2933"/>
                <w:sz w:val="16"/>
              </w:rPr>
              <w:t>Business mortality</w:t>
            </w:r>
          </w:p>
        </w:tc>
        <w:tc>
          <w:tcPr>
            <w:tcW w:type="dxa" w:w="3350"/>
            <w:shd w:fill="FFFFFF"/>
            <w:vAlign w:val="center"/>
          </w:tcPr>
          <w:p>
            <w:pPr>
              <w:spacing w:after="0" w:before="0" w:line="252" w:lineRule="auto"/>
              <w:jc w:val="left"/>
            </w:pPr>
            <w:r/>
            <w:r>
              <w:rPr>
                <w:rFonts w:ascii="Calibri" w:hAnsi="Calibri"/>
                <w:b w:val="0"/>
                <w:color w:val="1F2933"/>
                <w:sz w:val="16"/>
              </w:rPr>
              <w:t>49.2% of establishments born in 2018 survived five years [S1]</w:t>
            </w:r>
          </w:p>
        </w:tc>
        <w:tc>
          <w:tcPr>
            <w:tcW w:type="dxa" w:w="3810"/>
            <w:shd w:fill="FFFFFF"/>
            <w:vAlign w:val="center"/>
          </w:tcPr>
          <w:p>
            <w:pPr>
              <w:spacing w:after="0" w:before="0" w:line="252" w:lineRule="auto"/>
              <w:jc w:val="left"/>
            </w:pPr>
            <w:r/>
            <w:r>
              <w:rPr>
                <w:rFonts w:ascii="Calibri" w:hAnsi="Calibri"/>
                <w:b w:val="0"/>
                <w:color w:val="1F2933"/>
                <w:sz w:val="16"/>
              </w:rPr>
              <w:t>Customers need honest kill/pivot decisions, not encouragement theater</w:t>
            </w:r>
          </w:p>
        </w:tc>
      </w:tr>
    </w:tbl>
    <w:p>
      <w:pPr>
        <w:spacing w:after="0"/>
      </w:pPr>
    </w:p>
    <w:p>
      <w:pPr>
        <w:pStyle w:val="Heading2"/>
        <w:keepNext/>
        <w:keepLines/>
      </w:pPr>
      <w:r>
        <w:t>Why customers might pay</w:t>
      </w:r>
    </w:p>
    <w:p>
      <w:pPr>
        <w:pStyle w:val="ListBullet"/>
        <w:keepLines/>
        <w:jc w:val="left"/>
      </w:pPr>
      <w:r>
        <w:t>They lack a sequence: AI can generate options, but not an accountable process or a credible stop decision.</w:t>
      </w:r>
    </w:p>
    <w:p>
      <w:pPr>
        <w:pStyle w:val="ListBullet"/>
        <w:keepLines/>
        <w:jc w:val="left"/>
      </w:pPr>
      <w:r>
        <w:t>They need tangible outputs: evidence logs, positioning, prototypes, scope, economics, launch plan, and pitch materials.</w:t>
      </w:r>
    </w:p>
    <w:p>
      <w:pPr>
        <w:pStyle w:val="ListBullet"/>
        <w:keepLines/>
        <w:jc w:val="left"/>
      </w:pPr>
      <w:r>
        <w:t>They value confidence and speed: a facilitated sprint can replace weeks of fragmented searching and tool hopping.</w:t>
      </w:r>
    </w:p>
    <w:p>
      <w:pPr>
        <w:pStyle w:val="ListBullet"/>
        <w:keepLines/>
        <w:jc w:val="left"/>
      </w:pPr>
      <w:r>
        <w:t>They need discretion: sensitive ideas require explicit data handling, consent, access, retention, and deletion controls.</w:t>
      </w:r>
    </w:p>
    <w:p>
      <w:pPr>
        <w:pStyle w:val="Heading2"/>
        <w:keepNext/>
        <w:keepLines/>
      </w:pPr>
      <w:r>
        <w:t>Bottom-up demand test</w:t>
      </w:r>
    </w:p>
    <w:p>
      <w:r>
        <w:rPr>
          <w:i w:val="0"/>
        </w:rPr>
        <w:t>The pilot should run a geo-coded funnel by audience and acquisition channel. The real serviceable market is the set of qualified prospects within the pilot catchment who convert at a sustainable acquisition cost, complete a scoped engagement, and produce sufficient revenue per delivery hour. Every marketing claim and capital decision should be downstream of that evidence.</w:t>
      </w:r>
    </w:p>
    <w:p>
      <w:r>
        <w:br w:type="page"/>
      </w:r>
    </w:p>
    <w:p>
      <w:pPr>
        <w:spacing w:after="40"/>
      </w:pPr>
      <w:r>
        <w:rPr>
          <w:b/>
          <w:color w:val="238295"/>
          <w:sz w:val="17"/>
        </w:rPr>
        <w:t>WHO BUYS FIRST</w:t>
      </w:r>
    </w:p>
    <w:p>
      <w:pPr>
        <w:pStyle w:val="Heading1"/>
        <w:keepNext/>
        <w:keepLines/>
      </w:pPr>
      <w:r>
        <w:t>04  Customer segmentation and beachhead</w:t>
      </w:r>
    </w:p>
    <w:tbl>
      <w:tblPr>
        <w:tblW w:type="dxa" w:w="9360"/>
        <w:jc w:val="left"/>
        <w:tblLayout w:type="fixed"/>
        <w:tblLook w:firstColumn="1" w:firstRow="1" w:lastColumn="0" w:lastRow="0" w:noHBand="0" w:noVBand="1" w:val="04A0"/>
        <w:tblInd w:w="0" w:type="dxa"/>
      </w:tblPr>
      <w:tblGrid>
        <w:gridCol w:w="1850"/>
        <w:gridCol w:w="3300"/>
        <w:gridCol w:w="2550"/>
        <w:gridCol w:w="1660"/>
      </w:tblGrid>
      <w:tr>
        <w:trPr>
          <w:tblHeader w:val="true"/>
          <w:cantSplit/>
        </w:trPr>
        <w:tc>
          <w:tcPr>
            <w:tcW w:type="dxa" w:w="185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Segment</w:t>
            </w:r>
          </w:p>
        </w:tc>
        <w:tc>
          <w:tcPr>
            <w:tcW w:type="dxa" w:w="33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Job to be done</w:t>
            </w:r>
          </w:p>
        </w:tc>
        <w:tc>
          <w:tcPr>
            <w:tcW w:type="dxa" w:w="255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Best entry offer</w:t>
            </w:r>
          </w:p>
        </w:tc>
        <w:tc>
          <w:tcPr>
            <w:tcW w:type="dxa" w:w="166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Priority</w:t>
            </w:r>
          </w:p>
        </w:tc>
      </w:tr>
      <w:tr>
        <w:trPr>
          <w:cantSplit/>
        </w:trPr>
        <w:tc>
          <w:tcPr>
            <w:tcW w:type="dxa" w:w="1850"/>
            <w:shd w:fill="FFFFFF"/>
            <w:vAlign w:val="center"/>
          </w:tcPr>
          <w:p>
            <w:pPr>
              <w:spacing w:after="0" w:before="0" w:line="252" w:lineRule="auto"/>
              <w:jc w:val="left"/>
            </w:pPr>
            <w:r/>
            <w:r>
              <w:rPr>
                <w:rFonts w:ascii="Calibri" w:hAnsi="Calibri"/>
                <w:b w:val="0"/>
                <w:color w:val="1F2933"/>
                <w:sz w:val="17"/>
              </w:rPr>
              <w:t>Aspiring founder</w:t>
            </w:r>
          </w:p>
        </w:tc>
        <w:tc>
          <w:tcPr>
            <w:tcW w:type="dxa" w:w="3300"/>
            <w:shd w:fill="FFFFFF"/>
            <w:vAlign w:val="center"/>
          </w:tcPr>
          <w:p>
            <w:pPr>
              <w:spacing w:after="0" w:before="0" w:line="252" w:lineRule="auto"/>
              <w:jc w:val="left"/>
            </w:pPr>
            <w:r/>
            <w:r>
              <w:rPr>
                <w:rFonts w:ascii="Calibri" w:hAnsi="Calibri"/>
                <w:b w:val="0"/>
                <w:color w:val="1F2933"/>
                <w:sz w:val="17"/>
              </w:rPr>
              <w:t>Decide whether an idea is worth pursuing</w:t>
            </w:r>
          </w:p>
        </w:tc>
        <w:tc>
          <w:tcPr>
            <w:tcW w:type="dxa" w:w="2550"/>
            <w:shd w:fill="FFFFFF"/>
            <w:vAlign w:val="center"/>
          </w:tcPr>
          <w:p>
            <w:pPr>
              <w:spacing w:after="0" w:before="0" w:line="252" w:lineRule="auto"/>
              <w:jc w:val="left"/>
            </w:pPr>
            <w:r/>
            <w:r>
              <w:rPr>
                <w:rFonts w:ascii="Calibri" w:hAnsi="Calibri"/>
                <w:b w:val="0"/>
                <w:color w:val="1F2933"/>
                <w:sz w:val="17"/>
              </w:rPr>
              <w:t>$99 diagnostic → $649 sprint</w:t>
            </w:r>
          </w:p>
        </w:tc>
        <w:tc>
          <w:tcPr>
            <w:tcW w:type="dxa" w:w="1660"/>
            <w:shd w:fill="FFFFFF"/>
            <w:vAlign w:val="center"/>
          </w:tcPr>
          <w:p>
            <w:pPr>
              <w:spacing w:after="0" w:before="0" w:line="252" w:lineRule="auto"/>
              <w:jc w:val="left"/>
            </w:pPr>
            <w:r/>
            <w:r>
              <w:rPr>
                <w:rFonts w:ascii="Calibri" w:hAnsi="Calibri"/>
                <w:b w:val="0"/>
                <w:color w:val="1F2933"/>
                <w:sz w:val="17"/>
              </w:rPr>
              <w:t>Primary</w:t>
            </w:r>
          </w:p>
        </w:tc>
      </w:tr>
      <w:tr>
        <w:trPr>
          <w:cantSplit/>
        </w:trPr>
        <w:tc>
          <w:tcPr>
            <w:tcW w:type="dxa" w:w="1850"/>
            <w:shd w:fill="F4F6F9"/>
            <w:vAlign w:val="center"/>
          </w:tcPr>
          <w:p>
            <w:pPr>
              <w:spacing w:after="0" w:before="0" w:line="252" w:lineRule="auto"/>
              <w:jc w:val="left"/>
            </w:pPr>
            <w:r/>
            <w:r>
              <w:rPr>
                <w:rFonts w:ascii="Calibri" w:hAnsi="Calibri"/>
                <w:b w:val="0"/>
                <w:color w:val="1F2933"/>
                <w:sz w:val="17"/>
              </w:rPr>
              <w:t>Existing microbusiness</w:t>
            </w:r>
          </w:p>
        </w:tc>
        <w:tc>
          <w:tcPr>
            <w:tcW w:type="dxa" w:w="3300"/>
            <w:shd w:fill="F4F6F9"/>
            <w:vAlign w:val="center"/>
          </w:tcPr>
          <w:p>
            <w:pPr>
              <w:spacing w:after="0" w:before="0" w:line="252" w:lineRule="auto"/>
              <w:jc w:val="left"/>
            </w:pPr>
            <w:r/>
            <w:r>
              <w:rPr>
                <w:rFonts w:ascii="Calibri" w:hAnsi="Calibri"/>
                <w:b w:val="0"/>
                <w:color w:val="1F2933"/>
                <w:sz w:val="17"/>
              </w:rPr>
              <w:t>Validate a new offer, channel, or operational improvement</w:t>
            </w:r>
          </w:p>
        </w:tc>
        <w:tc>
          <w:tcPr>
            <w:tcW w:type="dxa" w:w="2550"/>
            <w:shd w:fill="F4F6F9"/>
            <w:vAlign w:val="center"/>
          </w:tcPr>
          <w:p>
            <w:pPr>
              <w:spacing w:after="0" w:before="0" w:line="252" w:lineRule="auto"/>
              <w:jc w:val="left"/>
            </w:pPr>
            <w:r/>
            <w:r>
              <w:rPr>
                <w:rFonts w:ascii="Calibri" w:hAnsi="Calibri"/>
                <w:b w:val="0"/>
                <w:color w:val="1F2933"/>
                <w:sz w:val="17"/>
              </w:rPr>
              <w:t>$649 sprint → $3,750 build</w:t>
            </w:r>
          </w:p>
        </w:tc>
        <w:tc>
          <w:tcPr>
            <w:tcW w:type="dxa" w:w="1660"/>
            <w:shd w:fill="F4F6F9"/>
            <w:vAlign w:val="center"/>
          </w:tcPr>
          <w:p>
            <w:pPr>
              <w:spacing w:after="0" w:before="0" w:line="252" w:lineRule="auto"/>
              <w:jc w:val="left"/>
            </w:pPr>
            <w:r/>
            <w:r>
              <w:rPr>
                <w:rFonts w:ascii="Calibri" w:hAnsi="Calibri"/>
                <w:b w:val="0"/>
                <w:color w:val="1F2933"/>
                <w:sz w:val="17"/>
              </w:rPr>
              <w:t>Primary</w:t>
            </w:r>
          </w:p>
        </w:tc>
      </w:tr>
      <w:tr>
        <w:trPr>
          <w:cantSplit/>
        </w:trPr>
        <w:tc>
          <w:tcPr>
            <w:tcW w:type="dxa" w:w="1850"/>
            <w:shd w:fill="FFFFFF"/>
            <w:vAlign w:val="center"/>
          </w:tcPr>
          <w:p>
            <w:pPr>
              <w:spacing w:after="0" w:before="0" w:line="252" w:lineRule="auto"/>
              <w:jc w:val="left"/>
            </w:pPr>
            <w:r/>
            <w:r>
              <w:rPr>
                <w:rFonts w:ascii="Calibri" w:hAnsi="Calibri"/>
                <w:b w:val="0"/>
                <w:color w:val="1F2933"/>
                <w:sz w:val="17"/>
              </w:rPr>
              <w:t>Professional innovator</w:t>
            </w:r>
          </w:p>
        </w:tc>
        <w:tc>
          <w:tcPr>
            <w:tcW w:type="dxa" w:w="3300"/>
            <w:shd w:fill="FFFFFF"/>
            <w:vAlign w:val="center"/>
          </w:tcPr>
          <w:p>
            <w:pPr>
              <w:spacing w:after="0" w:before="0" w:line="252" w:lineRule="auto"/>
              <w:jc w:val="left"/>
            </w:pPr>
            <w:r/>
            <w:r>
              <w:rPr>
                <w:rFonts w:ascii="Calibri" w:hAnsi="Calibri"/>
                <w:b w:val="0"/>
                <w:color w:val="1F2933"/>
                <w:sz w:val="17"/>
              </w:rPr>
              <w:t>Turn domain insight into a credible side venture</w:t>
            </w:r>
          </w:p>
        </w:tc>
        <w:tc>
          <w:tcPr>
            <w:tcW w:type="dxa" w:w="2550"/>
            <w:shd w:fill="FFFFFF"/>
            <w:vAlign w:val="center"/>
          </w:tcPr>
          <w:p>
            <w:pPr>
              <w:spacing w:after="0" w:before="0" w:line="252" w:lineRule="auto"/>
              <w:jc w:val="left"/>
            </w:pPr>
            <w:r/>
            <w:r>
              <w:rPr>
                <w:rFonts w:ascii="Calibri" w:hAnsi="Calibri"/>
                <w:b w:val="0"/>
                <w:color w:val="1F2933"/>
                <w:sz w:val="17"/>
              </w:rPr>
              <w:t>$649 sprint</w:t>
            </w:r>
          </w:p>
        </w:tc>
        <w:tc>
          <w:tcPr>
            <w:tcW w:type="dxa" w:w="1660"/>
            <w:shd w:fill="FFFFFF"/>
            <w:vAlign w:val="center"/>
          </w:tcPr>
          <w:p>
            <w:pPr>
              <w:spacing w:after="0" w:before="0" w:line="252" w:lineRule="auto"/>
              <w:jc w:val="left"/>
            </w:pPr>
            <w:r/>
            <w:r>
              <w:rPr>
                <w:rFonts w:ascii="Calibri" w:hAnsi="Calibri"/>
                <w:b w:val="0"/>
                <w:color w:val="1F2933"/>
                <w:sz w:val="17"/>
              </w:rPr>
              <w:t>Secondary</w:t>
            </w:r>
          </w:p>
        </w:tc>
      </w:tr>
      <w:tr>
        <w:trPr>
          <w:cantSplit/>
        </w:trPr>
        <w:tc>
          <w:tcPr>
            <w:tcW w:type="dxa" w:w="1850"/>
            <w:shd w:fill="F4F6F9"/>
            <w:vAlign w:val="center"/>
          </w:tcPr>
          <w:p>
            <w:pPr>
              <w:spacing w:after="0" w:before="0" w:line="252" w:lineRule="auto"/>
              <w:jc w:val="left"/>
            </w:pPr>
            <w:r/>
            <w:r>
              <w:rPr>
                <w:rFonts w:ascii="Calibri" w:hAnsi="Calibri"/>
                <w:b w:val="0"/>
                <w:color w:val="1F2933"/>
                <w:sz w:val="17"/>
              </w:rPr>
              <w:t>Student/team</w:t>
            </w:r>
          </w:p>
        </w:tc>
        <w:tc>
          <w:tcPr>
            <w:tcW w:type="dxa" w:w="3300"/>
            <w:shd w:fill="F4F6F9"/>
            <w:vAlign w:val="center"/>
          </w:tcPr>
          <w:p>
            <w:pPr>
              <w:spacing w:after="0" w:before="0" w:line="252" w:lineRule="auto"/>
              <w:jc w:val="left"/>
            </w:pPr>
            <w:r/>
            <w:r>
              <w:rPr>
                <w:rFonts w:ascii="Calibri" w:hAnsi="Calibri"/>
                <w:b w:val="0"/>
                <w:color w:val="1F2933"/>
                <w:sz w:val="17"/>
              </w:rPr>
              <w:t>Structure a capstone, competition, or venture</w:t>
            </w:r>
          </w:p>
        </w:tc>
        <w:tc>
          <w:tcPr>
            <w:tcW w:type="dxa" w:w="2550"/>
            <w:shd w:fill="F4F6F9"/>
            <w:vAlign w:val="center"/>
          </w:tcPr>
          <w:p>
            <w:pPr>
              <w:spacing w:after="0" w:before="0" w:line="252" w:lineRule="auto"/>
              <w:jc w:val="left"/>
            </w:pPr>
            <w:r/>
            <w:r>
              <w:rPr>
                <w:rFonts w:ascii="Calibri" w:hAnsi="Calibri"/>
                <w:b w:val="0"/>
                <w:color w:val="1F2933"/>
                <w:sz w:val="17"/>
              </w:rPr>
              <w:t>Workshop / sponsored cohort</w:t>
            </w:r>
          </w:p>
        </w:tc>
        <w:tc>
          <w:tcPr>
            <w:tcW w:type="dxa" w:w="1660"/>
            <w:shd w:fill="F4F6F9"/>
            <w:vAlign w:val="center"/>
          </w:tcPr>
          <w:p>
            <w:pPr>
              <w:spacing w:after="0" w:before="0" w:line="252" w:lineRule="auto"/>
              <w:jc w:val="left"/>
            </w:pPr>
            <w:r/>
            <w:r>
              <w:rPr>
                <w:rFonts w:ascii="Calibri" w:hAnsi="Calibri"/>
                <w:b w:val="0"/>
                <w:color w:val="1F2933"/>
                <w:sz w:val="17"/>
              </w:rPr>
              <w:t>Secondary</w:t>
            </w:r>
          </w:p>
        </w:tc>
      </w:tr>
      <w:tr>
        <w:trPr>
          <w:cantSplit/>
        </w:trPr>
        <w:tc>
          <w:tcPr>
            <w:tcW w:type="dxa" w:w="1850"/>
            <w:shd w:fill="FFFFFF"/>
            <w:vAlign w:val="center"/>
          </w:tcPr>
          <w:p>
            <w:pPr>
              <w:spacing w:after="0" w:before="0" w:line="252" w:lineRule="auto"/>
              <w:jc w:val="left"/>
            </w:pPr>
            <w:r/>
            <w:r>
              <w:rPr>
                <w:rFonts w:ascii="Calibri" w:hAnsi="Calibri"/>
                <w:b w:val="0"/>
                <w:color w:val="1F2933"/>
                <w:sz w:val="17"/>
              </w:rPr>
              <w:t>Investor-ready company</w:t>
            </w:r>
          </w:p>
        </w:tc>
        <w:tc>
          <w:tcPr>
            <w:tcW w:type="dxa" w:w="3300"/>
            <w:shd w:fill="FFFFFF"/>
            <w:vAlign w:val="center"/>
          </w:tcPr>
          <w:p>
            <w:pPr>
              <w:spacing w:after="0" w:before="0" w:line="252" w:lineRule="auto"/>
              <w:jc w:val="left"/>
            </w:pPr>
            <w:r/>
            <w:r>
              <w:rPr>
                <w:rFonts w:ascii="Calibri" w:hAnsi="Calibri"/>
                <w:b w:val="0"/>
                <w:color w:val="1F2933"/>
                <w:sz w:val="17"/>
              </w:rPr>
              <w:t>Prepare data room, model, story, and introductions</w:t>
            </w:r>
          </w:p>
        </w:tc>
        <w:tc>
          <w:tcPr>
            <w:tcW w:type="dxa" w:w="2550"/>
            <w:shd w:fill="FFFFFF"/>
            <w:vAlign w:val="center"/>
          </w:tcPr>
          <w:p>
            <w:pPr>
              <w:spacing w:after="0" w:before="0" w:line="252" w:lineRule="auto"/>
              <w:jc w:val="left"/>
            </w:pPr>
            <w:r/>
            <w:r>
              <w:rPr>
                <w:rFonts w:ascii="Calibri" w:hAnsi="Calibri"/>
                <w:b w:val="0"/>
                <w:color w:val="1F2933"/>
                <w:sz w:val="17"/>
              </w:rPr>
              <w:t>$12,500 launch studio</w:t>
            </w:r>
          </w:p>
        </w:tc>
        <w:tc>
          <w:tcPr>
            <w:tcW w:type="dxa" w:w="1660"/>
            <w:shd w:fill="FFFFFF"/>
            <w:vAlign w:val="center"/>
          </w:tcPr>
          <w:p>
            <w:pPr>
              <w:spacing w:after="0" w:before="0" w:line="252" w:lineRule="auto"/>
              <w:jc w:val="left"/>
            </w:pPr>
            <w:r/>
            <w:r>
              <w:rPr>
                <w:rFonts w:ascii="Calibri" w:hAnsi="Calibri"/>
                <w:b w:val="0"/>
                <w:color w:val="1F2933"/>
                <w:sz w:val="17"/>
              </w:rPr>
              <w:t>Later, gated</w:t>
            </w:r>
          </w:p>
        </w:tc>
      </w:tr>
    </w:tbl>
    <w:p>
      <w:pPr>
        <w:spacing w:after="0"/>
      </w:pPr>
    </w:p>
    <w:p>
      <w:pPr>
        <w:pStyle w:val="Heading2"/>
        <w:keepNext/>
        <w:keepLines/>
      </w:pPr>
      <w:r>
        <w:t>Recommended beachhead</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38295"/>
          </w:tcPr>
          <w:p>
            <w:pPr>
              <w:spacing w:after="0" w:before="0" w:line="252" w:lineRule="auto"/>
              <w:jc w:val="left"/>
            </w:pPr>
            <w:r/>
            <w:r>
              <w:rPr>
                <w:rFonts w:ascii="Calibri" w:hAnsi="Calibri"/>
                <w:b/>
                <w:color w:val="FFFFFF"/>
                <w:sz w:val="19"/>
              </w:rPr>
              <w:t>FIRST WEDGE</w:t>
            </w:r>
          </w:p>
        </w:tc>
      </w:tr>
      <w:tr>
        <w:trPr>
          <w:cantSplit/>
        </w:trPr>
        <w:tc>
          <w:tcPr>
            <w:tcW w:type="dxa" w:w="9360"/>
            <w:tcMar>
              <w:top w:w="80" w:type="dxa"/>
              <w:start w:w="120" w:type="dxa"/>
              <w:bottom w:w="80" w:type="dxa"/>
              <w:end w:w="120" w:type="dxa"/>
            </w:tcMar>
            <w:shd w:fill="E8F2F6"/>
          </w:tcPr>
          <w:p>
            <w:pPr>
              <w:spacing w:after="40" w:before="0" w:line="252" w:lineRule="auto"/>
              <w:jc w:val="left"/>
            </w:pPr>
            <w:r/>
            <w:r>
              <w:rPr>
                <w:rFonts w:ascii="Calibri" w:hAnsi="Calibri"/>
                <w:b w:val="0"/>
                <w:color w:val="1F2933"/>
                <w:sz w:val="20"/>
              </w:rPr>
              <w:t>Local aspiring founders and existing microbusiness owners with a specific decision to make within 30 days. They are reachable through libraries, SBDCs, chambers, universities, coworking spaces, maker communities, and professional associations.</w:t>
            </w:r>
          </w:p>
        </w:tc>
      </w:tr>
    </w:tbl>
    <w:p>
      <w:pPr>
        <w:spacing w:after="0"/>
      </w:pPr>
    </w:p>
    <w:p>
      <w:r>
        <w:rPr>
          <w:i w:val="0"/>
        </w:rPr>
        <w:t>The beachhead excludes highly regulated products, complex patent strategy, medical claims, defense applications, and customers expecting guaranteed funding. These cases can be referred to specialists until the studio has a mature expert network.</w:t>
      </w:r>
    </w:p>
    <w:p>
      <w:pPr>
        <w:pStyle w:val="Heading2"/>
        <w:keepNext/>
        <w:keepLines/>
      </w:pPr>
      <w:r>
        <w:t>Buyer objections to test</w:t>
      </w:r>
    </w:p>
    <w:p>
      <w:pPr>
        <w:pStyle w:val="ListBullet"/>
        <w:keepLines/>
        <w:jc w:val="left"/>
      </w:pPr>
      <w:r>
        <w:t>“Why not use ChatGPT myself?”—answer with facilitation, evidence, synthesis, accountability, and artifact quality.</w:t>
      </w:r>
    </w:p>
    <w:p>
      <w:pPr>
        <w:pStyle w:val="ListBullet"/>
        <w:keepLines/>
        <w:jc w:val="left"/>
      </w:pPr>
      <w:r>
        <w:t>“Why not use SCORE or an SBDC?”—answer with paid speed, production, prototyping, and a defined deliverable; do not disparage free partners.</w:t>
      </w:r>
    </w:p>
    <w:p>
      <w:pPr>
        <w:pStyle w:val="ListBullet"/>
        <w:keepLines/>
        <w:jc w:val="left"/>
      </w:pPr>
      <w:r>
        <w:t>“Will you steal or train on my idea?”—answer with a plain-language confidentiality and AI-data policy.</w:t>
      </w:r>
    </w:p>
    <w:p>
      <w:pPr>
        <w:pStyle w:val="ListBullet"/>
        <w:keepLines/>
        <w:jc w:val="left"/>
      </w:pPr>
      <w:r>
        <w:t>“Can you get me funded?”—answer with qualification criteria and no guarantee.</w:t>
      </w:r>
    </w:p>
    <w:p>
      <w:r>
        <w:br w:type="page"/>
      </w:r>
    </w:p>
    <w:p>
      <w:pPr>
        <w:spacing w:after="40"/>
      </w:pPr>
      <w:r>
        <w:rPr>
          <w:b/>
          <w:color w:val="238295"/>
          <w:sz w:val="17"/>
        </w:rPr>
        <w:t>THE SUBSTITUTE IS THE REAL COMPETITOR</w:t>
      </w:r>
    </w:p>
    <w:p>
      <w:pPr>
        <w:pStyle w:val="Heading1"/>
        <w:keepNext/>
        <w:keepLines/>
      </w:pPr>
      <w:r>
        <w:t>05  Competitive landscape</w:t>
      </w:r>
    </w:p>
    <w:tbl>
      <w:tblPr>
        <w:tblW w:type="dxa" w:w="9360"/>
        <w:jc w:val="left"/>
        <w:tblLayout w:type="fixed"/>
        <w:tblLook w:firstColumn="1" w:firstRow="1" w:lastColumn="0" w:lastRow="0" w:noHBand="0" w:noVBand="1" w:val="04A0"/>
        <w:tblInd w:w="0" w:type="dxa"/>
      </w:tblPr>
      <w:tblGrid>
        <w:gridCol w:w="2100"/>
        <w:gridCol w:w="3050"/>
        <w:gridCol w:w="4210"/>
      </w:tblGrid>
      <w:tr>
        <w:trPr>
          <w:tblHeader w:val="true"/>
          <w:cantSplit/>
        </w:trPr>
        <w:tc>
          <w:tcPr>
            <w:tcW w:type="dxa" w:w="21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Alternative</w:t>
            </w:r>
          </w:p>
        </w:tc>
        <w:tc>
          <w:tcPr>
            <w:tcW w:type="dxa" w:w="30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Strength</w:t>
            </w:r>
          </w:p>
        </w:tc>
        <w:tc>
          <w:tcPr>
            <w:tcW w:type="dxa" w:w="421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Gap Lame Brain can address</w:t>
            </w:r>
          </w:p>
        </w:tc>
      </w:tr>
      <w:tr>
        <w:trPr>
          <w:cantSplit/>
        </w:trPr>
        <w:tc>
          <w:tcPr>
            <w:tcW w:type="dxa" w:w="2100"/>
            <w:shd w:fill="FFFFFF"/>
            <w:vAlign w:val="center"/>
          </w:tcPr>
          <w:p>
            <w:pPr>
              <w:spacing w:after="0" w:before="0" w:line="252" w:lineRule="auto"/>
              <w:jc w:val="left"/>
            </w:pPr>
            <w:r/>
            <w:r>
              <w:rPr>
                <w:rFonts w:ascii="Calibri" w:hAnsi="Calibri"/>
                <w:b w:val="0"/>
                <w:color w:val="1F2933"/>
                <w:sz w:val="16"/>
              </w:rPr>
              <w:t>SCORE / SBDC</w:t>
            </w:r>
          </w:p>
        </w:tc>
        <w:tc>
          <w:tcPr>
            <w:tcW w:type="dxa" w:w="3050"/>
            <w:shd w:fill="FFFFFF"/>
            <w:vAlign w:val="center"/>
          </w:tcPr>
          <w:p>
            <w:pPr>
              <w:spacing w:after="0" w:before="0" w:line="252" w:lineRule="auto"/>
              <w:jc w:val="left"/>
            </w:pPr>
            <w:r/>
            <w:r>
              <w:rPr>
                <w:rFonts w:ascii="Calibri" w:hAnsi="Calibri"/>
                <w:b w:val="0"/>
                <w:color w:val="1F2933"/>
                <w:sz w:val="16"/>
              </w:rPr>
              <w:t>Free mentoring and technical assistance [S3][S4]</w:t>
            </w:r>
          </w:p>
        </w:tc>
        <w:tc>
          <w:tcPr>
            <w:tcW w:type="dxa" w:w="4210"/>
            <w:shd w:fill="FFFFFF"/>
            <w:vAlign w:val="center"/>
          </w:tcPr>
          <w:p>
            <w:pPr>
              <w:spacing w:after="0" w:before="0" w:line="252" w:lineRule="auto"/>
              <w:jc w:val="left"/>
            </w:pPr>
            <w:r/>
            <w:r>
              <w:rPr>
                <w:rFonts w:ascii="Calibri" w:hAnsi="Calibri"/>
                <w:b w:val="0"/>
                <w:color w:val="1F2933"/>
                <w:sz w:val="16"/>
              </w:rPr>
              <w:t>Production speed, tangible artifacts, retail access, guided AI</w:t>
            </w:r>
          </w:p>
        </w:tc>
      </w:tr>
      <w:tr>
        <w:trPr>
          <w:cantSplit/>
        </w:trPr>
        <w:tc>
          <w:tcPr>
            <w:tcW w:type="dxa" w:w="2100"/>
            <w:shd w:fill="F4F6F9"/>
            <w:vAlign w:val="center"/>
          </w:tcPr>
          <w:p>
            <w:pPr>
              <w:spacing w:after="0" w:before="0" w:line="252" w:lineRule="auto"/>
              <w:jc w:val="left"/>
            </w:pPr>
            <w:r/>
            <w:r>
              <w:rPr>
                <w:rFonts w:ascii="Calibri" w:hAnsi="Calibri"/>
                <w:b w:val="0"/>
                <w:color w:val="1F2933"/>
                <w:sz w:val="16"/>
              </w:rPr>
              <w:t>Solo AI tools</w:t>
            </w:r>
          </w:p>
        </w:tc>
        <w:tc>
          <w:tcPr>
            <w:tcW w:type="dxa" w:w="3050"/>
            <w:shd w:fill="F4F6F9"/>
            <w:vAlign w:val="center"/>
          </w:tcPr>
          <w:p>
            <w:pPr>
              <w:spacing w:after="0" w:before="0" w:line="252" w:lineRule="auto"/>
              <w:jc w:val="left"/>
            </w:pPr>
            <w:r/>
            <w:r>
              <w:rPr>
                <w:rFonts w:ascii="Calibri" w:hAnsi="Calibri"/>
                <w:b w:val="0"/>
                <w:color w:val="1F2933"/>
                <w:sz w:val="16"/>
              </w:rPr>
              <w:t>Cheap, immediate ideation and drafting</w:t>
            </w:r>
          </w:p>
        </w:tc>
        <w:tc>
          <w:tcPr>
            <w:tcW w:type="dxa" w:w="4210"/>
            <w:shd w:fill="F4F6F9"/>
            <w:vAlign w:val="center"/>
          </w:tcPr>
          <w:p>
            <w:pPr>
              <w:spacing w:after="0" w:before="0" w:line="252" w:lineRule="auto"/>
              <w:jc w:val="left"/>
            </w:pPr>
            <w:r/>
            <w:r>
              <w:rPr>
                <w:rFonts w:ascii="Calibri" w:hAnsi="Calibri"/>
                <w:b w:val="0"/>
                <w:color w:val="1F2933"/>
                <w:sz w:val="16"/>
              </w:rPr>
              <w:t>Scope control, evidence, accountability, privacy choices, expert review</w:t>
            </w:r>
          </w:p>
        </w:tc>
      </w:tr>
      <w:tr>
        <w:trPr>
          <w:cantSplit/>
        </w:trPr>
        <w:tc>
          <w:tcPr>
            <w:tcW w:type="dxa" w:w="2100"/>
            <w:shd w:fill="FFFFFF"/>
            <w:vAlign w:val="center"/>
          </w:tcPr>
          <w:p>
            <w:pPr>
              <w:spacing w:after="0" w:before="0" w:line="252" w:lineRule="auto"/>
              <w:jc w:val="left"/>
            </w:pPr>
            <w:r/>
            <w:r>
              <w:rPr>
                <w:rFonts w:ascii="Calibri" w:hAnsi="Calibri"/>
                <w:b w:val="0"/>
                <w:color w:val="1F2933"/>
                <w:sz w:val="16"/>
              </w:rPr>
              <w:t>Freelancers / consultants</w:t>
            </w:r>
          </w:p>
        </w:tc>
        <w:tc>
          <w:tcPr>
            <w:tcW w:type="dxa" w:w="3050"/>
            <w:shd w:fill="FFFFFF"/>
            <w:vAlign w:val="center"/>
          </w:tcPr>
          <w:p>
            <w:pPr>
              <w:spacing w:after="0" w:before="0" w:line="252" w:lineRule="auto"/>
              <w:jc w:val="left"/>
            </w:pPr>
            <w:r/>
            <w:r>
              <w:rPr>
                <w:rFonts w:ascii="Calibri" w:hAnsi="Calibri"/>
                <w:b w:val="0"/>
                <w:color w:val="1F2933"/>
                <w:sz w:val="16"/>
              </w:rPr>
              <w:t>Deep specialty and custom delivery</w:t>
            </w:r>
          </w:p>
        </w:tc>
        <w:tc>
          <w:tcPr>
            <w:tcW w:type="dxa" w:w="4210"/>
            <w:shd w:fill="FFFFFF"/>
            <w:vAlign w:val="center"/>
          </w:tcPr>
          <w:p>
            <w:pPr>
              <w:spacing w:after="0" w:before="0" w:line="252" w:lineRule="auto"/>
              <w:jc w:val="left"/>
            </w:pPr>
            <w:r/>
            <w:r>
              <w:rPr>
                <w:rFonts w:ascii="Calibri" w:hAnsi="Calibri"/>
                <w:b w:val="0"/>
                <w:color w:val="1F2933"/>
                <w:sz w:val="16"/>
              </w:rPr>
              <w:t>Integrated front door, packaged process, accessible language</w:t>
            </w:r>
          </w:p>
        </w:tc>
      </w:tr>
      <w:tr>
        <w:trPr>
          <w:cantSplit/>
        </w:trPr>
        <w:tc>
          <w:tcPr>
            <w:tcW w:type="dxa" w:w="2100"/>
            <w:shd w:fill="F4F6F9"/>
            <w:vAlign w:val="center"/>
          </w:tcPr>
          <w:p>
            <w:pPr>
              <w:spacing w:after="0" w:before="0" w:line="252" w:lineRule="auto"/>
              <w:jc w:val="left"/>
            </w:pPr>
            <w:r/>
            <w:r>
              <w:rPr>
                <w:rFonts w:ascii="Calibri" w:hAnsi="Calibri"/>
                <w:b w:val="0"/>
                <w:color w:val="1F2933"/>
                <w:sz w:val="16"/>
              </w:rPr>
              <w:t>Incubators / accelerators</w:t>
            </w:r>
          </w:p>
        </w:tc>
        <w:tc>
          <w:tcPr>
            <w:tcW w:type="dxa" w:w="3050"/>
            <w:shd w:fill="F4F6F9"/>
            <w:vAlign w:val="center"/>
          </w:tcPr>
          <w:p>
            <w:pPr>
              <w:spacing w:after="0" w:before="0" w:line="252" w:lineRule="auto"/>
              <w:jc w:val="left"/>
            </w:pPr>
            <w:r/>
            <w:r>
              <w:rPr>
                <w:rFonts w:ascii="Calibri" w:hAnsi="Calibri"/>
                <w:b w:val="0"/>
                <w:color w:val="1F2933"/>
                <w:sz w:val="16"/>
              </w:rPr>
              <w:t>Network, cohort, credibility, capital access</w:t>
            </w:r>
          </w:p>
        </w:tc>
        <w:tc>
          <w:tcPr>
            <w:tcW w:type="dxa" w:w="4210"/>
            <w:shd w:fill="F4F6F9"/>
            <w:vAlign w:val="center"/>
          </w:tcPr>
          <w:p>
            <w:pPr>
              <w:spacing w:after="0" w:before="0" w:line="252" w:lineRule="auto"/>
              <w:jc w:val="left"/>
            </w:pPr>
            <w:r/>
            <w:r>
              <w:rPr>
                <w:rFonts w:ascii="Calibri" w:hAnsi="Calibri"/>
                <w:b w:val="0"/>
                <w:color w:val="1F2933"/>
                <w:sz w:val="16"/>
              </w:rPr>
              <w:t>Walk-in accessibility; help before an application-ready venture exists</w:t>
            </w:r>
          </w:p>
        </w:tc>
      </w:tr>
      <w:tr>
        <w:trPr>
          <w:cantSplit/>
        </w:trPr>
        <w:tc>
          <w:tcPr>
            <w:tcW w:type="dxa" w:w="2100"/>
            <w:shd w:fill="FFFFFF"/>
            <w:vAlign w:val="center"/>
          </w:tcPr>
          <w:p>
            <w:pPr>
              <w:spacing w:after="0" w:before="0" w:line="252" w:lineRule="auto"/>
              <w:jc w:val="left"/>
            </w:pPr>
            <w:r/>
            <w:r>
              <w:rPr>
                <w:rFonts w:ascii="Calibri" w:hAnsi="Calibri"/>
                <w:b w:val="0"/>
                <w:color w:val="1F2933"/>
                <w:sz w:val="16"/>
              </w:rPr>
              <w:t>Maker spaces / studios</w:t>
            </w:r>
          </w:p>
        </w:tc>
        <w:tc>
          <w:tcPr>
            <w:tcW w:type="dxa" w:w="3050"/>
            <w:shd w:fill="FFFFFF"/>
            <w:vAlign w:val="center"/>
          </w:tcPr>
          <w:p>
            <w:pPr>
              <w:spacing w:after="0" w:before="0" w:line="252" w:lineRule="auto"/>
              <w:jc w:val="left"/>
            </w:pPr>
            <w:r/>
            <w:r>
              <w:rPr>
                <w:rFonts w:ascii="Calibri" w:hAnsi="Calibri"/>
                <w:b w:val="0"/>
                <w:color w:val="1F2933"/>
                <w:sz w:val="16"/>
              </w:rPr>
              <w:t>Equipment and hands-on prototyping</w:t>
            </w:r>
          </w:p>
        </w:tc>
        <w:tc>
          <w:tcPr>
            <w:tcW w:type="dxa" w:w="4210"/>
            <w:shd w:fill="FFFFFF"/>
            <w:vAlign w:val="center"/>
          </w:tcPr>
          <w:p>
            <w:pPr>
              <w:spacing w:after="0" w:before="0" w:line="252" w:lineRule="auto"/>
              <w:jc w:val="left"/>
            </w:pPr>
            <w:r/>
            <w:r>
              <w:rPr>
                <w:rFonts w:ascii="Calibri" w:hAnsi="Calibri"/>
                <w:b w:val="0"/>
                <w:color w:val="1F2933"/>
                <w:sz w:val="16"/>
              </w:rPr>
              <w:t>Business validation, story, launch plan, coordinated specialists</w:t>
            </w:r>
          </w:p>
        </w:tc>
      </w:tr>
      <w:tr>
        <w:trPr>
          <w:cantSplit/>
        </w:trPr>
        <w:tc>
          <w:tcPr>
            <w:tcW w:type="dxa" w:w="2100"/>
            <w:shd w:fill="F4F6F9"/>
            <w:vAlign w:val="center"/>
          </w:tcPr>
          <w:p>
            <w:pPr>
              <w:spacing w:after="0" w:before="0" w:line="252" w:lineRule="auto"/>
              <w:jc w:val="left"/>
            </w:pPr>
            <w:r/>
            <w:r>
              <w:rPr>
                <w:rFonts w:ascii="Calibri" w:hAnsi="Calibri"/>
                <w:b w:val="0"/>
                <w:color w:val="1F2933"/>
                <w:sz w:val="16"/>
              </w:rPr>
              <w:t>Kickstarter / Indiegogo</w:t>
            </w:r>
          </w:p>
        </w:tc>
        <w:tc>
          <w:tcPr>
            <w:tcW w:type="dxa" w:w="3050"/>
            <w:shd w:fill="F4F6F9"/>
            <w:vAlign w:val="center"/>
          </w:tcPr>
          <w:p>
            <w:pPr>
              <w:spacing w:after="0" w:before="0" w:line="252" w:lineRule="auto"/>
              <w:jc w:val="left"/>
            </w:pPr>
            <w:r/>
            <w:r>
              <w:rPr>
                <w:rFonts w:ascii="Calibri" w:hAnsi="Calibri"/>
                <w:b w:val="0"/>
                <w:color w:val="1F2933"/>
                <w:sz w:val="16"/>
              </w:rPr>
              <w:t>Audience and campaign infrastructure</w:t>
            </w:r>
          </w:p>
        </w:tc>
        <w:tc>
          <w:tcPr>
            <w:tcW w:type="dxa" w:w="4210"/>
            <w:shd w:fill="F4F6F9"/>
            <w:vAlign w:val="center"/>
          </w:tcPr>
          <w:p>
            <w:pPr>
              <w:spacing w:after="0" w:before="0" w:line="252" w:lineRule="auto"/>
              <w:jc w:val="left"/>
            </w:pPr>
            <w:r/>
            <w:r>
              <w:rPr>
                <w:rFonts w:ascii="Calibri" w:hAnsi="Calibri"/>
                <w:b w:val="0"/>
                <w:color w:val="1F2933"/>
                <w:sz w:val="16"/>
              </w:rPr>
              <w:t>Pre-campaign validation and production; platform fees are 5% plus processing [S5][S6]</w:t>
            </w:r>
          </w:p>
        </w:tc>
      </w:tr>
      <w:tr>
        <w:trPr>
          <w:cantSplit/>
        </w:trPr>
        <w:tc>
          <w:tcPr>
            <w:tcW w:type="dxa" w:w="2100"/>
            <w:shd w:fill="FFFFFF"/>
            <w:vAlign w:val="center"/>
          </w:tcPr>
          <w:p>
            <w:pPr>
              <w:spacing w:after="0" w:before="0" w:line="252" w:lineRule="auto"/>
              <w:jc w:val="left"/>
            </w:pPr>
            <w:r/>
            <w:r>
              <w:rPr>
                <w:rFonts w:ascii="Calibri" w:hAnsi="Calibri"/>
                <w:b w:val="0"/>
                <w:color w:val="1F2933"/>
                <w:sz w:val="16"/>
              </w:rPr>
              <w:t>Coworking / workshops</w:t>
            </w:r>
          </w:p>
        </w:tc>
        <w:tc>
          <w:tcPr>
            <w:tcW w:type="dxa" w:w="3050"/>
            <w:shd w:fill="FFFFFF"/>
            <w:vAlign w:val="center"/>
          </w:tcPr>
          <w:p>
            <w:pPr>
              <w:spacing w:after="0" w:before="0" w:line="252" w:lineRule="auto"/>
              <w:jc w:val="left"/>
            </w:pPr>
            <w:r/>
            <w:r>
              <w:rPr>
                <w:rFonts w:ascii="Calibri" w:hAnsi="Calibri"/>
                <w:b w:val="0"/>
                <w:color w:val="1F2933"/>
                <w:sz w:val="16"/>
              </w:rPr>
              <w:t>Community and events</w:t>
            </w:r>
          </w:p>
        </w:tc>
        <w:tc>
          <w:tcPr>
            <w:tcW w:type="dxa" w:w="4210"/>
            <w:shd w:fill="FFFFFF"/>
            <w:vAlign w:val="center"/>
          </w:tcPr>
          <w:p>
            <w:pPr>
              <w:spacing w:after="0" w:before="0" w:line="252" w:lineRule="auto"/>
              <w:jc w:val="left"/>
            </w:pPr>
            <w:r/>
            <w:r>
              <w:rPr>
                <w:rFonts w:ascii="Calibri" w:hAnsi="Calibri"/>
                <w:b w:val="0"/>
                <w:color w:val="1F2933"/>
                <w:sz w:val="16"/>
              </w:rPr>
              <w:t>Accountable end-to-end deliverable</w:t>
            </w:r>
          </w:p>
        </w:tc>
      </w:tr>
    </w:tbl>
    <w:p>
      <w:pPr>
        <w:spacing w:after="0"/>
      </w:pPr>
    </w:p>
    <w:p>
      <w:pPr>
        <w:pStyle w:val="Heading2"/>
        <w:keepNext/>
        <w:keepLines/>
      </w:pPr>
      <w:r>
        <w:t>Defensible advantage</w:t>
      </w:r>
    </w:p>
    <w:p>
      <w:r>
        <w:rPr>
          <w:i w:val="0"/>
        </w:rPr>
        <w:t>The moat is not an AI prompt library. It is the compounding operating system around intake, scope, research provenance, human judgment, specialist routing, reusable templates, privacy controls, outcome measurement, and a trusted local network. The studio should be able to show how it reached a recommendation and where uncertainty remains.</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E87942"/>
          </w:tcPr>
          <w:p>
            <w:pPr>
              <w:spacing w:after="0" w:before="0" w:line="252" w:lineRule="auto"/>
              <w:jc w:val="left"/>
            </w:pPr>
            <w:r/>
            <w:r>
              <w:rPr>
                <w:rFonts w:ascii="Calibri" w:hAnsi="Calibri"/>
                <w:b/>
                <w:color w:val="FFFFFF"/>
                <w:sz w:val="19"/>
              </w:rPr>
              <w:t>POSITIONING</w:t>
            </w:r>
          </w:p>
        </w:tc>
      </w:tr>
      <w:tr>
        <w:trPr>
          <w:cantSplit/>
        </w:trPr>
        <w:tc>
          <w:tcPr>
            <w:tcW w:type="dxa" w:w="9360"/>
            <w:tcMar>
              <w:top w:w="80" w:type="dxa"/>
              <w:start w:w="120" w:type="dxa"/>
              <w:bottom w:w="80" w:type="dxa"/>
              <w:end w:w="120" w:type="dxa"/>
            </w:tcMar>
            <w:shd w:fill="FFF2C6"/>
          </w:tcPr>
          <w:p>
            <w:pPr>
              <w:spacing w:after="40" w:before="0" w:line="252" w:lineRule="auto"/>
              <w:jc w:val="left"/>
            </w:pPr>
            <w:r/>
            <w:r>
              <w:rPr>
                <w:rFonts w:ascii="Calibri" w:hAnsi="Calibri"/>
                <w:b w:val="0"/>
                <w:color w:val="1F2933"/>
                <w:sz w:val="20"/>
              </w:rPr>
              <w:t>A place where your idea gets worked—not merely admired, generated, or pitched.</w:t>
            </w:r>
          </w:p>
        </w:tc>
      </w:tr>
    </w:tbl>
    <w:p>
      <w:pPr>
        <w:spacing w:after="0"/>
      </w:pPr>
    </w:p>
    <w:p>
      <w:pPr>
        <w:pStyle w:val="Heading2"/>
        <w:keepNext/>
        <w:keepLines/>
      </w:pPr>
      <w:r>
        <w:t>Brand risk</w:t>
      </w:r>
    </w:p>
    <w:p>
      <w:r>
        <w:rPr>
          <w:i w:val="0"/>
        </w:rPr>
        <w:t>“Lame Brain” is memorable and self-deprecating, but it may be heard as insulting or ableist. Treat the mark, domain, trademark availability, and customer interpretation as unvalidated. Run blind name tests before investing in signage or filing strategy; retain the category promise even if the name changes.</w:t>
      </w:r>
    </w:p>
    <w:p>
      <w:r>
        <w:br w:type="page"/>
      </w:r>
    </w:p>
    <w:p>
      <w:pPr>
        <w:spacing w:after="40"/>
      </w:pPr>
      <w:r>
        <w:rPr>
          <w:b/>
          <w:color w:val="238295"/>
          <w:sz w:val="17"/>
        </w:rPr>
        <w:t>SELL A DECISION, NOT HOURS</w:t>
      </w:r>
    </w:p>
    <w:p>
      <w:pPr>
        <w:pStyle w:val="Heading1"/>
        <w:keepNext/>
        <w:keepLines/>
      </w:pPr>
      <w:r>
        <w:t>06  Offer architecture and pricing</w:t>
      </w:r>
    </w:p>
    <w:tbl>
      <w:tblPr>
        <w:tblW w:type="dxa" w:w="9360"/>
        <w:jc w:val="left"/>
        <w:tblLayout w:type="fixed"/>
        <w:tblLook w:firstColumn="1" w:firstRow="1" w:lastColumn="0" w:lastRow="0" w:noHBand="0" w:noVBand="1" w:val="04A0"/>
        <w:tblInd w:w="0" w:type="dxa"/>
      </w:tblPr>
      <w:tblGrid>
        <w:gridCol w:w="1750"/>
        <w:gridCol w:w="1350"/>
        <w:gridCol w:w="1200"/>
        <w:gridCol w:w="3260"/>
        <w:gridCol w:w="1800"/>
      </w:tblGrid>
      <w:tr>
        <w:trPr>
          <w:tblHeader w:val="true"/>
          <w:cantSplit/>
        </w:trPr>
        <w:tc>
          <w:tcPr>
            <w:tcW w:type="dxa" w:w="17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Offer</w:t>
            </w:r>
          </w:p>
        </w:tc>
        <w:tc>
          <w:tcPr>
            <w:tcW w:type="dxa" w:w="1350"/>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Working price</w:t>
            </w:r>
          </w:p>
        </w:tc>
        <w:tc>
          <w:tcPr>
            <w:tcW w:type="dxa" w:w="1200"/>
            <w:tcMar>
              <w:top w:w="80" w:type="dxa"/>
              <w:start w:w="120" w:type="dxa"/>
              <w:bottom w:w="80" w:type="dxa"/>
              <w:end w:w="120" w:type="dxa"/>
            </w:tcMar>
            <w:shd w:fill="238295"/>
          </w:tcPr>
          <w:p>
            <w:pPr>
              <w:spacing w:after="0" w:before="0" w:line="252" w:lineRule="auto"/>
              <w:jc w:val="center"/>
            </w:pPr>
            <w:r/>
            <w:r>
              <w:rPr>
                <w:rFonts w:ascii="Calibri" w:hAnsi="Calibri"/>
                <w:b/>
                <w:color w:val="FFFFFF"/>
                <w:sz w:val="16"/>
              </w:rPr>
              <w:t>Delivery hours</w:t>
            </w:r>
          </w:p>
        </w:tc>
        <w:tc>
          <w:tcPr>
            <w:tcW w:type="dxa" w:w="32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Core output</w:t>
            </w:r>
          </w:p>
        </w:tc>
        <w:tc>
          <w:tcPr>
            <w:tcW w:type="dxa" w:w="18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Conversion role</w:t>
            </w:r>
          </w:p>
        </w:tc>
      </w:tr>
      <w:tr>
        <w:trPr>
          <w:cantSplit/>
        </w:trPr>
        <w:tc>
          <w:tcPr>
            <w:tcW w:type="dxa" w:w="1750"/>
            <w:shd w:fill="FFFFFF"/>
            <w:vAlign w:val="center"/>
          </w:tcPr>
          <w:p>
            <w:pPr>
              <w:spacing w:after="0" w:before="0" w:line="252" w:lineRule="auto"/>
              <w:jc w:val="left"/>
            </w:pPr>
            <w:r/>
            <w:r>
              <w:rPr>
                <w:rFonts w:ascii="Calibri" w:hAnsi="Calibri"/>
                <w:b w:val="0"/>
                <w:color w:val="1F2933"/>
                <w:sz w:val="16"/>
              </w:rPr>
              <w:t>Quick Diagnostic</w:t>
            </w:r>
          </w:p>
        </w:tc>
        <w:tc>
          <w:tcPr>
            <w:tcW w:type="dxa" w:w="1350"/>
            <w:shd w:fill="FFFFFF"/>
            <w:vAlign w:val="center"/>
          </w:tcPr>
          <w:p>
            <w:pPr>
              <w:spacing w:after="0" w:before="0" w:line="252" w:lineRule="auto"/>
              <w:jc w:val="right"/>
            </w:pPr>
            <w:r/>
            <w:r>
              <w:rPr>
                <w:rFonts w:ascii="Calibri" w:hAnsi="Calibri"/>
                <w:b w:val="0"/>
                <w:color w:val="1F2933"/>
                <w:sz w:val="16"/>
              </w:rPr>
              <w:t>$99</w:t>
            </w:r>
          </w:p>
        </w:tc>
        <w:tc>
          <w:tcPr>
            <w:tcW w:type="dxa" w:w="1200"/>
            <w:shd w:fill="FFFFFF"/>
            <w:vAlign w:val="center"/>
          </w:tcPr>
          <w:p>
            <w:pPr>
              <w:spacing w:after="0" w:before="0" w:line="252" w:lineRule="auto"/>
              <w:jc w:val="center"/>
            </w:pPr>
            <w:r/>
            <w:r>
              <w:rPr>
                <w:rFonts w:ascii="Calibri" w:hAnsi="Calibri"/>
                <w:b w:val="0"/>
                <w:color w:val="1F2933"/>
                <w:sz w:val="16"/>
              </w:rPr>
              <w:t>1</w:t>
            </w:r>
          </w:p>
        </w:tc>
        <w:tc>
          <w:tcPr>
            <w:tcW w:type="dxa" w:w="3260"/>
            <w:shd w:fill="FFFFFF"/>
            <w:vAlign w:val="center"/>
          </w:tcPr>
          <w:p>
            <w:pPr>
              <w:spacing w:after="0" w:before="0" w:line="252" w:lineRule="auto"/>
              <w:jc w:val="left"/>
            </w:pPr>
            <w:r/>
            <w:r>
              <w:rPr>
                <w:rFonts w:ascii="Calibri" w:hAnsi="Calibri"/>
                <w:b w:val="0"/>
                <w:color w:val="1F2933"/>
                <w:sz w:val="16"/>
              </w:rPr>
              <w:t>Decision brief, unknowns, next step</w:t>
            </w:r>
          </w:p>
        </w:tc>
        <w:tc>
          <w:tcPr>
            <w:tcW w:type="dxa" w:w="1800"/>
            <w:shd w:fill="FFFFFF"/>
            <w:vAlign w:val="center"/>
          </w:tcPr>
          <w:p>
            <w:pPr>
              <w:spacing w:after="0" w:before="0" w:line="252" w:lineRule="auto"/>
              <w:jc w:val="left"/>
            </w:pPr>
            <w:r/>
            <w:r>
              <w:rPr>
                <w:rFonts w:ascii="Calibri" w:hAnsi="Calibri"/>
                <w:b w:val="0"/>
                <w:color w:val="1F2933"/>
                <w:sz w:val="16"/>
              </w:rPr>
              <w:t>Paid qualification</w:t>
            </w:r>
          </w:p>
        </w:tc>
      </w:tr>
      <w:tr>
        <w:trPr>
          <w:cantSplit/>
        </w:trPr>
        <w:tc>
          <w:tcPr>
            <w:tcW w:type="dxa" w:w="1750"/>
            <w:shd w:fill="F4F6F9"/>
            <w:vAlign w:val="center"/>
          </w:tcPr>
          <w:p>
            <w:pPr>
              <w:spacing w:after="0" w:before="0" w:line="252" w:lineRule="auto"/>
              <w:jc w:val="left"/>
            </w:pPr>
            <w:r/>
            <w:r>
              <w:rPr>
                <w:rFonts w:ascii="Calibri" w:hAnsi="Calibri"/>
                <w:b w:val="0"/>
                <w:color w:val="1F2933"/>
                <w:sz w:val="16"/>
              </w:rPr>
              <w:t>Idea Sprint</w:t>
            </w:r>
          </w:p>
        </w:tc>
        <w:tc>
          <w:tcPr>
            <w:tcW w:type="dxa" w:w="1350"/>
            <w:shd w:fill="F4F6F9"/>
            <w:vAlign w:val="center"/>
          </w:tcPr>
          <w:p>
            <w:pPr>
              <w:spacing w:after="0" w:before="0" w:line="252" w:lineRule="auto"/>
              <w:jc w:val="right"/>
            </w:pPr>
            <w:r/>
            <w:r>
              <w:rPr>
                <w:rFonts w:ascii="Calibri" w:hAnsi="Calibri"/>
                <w:b w:val="0"/>
                <w:color w:val="1F2933"/>
                <w:sz w:val="16"/>
              </w:rPr>
              <w:t>$649</w:t>
            </w:r>
          </w:p>
        </w:tc>
        <w:tc>
          <w:tcPr>
            <w:tcW w:type="dxa" w:w="1200"/>
            <w:shd w:fill="F4F6F9"/>
            <w:vAlign w:val="center"/>
          </w:tcPr>
          <w:p>
            <w:pPr>
              <w:spacing w:after="0" w:before="0" w:line="252" w:lineRule="auto"/>
              <w:jc w:val="center"/>
            </w:pPr>
            <w:r/>
            <w:r>
              <w:rPr>
                <w:rFonts w:ascii="Calibri" w:hAnsi="Calibri"/>
                <w:b w:val="0"/>
                <w:color w:val="1F2933"/>
                <w:sz w:val="16"/>
              </w:rPr>
              <w:t>4</w:t>
            </w:r>
          </w:p>
        </w:tc>
        <w:tc>
          <w:tcPr>
            <w:tcW w:type="dxa" w:w="3260"/>
            <w:shd w:fill="F4F6F9"/>
            <w:vAlign w:val="center"/>
          </w:tcPr>
          <w:p>
            <w:pPr>
              <w:spacing w:after="0" w:before="0" w:line="252" w:lineRule="auto"/>
              <w:jc w:val="left"/>
            </w:pPr>
            <w:r/>
            <w:r>
              <w:rPr>
                <w:rFonts w:ascii="Calibri" w:hAnsi="Calibri"/>
                <w:b w:val="0"/>
                <w:color w:val="1F2933"/>
                <w:sz w:val="16"/>
              </w:rPr>
              <w:t>Problem evidence, concept options, scorecard, plan</w:t>
            </w:r>
          </w:p>
        </w:tc>
        <w:tc>
          <w:tcPr>
            <w:tcW w:type="dxa" w:w="1800"/>
            <w:shd w:fill="F4F6F9"/>
            <w:vAlign w:val="center"/>
          </w:tcPr>
          <w:p>
            <w:pPr>
              <w:spacing w:after="0" w:before="0" w:line="252" w:lineRule="auto"/>
              <w:jc w:val="left"/>
            </w:pPr>
            <w:r/>
            <w:r>
              <w:rPr>
                <w:rFonts w:ascii="Calibri" w:hAnsi="Calibri"/>
                <w:b w:val="0"/>
                <w:color w:val="1F2933"/>
                <w:sz w:val="16"/>
              </w:rPr>
              <w:t>Core entry product</w:t>
            </w:r>
          </w:p>
        </w:tc>
      </w:tr>
      <w:tr>
        <w:trPr>
          <w:cantSplit/>
        </w:trPr>
        <w:tc>
          <w:tcPr>
            <w:tcW w:type="dxa" w:w="1750"/>
            <w:shd w:fill="FFFFFF"/>
            <w:vAlign w:val="center"/>
          </w:tcPr>
          <w:p>
            <w:pPr>
              <w:spacing w:after="0" w:before="0" w:line="252" w:lineRule="auto"/>
              <w:jc w:val="left"/>
            </w:pPr>
            <w:r/>
            <w:r>
              <w:rPr>
                <w:rFonts w:ascii="Calibri" w:hAnsi="Calibri"/>
                <w:b w:val="0"/>
                <w:color w:val="1F2933"/>
                <w:sz w:val="16"/>
              </w:rPr>
              <w:t>Venture Build</w:t>
            </w:r>
          </w:p>
        </w:tc>
        <w:tc>
          <w:tcPr>
            <w:tcW w:type="dxa" w:w="1350"/>
            <w:shd w:fill="FFFFFF"/>
            <w:vAlign w:val="center"/>
          </w:tcPr>
          <w:p>
            <w:pPr>
              <w:spacing w:after="0" w:before="0" w:line="252" w:lineRule="auto"/>
              <w:jc w:val="right"/>
            </w:pPr>
            <w:r/>
            <w:r>
              <w:rPr>
                <w:rFonts w:ascii="Calibri" w:hAnsi="Calibri"/>
                <w:b w:val="0"/>
                <w:color w:val="1F2933"/>
                <w:sz w:val="16"/>
              </w:rPr>
              <w:t>$3,750</w:t>
            </w:r>
          </w:p>
        </w:tc>
        <w:tc>
          <w:tcPr>
            <w:tcW w:type="dxa" w:w="1200"/>
            <w:shd w:fill="FFFFFF"/>
            <w:vAlign w:val="center"/>
          </w:tcPr>
          <w:p>
            <w:pPr>
              <w:spacing w:after="0" w:before="0" w:line="252" w:lineRule="auto"/>
              <w:jc w:val="center"/>
            </w:pPr>
            <w:r/>
            <w:r>
              <w:rPr>
                <w:rFonts w:ascii="Calibri" w:hAnsi="Calibri"/>
                <w:b w:val="0"/>
                <w:color w:val="1F2933"/>
                <w:sz w:val="16"/>
              </w:rPr>
              <w:t>20</w:t>
            </w:r>
          </w:p>
        </w:tc>
        <w:tc>
          <w:tcPr>
            <w:tcW w:type="dxa" w:w="3260"/>
            <w:shd w:fill="FFFFFF"/>
            <w:vAlign w:val="center"/>
          </w:tcPr>
          <w:p>
            <w:pPr>
              <w:spacing w:after="0" w:before="0" w:line="252" w:lineRule="auto"/>
              <w:jc w:val="left"/>
            </w:pPr>
            <w:r/>
            <w:r>
              <w:rPr>
                <w:rFonts w:ascii="Calibri" w:hAnsi="Calibri"/>
                <w:b w:val="0"/>
                <w:color w:val="1F2933"/>
                <w:sz w:val="16"/>
              </w:rPr>
              <w:t>Research, proposition, prototype/pitch, economics</w:t>
            </w:r>
          </w:p>
        </w:tc>
        <w:tc>
          <w:tcPr>
            <w:tcW w:type="dxa" w:w="1800"/>
            <w:shd w:fill="FFFFFF"/>
            <w:vAlign w:val="center"/>
          </w:tcPr>
          <w:p>
            <w:pPr>
              <w:spacing w:after="0" w:before="0" w:line="252" w:lineRule="auto"/>
              <w:jc w:val="left"/>
            </w:pPr>
            <w:r/>
            <w:r>
              <w:rPr>
                <w:rFonts w:ascii="Calibri" w:hAnsi="Calibri"/>
                <w:b w:val="0"/>
                <w:color w:val="1F2933"/>
                <w:sz w:val="16"/>
              </w:rPr>
              <w:t>Main project product</w:t>
            </w:r>
          </w:p>
        </w:tc>
      </w:tr>
      <w:tr>
        <w:trPr>
          <w:cantSplit/>
        </w:trPr>
        <w:tc>
          <w:tcPr>
            <w:tcW w:type="dxa" w:w="1750"/>
            <w:shd w:fill="F4F6F9"/>
            <w:vAlign w:val="center"/>
          </w:tcPr>
          <w:p>
            <w:pPr>
              <w:spacing w:after="0" w:before="0" w:line="252" w:lineRule="auto"/>
              <w:jc w:val="left"/>
            </w:pPr>
            <w:r/>
            <w:r>
              <w:rPr>
                <w:rFonts w:ascii="Calibri" w:hAnsi="Calibri"/>
                <w:b w:val="0"/>
                <w:color w:val="1F2933"/>
                <w:sz w:val="16"/>
              </w:rPr>
              <w:t>Launch Studio</w:t>
            </w:r>
          </w:p>
        </w:tc>
        <w:tc>
          <w:tcPr>
            <w:tcW w:type="dxa" w:w="1350"/>
            <w:shd w:fill="F4F6F9"/>
            <w:vAlign w:val="center"/>
          </w:tcPr>
          <w:p>
            <w:pPr>
              <w:spacing w:after="0" w:before="0" w:line="252" w:lineRule="auto"/>
              <w:jc w:val="right"/>
            </w:pPr>
            <w:r/>
            <w:r>
              <w:rPr>
                <w:rFonts w:ascii="Calibri" w:hAnsi="Calibri"/>
                <w:b w:val="0"/>
                <w:color w:val="1F2933"/>
                <w:sz w:val="16"/>
              </w:rPr>
              <w:t>$12,500</w:t>
            </w:r>
          </w:p>
        </w:tc>
        <w:tc>
          <w:tcPr>
            <w:tcW w:type="dxa" w:w="1200"/>
            <w:shd w:fill="F4F6F9"/>
            <w:vAlign w:val="center"/>
          </w:tcPr>
          <w:p>
            <w:pPr>
              <w:spacing w:after="0" w:before="0" w:line="252" w:lineRule="auto"/>
              <w:jc w:val="center"/>
            </w:pPr>
            <w:r/>
            <w:r>
              <w:rPr>
                <w:rFonts w:ascii="Calibri" w:hAnsi="Calibri"/>
                <w:b w:val="0"/>
                <w:color w:val="1F2933"/>
                <w:sz w:val="16"/>
              </w:rPr>
              <w:t>60</w:t>
            </w:r>
          </w:p>
        </w:tc>
        <w:tc>
          <w:tcPr>
            <w:tcW w:type="dxa" w:w="3260"/>
            <w:shd w:fill="F4F6F9"/>
            <w:vAlign w:val="center"/>
          </w:tcPr>
          <w:p>
            <w:pPr>
              <w:spacing w:after="0" w:before="0" w:line="252" w:lineRule="auto"/>
              <w:jc w:val="left"/>
            </w:pPr>
            <w:r/>
            <w:r>
              <w:rPr>
                <w:rFonts w:ascii="Calibri" w:hAnsi="Calibri"/>
                <w:b w:val="0"/>
                <w:color w:val="1F2933"/>
                <w:sz w:val="16"/>
              </w:rPr>
              <w:t>Campaign/fundraising readiness package</w:t>
            </w:r>
          </w:p>
        </w:tc>
        <w:tc>
          <w:tcPr>
            <w:tcW w:type="dxa" w:w="1800"/>
            <w:shd w:fill="F4F6F9"/>
            <w:vAlign w:val="center"/>
          </w:tcPr>
          <w:p>
            <w:pPr>
              <w:spacing w:after="0" w:before="0" w:line="252" w:lineRule="auto"/>
              <w:jc w:val="left"/>
            </w:pPr>
            <w:r/>
            <w:r>
              <w:rPr>
                <w:rFonts w:ascii="Calibri" w:hAnsi="Calibri"/>
                <w:b w:val="0"/>
                <w:color w:val="1F2933"/>
                <w:sz w:val="16"/>
              </w:rPr>
              <w:t>Selective premium product</w:t>
            </w:r>
          </w:p>
        </w:tc>
      </w:tr>
      <w:tr>
        <w:trPr>
          <w:cantSplit/>
        </w:trPr>
        <w:tc>
          <w:tcPr>
            <w:tcW w:type="dxa" w:w="1750"/>
            <w:shd w:fill="FFFFFF"/>
            <w:vAlign w:val="center"/>
          </w:tcPr>
          <w:p>
            <w:pPr>
              <w:spacing w:after="0" w:before="0" w:line="252" w:lineRule="auto"/>
              <w:jc w:val="left"/>
            </w:pPr>
            <w:r/>
            <w:r>
              <w:rPr>
                <w:rFonts w:ascii="Calibri" w:hAnsi="Calibri"/>
                <w:b w:val="0"/>
                <w:color w:val="1F2933"/>
                <w:sz w:val="16"/>
              </w:rPr>
              <w:t>Founder Membership</w:t>
            </w:r>
          </w:p>
        </w:tc>
        <w:tc>
          <w:tcPr>
            <w:tcW w:type="dxa" w:w="1350"/>
            <w:shd w:fill="FFFFFF"/>
            <w:vAlign w:val="center"/>
          </w:tcPr>
          <w:p>
            <w:pPr>
              <w:spacing w:after="0" w:before="0" w:line="252" w:lineRule="auto"/>
              <w:jc w:val="right"/>
            </w:pPr>
            <w:r/>
            <w:r>
              <w:rPr>
                <w:rFonts w:ascii="Calibri" w:hAnsi="Calibri"/>
                <w:b w:val="0"/>
                <w:color w:val="1F2933"/>
                <w:sz w:val="16"/>
              </w:rPr>
              <w:t>$99/mo</w:t>
            </w:r>
          </w:p>
        </w:tc>
        <w:tc>
          <w:tcPr>
            <w:tcW w:type="dxa" w:w="1200"/>
            <w:shd w:fill="FFFFFF"/>
            <w:vAlign w:val="center"/>
          </w:tcPr>
          <w:p>
            <w:pPr>
              <w:spacing w:after="0" w:before="0" w:line="252" w:lineRule="auto"/>
              <w:jc w:val="center"/>
            </w:pPr>
            <w:r/>
            <w:r>
              <w:rPr>
                <w:rFonts w:ascii="Calibri" w:hAnsi="Calibri"/>
                <w:b w:val="0"/>
                <w:color w:val="1F2933"/>
                <w:sz w:val="16"/>
              </w:rPr>
              <w:t>Gated</w:t>
            </w:r>
          </w:p>
        </w:tc>
        <w:tc>
          <w:tcPr>
            <w:tcW w:type="dxa" w:w="3260"/>
            <w:shd w:fill="FFFFFF"/>
            <w:vAlign w:val="center"/>
          </w:tcPr>
          <w:p>
            <w:pPr>
              <w:spacing w:after="0" w:before="0" w:line="252" w:lineRule="auto"/>
              <w:jc w:val="left"/>
            </w:pPr>
            <w:r/>
            <w:r>
              <w:rPr>
                <w:rFonts w:ascii="Calibri" w:hAnsi="Calibri"/>
                <w:b w:val="0"/>
                <w:color w:val="1F2933"/>
                <w:sz w:val="16"/>
              </w:rPr>
              <w:t>Office hours, accountability, events, lab access</w:t>
            </w:r>
          </w:p>
        </w:tc>
        <w:tc>
          <w:tcPr>
            <w:tcW w:type="dxa" w:w="1800"/>
            <w:shd w:fill="FFFFFF"/>
            <w:vAlign w:val="center"/>
          </w:tcPr>
          <w:p>
            <w:pPr>
              <w:spacing w:after="0" w:before="0" w:line="252" w:lineRule="auto"/>
              <w:jc w:val="left"/>
            </w:pPr>
            <w:r/>
            <w:r>
              <w:rPr>
                <w:rFonts w:ascii="Calibri" w:hAnsi="Calibri"/>
                <w:b w:val="0"/>
                <w:color w:val="1F2933"/>
                <w:sz w:val="16"/>
              </w:rPr>
              <w:t>Recurring relationship</w:t>
            </w:r>
          </w:p>
        </w:tc>
      </w:tr>
    </w:tbl>
    <w:p>
      <w:pPr>
        <w:spacing w:after="0"/>
      </w:pPr>
    </w:p>
    <w:p>
      <w:pPr>
        <w:pStyle w:val="Caption"/>
      </w:pPr>
      <w:r>
        <w:t>All prices are working assumptions, not market evidence. The accompanying workbook calculates service revenue from capacity, utilization, delivery hours, and package mix.</w:t>
      </w:r>
    </w:p>
    <w:p>
      <w:pPr>
        <w:pStyle w:val="Heading2"/>
        <w:keepNext/>
        <w:keepLines/>
      </w:pPr>
      <w:r>
        <w:t>Scope controls</w:t>
      </w:r>
    </w:p>
    <w:p>
      <w:pPr>
        <w:pStyle w:val="ListBullet"/>
        <w:keepLines/>
        <w:jc w:val="left"/>
      </w:pPr>
      <w:r>
        <w:t>Every engagement starts with a signed statement of work, decision question, deliverable list, exclusions, customer responsibilities, and revision limit.</w:t>
      </w:r>
    </w:p>
    <w:p>
      <w:pPr>
        <w:pStyle w:val="ListBullet"/>
        <w:keepLines/>
        <w:jc w:val="left"/>
      </w:pPr>
      <w:r>
        <w:t>Specialist work—legal, patent, engineering certification, clinical, tax, regulated claims—requires a qualified provider and separate scope.</w:t>
      </w:r>
    </w:p>
    <w:p>
      <w:pPr>
        <w:pStyle w:val="ListBullet"/>
        <w:keepLines/>
        <w:jc w:val="left"/>
      </w:pPr>
      <w:r>
        <w:t>The studio owns its methods and templates; the customer owns paid-for custom deliverables subject to licensed inputs and third-party rights.</w:t>
      </w:r>
    </w:p>
    <w:p>
      <w:pPr>
        <w:pStyle w:val="ListBullet"/>
        <w:keepLines/>
        <w:jc w:val="left"/>
      </w:pPr>
      <w:r>
        <w:t>A kill or pause recommendation is a successful outcome when evidence does not support further spend.</w:t>
      </w:r>
    </w:p>
    <w:p>
      <w:pPr>
        <w:pStyle w:val="Heading2"/>
        <w:keepNext/>
        <w:keepLines/>
      </w:pPr>
      <w:r>
        <w:t>Pricing experiments</w:t>
      </w:r>
    </w:p>
    <w:p>
      <w:r>
        <w:rPr>
          <w:i w:val="0"/>
        </w:rPr>
        <w:t>Test three price cells for the Idea Sprint ($499, $649, $799) and two formats (in-person and hybrid). Measure conversion, completion time, realized revenue per delivery hour, customer-reported value, referral, rework, and downstream package conversion. Do not discount Launch Studio until the team can estimate delivery variance.</w:t>
      </w:r>
    </w:p>
    <w:p>
      <w:r>
        <w:br w:type="page"/>
      </w:r>
    </w:p>
    <w:p>
      <w:pPr>
        <w:spacing w:after="40"/>
      </w:pPr>
      <w:r>
        <w:rPr>
          <w:b/>
          <w:color w:val="238295"/>
          <w:sz w:val="17"/>
        </w:rPr>
        <w:t>RETAIL HOSPITALITY, PROFESSIONAL DISCIPLINE</w:t>
      </w:r>
    </w:p>
    <w:p>
      <w:pPr>
        <w:pStyle w:val="Heading1"/>
        <w:keepNext/>
        <w:keepLines/>
      </w:pPr>
      <w:r>
        <w:t>07  Customer journey and studio experience</w:t>
      </w:r>
    </w:p>
    <w:p>
      <w:pPr>
        <w:keepLines/>
        <w:numPr>
          <w:ilvl w:val="0"/>
          <w:numId w:val="10"/>
        </w:numPr>
        <w:spacing w:after="80" w:line="290" w:lineRule="auto"/>
        <w:jc w:val="left"/>
      </w:pPr>
      <w:r>
        <w:t>Welcome and fit check: a host translates the idea into a decision question and screens prohibited or specialist-only work.</w:t>
      </w:r>
    </w:p>
    <w:p>
      <w:pPr>
        <w:keepLines/>
        <w:numPr>
          <w:ilvl w:val="0"/>
          <w:numId w:val="10"/>
        </w:numPr>
        <w:spacing w:after="80" w:line="290" w:lineRule="auto"/>
        <w:jc w:val="left"/>
      </w:pPr>
      <w:r>
        <w:t>Confidential intake: the customer chooses data-sharing and AI-processing permissions before any sensitive content is entered.</w:t>
      </w:r>
    </w:p>
    <w:p>
      <w:pPr>
        <w:keepLines/>
        <w:numPr>
          <w:ilvl w:val="0"/>
          <w:numId w:val="10"/>
        </w:numPr>
        <w:spacing w:after="80" w:line="290" w:lineRule="auto"/>
        <w:jc w:val="left"/>
      </w:pPr>
      <w:r>
        <w:t>Paid diagnostic: a Brain Stormer identifies evidence gaps, risks, and the best next package.</w:t>
      </w:r>
    </w:p>
    <w:p>
      <w:pPr>
        <w:keepLines/>
        <w:numPr>
          <w:ilvl w:val="0"/>
          <w:numId w:val="10"/>
        </w:numPr>
        <w:spacing w:after="80" w:line="290" w:lineRule="auto"/>
        <w:jc w:val="left"/>
      </w:pPr>
      <w:r>
        <w:t>Build sprint: facilitated research, synthesis, concept development, and prototype/pitch creation, with visible milestones.</w:t>
      </w:r>
    </w:p>
    <w:p>
      <w:pPr>
        <w:keepLines/>
        <w:numPr>
          <w:ilvl w:val="0"/>
          <w:numId w:val="10"/>
        </w:numPr>
        <w:spacing w:after="80" w:line="290" w:lineRule="auto"/>
        <w:jc w:val="left"/>
      </w:pPr>
      <w:r>
        <w:t>Red-team review: a second reviewer checks evidence, claims, feasibility, scope, and customer-ready quality.</w:t>
      </w:r>
    </w:p>
    <w:p>
      <w:pPr>
        <w:keepLines/>
        <w:numPr>
          <w:ilvl w:val="0"/>
          <w:numId w:val="10"/>
        </w:numPr>
        <w:spacing w:after="80" w:line="290" w:lineRule="auto"/>
        <w:jc w:val="left"/>
      </w:pPr>
      <w:r>
        <w:t>Exit decision: take the package, enter a rewards-launch pathway, enter a legally designed investor-readiness pathway, pause, or stop.</w:t>
      </w:r>
    </w:p>
    <w:p>
      <w:pPr>
        <w:pStyle w:val="Heading2"/>
        <w:keepNext/>
        <w:keepLines/>
      </w:pPr>
      <w:r>
        <w:t>Physical format</w:t>
      </w:r>
    </w:p>
    <w:tbl>
      <w:tblPr>
        <w:tblW w:type="dxa" w:w="9360"/>
        <w:jc w:val="left"/>
        <w:tblLayout w:type="fixed"/>
        <w:tblLook w:firstColumn="1" w:firstRow="1" w:lastColumn="0" w:lastRow="0" w:noHBand="0" w:noVBand="1" w:val="04A0"/>
        <w:tblInd w:w="0" w:type="dxa"/>
      </w:tblPr>
      <w:tblGrid>
        <w:gridCol w:w="4680"/>
        <w:gridCol w:w="4680"/>
      </w:tblGrid>
      <w:tr>
        <w:trPr>
          <w:tblHeader w:val="true"/>
          <w:cantSplit/>
        </w:trPr>
        <w:tc>
          <w:tcPr>
            <w:tcW w:type="dxa" w:w="468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Pilot pop-up</w:t>
            </w:r>
          </w:p>
        </w:tc>
        <w:tc>
          <w:tcPr>
            <w:tcW w:type="dxa" w:w="468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Modeled flagship</w:t>
            </w:r>
          </w:p>
        </w:tc>
      </w:tr>
      <w:tr>
        <w:trPr>
          <w:cantSplit/>
        </w:trPr>
        <w:tc>
          <w:tcPr>
            <w:tcW w:type="dxa" w:w="4680"/>
            <w:shd w:fill="FFFFFF"/>
            <w:vAlign w:val="center"/>
          </w:tcPr>
          <w:p>
            <w:pPr>
              <w:spacing w:after="0" w:before="0" w:line="252" w:lineRule="auto"/>
              <w:jc w:val="left"/>
            </w:pPr>
            <w:r/>
            <w:r>
              <w:rPr>
                <w:rFonts w:ascii="Calibri" w:hAnsi="Calibri"/>
                <w:b w:val="0"/>
                <w:color w:val="1F2933"/>
                <w:sz w:val="17"/>
              </w:rPr>
              <w:t>800–1,200 sq. ft. or partner-hosted</w:t>
            </w:r>
          </w:p>
        </w:tc>
        <w:tc>
          <w:tcPr>
            <w:tcW w:type="dxa" w:w="4680"/>
            <w:shd w:fill="FFFFFF"/>
            <w:vAlign w:val="center"/>
          </w:tcPr>
          <w:p>
            <w:pPr>
              <w:spacing w:after="0" w:before="0" w:line="252" w:lineRule="auto"/>
              <w:jc w:val="left"/>
            </w:pPr>
            <w:r/>
            <w:r>
              <w:rPr>
                <w:rFonts w:ascii="Calibri" w:hAnsi="Calibri"/>
                <w:b w:val="0"/>
                <w:color w:val="1F2933"/>
                <w:sz w:val="17"/>
              </w:rPr>
              <w:t>3,200 sq. ft. visible service location</w:t>
            </w:r>
          </w:p>
        </w:tc>
      </w:tr>
      <w:tr>
        <w:trPr>
          <w:cantSplit/>
        </w:trPr>
        <w:tc>
          <w:tcPr>
            <w:tcW w:type="dxa" w:w="4680"/>
            <w:shd w:fill="F4F6F9"/>
            <w:vAlign w:val="center"/>
          </w:tcPr>
          <w:p>
            <w:pPr>
              <w:spacing w:after="0" w:before="0" w:line="252" w:lineRule="auto"/>
              <w:jc w:val="left"/>
            </w:pPr>
            <w:r/>
            <w:r>
              <w:rPr>
                <w:rFonts w:ascii="Calibri" w:hAnsi="Calibri"/>
                <w:b w:val="0"/>
                <w:color w:val="1F2933"/>
                <w:sz w:val="17"/>
              </w:rPr>
              <w:t>One welcome/meeting area plus two private rooms</w:t>
            </w:r>
          </w:p>
        </w:tc>
        <w:tc>
          <w:tcPr>
            <w:tcW w:type="dxa" w:w="4680"/>
            <w:shd w:fill="F4F6F9"/>
            <w:vAlign w:val="center"/>
          </w:tcPr>
          <w:p>
            <w:pPr>
              <w:spacing w:after="0" w:before="0" w:line="252" w:lineRule="auto"/>
              <w:jc w:val="left"/>
            </w:pPr>
            <w:r/>
            <w:r>
              <w:rPr>
                <w:rFonts w:ascii="Calibri" w:hAnsi="Calibri"/>
                <w:b w:val="0"/>
                <w:color w:val="1F2933"/>
                <w:sz w:val="17"/>
              </w:rPr>
              <w:t>Welcome bar, private build rooms, flex workshop, prototype bench</w:t>
            </w:r>
          </w:p>
        </w:tc>
      </w:tr>
      <w:tr>
        <w:trPr>
          <w:cantSplit/>
        </w:trPr>
        <w:tc>
          <w:tcPr>
            <w:tcW w:type="dxa" w:w="4680"/>
            <w:shd w:fill="FFFFFF"/>
            <w:vAlign w:val="center"/>
          </w:tcPr>
          <w:p>
            <w:pPr>
              <w:spacing w:after="0" w:before="0" w:line="252" w:lineRule="auto"/>
              <w:jc w:val="left"/>
            </w:pPr>
            <w:r/>
            <w:r>
              <w:rPr>
                <w:rFonts w:ascii="Calibri" w:hAnsi="Calibri"/>
                <w:b w:val="0"/>
                <w:color w:val="1F2933"/>
                <w:sz w:val="17"/>
              </w:rPr>
              <w:t>Light buildout; movable furniture; short commitment</w:t>
            </w:r>
          </w:p>
        </w:tc>
        <w:tc>
          <w:tcPr>
            <w:tcW w:type="dxa" w:w="4680"/>
            <w:shd w:fill="FFFFFF"/>
            <w:vAlign w:val="center"/>
          </w:tcPr>
          <w:p>
            <w:pPr>
              <w:spacing w:after="0" w:before="0" w:line="252" w:lineRule="auto"/>
              <w:jc w:val="left"/>
            </w:pPr>
            <w:r/>
            <w:r>
              <w:rPr>
                <w:rFonts w:ascii="Calibri" w:hAnsi="Calibri"/>
                <w:b w:val="0"/>
                <w:color w:val="1F2933"/>
                <w:sz w:val="17"/>
              </w:rPr>
              <w:t>Modeled at $560K leasehold improvements plus $260K equipment/technology</w:t>
            </w:r>
          </w:p>
        </w:tc>
      </w:tr>
      <w:tr>
        <w:trPr>
          <w:cantSplit/>
        </w:trPr>
        <w:tc>
          <w:tcPr>
            <w:tcW w:type="dxa" w:w="4680"/>
            <w:shd w:fill="F4F6F9"/>
            <w:vAlign w:val="center"/>
          </w:tcPr>
          <w:p>
            <w:pPr>
              <w:spacing w:after="0" w:before="0" w:line="252" w:lineRule="auto"/>
              <w:jc w:val="left"/>
            </w:pPr>
            <w:r/>
            <w:r>
              <w:rPr>
                <w:rFonts w:ascii="Calibri" w:hAnsi="Calibri"/>
                <w:b w:val="0"/>
                <w:color w:val="1F2933"/>
                <w:sz w:val="17"/>
              </w:rPr>
              <w:t>Goal: prove demand and workflow</w:t>
            </w:r>
          </w:p>
        </w:tc>
        <w:tc>
          <w:tcPr>
            <w:tcW w:type="dxa" w:w="4680"/>
            <w:shd w:fill="F4F6F9"/>
            <w:vAlign w:val="center"/>
          </w:tcPr>
          <w:p>
            <w:pPr>
              <w:spacing w:after="0" w:before="0" w:line="252" w:lineRule="auto"/>
              <w:jc w:val="left"/>
            </w:pPr>
            <w:r/>
            <w:r>
              <w:rPr>
                <w:rFonts w:ascii="Calibri" w:hAnsi="Calibri"/>
                <w:b w:val="0"/>
                <w:color w:val="1F2933"/>
                <w:sz w:val="17"/>
              </w:rPr>
              <w:t>Goal: deliver at scale after economics are proven</w:t>
            </w:r>
          </w:p>
        </w:tc>
      </w:tr>
    </w:tbl>
    <w:p>
      <w:pPr>
        <w:spacing w:after="0"/>
      </w:pPr>
    </w:p>
    <w:p>
      <w:r>
        <w:rPr>
          <w:i w:val="0"/>
        </w:rPr>
        <w:t>A suburban mixed-use, university-adjacent, or neighborhood center may offer better parking, recurring local traffic, and lower occupancy risk than a prestige downtown flagship. CBRE reported average U.S. retail asking rent of $24.59 per square foot and 4.9% availability in Q1 2026; the model uses $30 base rent plus $9 NNN/CAM to reflect a visible service location [S7]. Local broker proposals must replace this national benchmark.</w:t>
      </w:r>
    </w:p>
    <w:p>
      <w:r>
        <w:br w:type="page"/>
      </w:r>
    </w:p>
    <w:p>
      <w:pPr>
        <w:spacing w:after="40"/>
      </w:pPr>
      <w:r>
        <w:rPr>
          <w:b/>
          <w:color w:val="238295"/>
          <w:sz w:val="17"/>
        </w:rPr>
        <w:t>A SERVICES ENGINE IN A STOREFRONT SHELL</w:t>
      </w:r>
    </w:p>
    <w:p>
      <w:pPr>
        <w:pStyle w:val="Heading1"/>
        <w:keepNext/>
        <w:keepLines/>
      </w:pPr>
      <w:r>
        <w:t>08  Operating model and staffing</w:t>
      </w:r>
    </w:p>
    <w:p>
      <w:r>
        <w:rPr>
          <w:i w:val="0"/>
        </w:rPr>
        <w:t>The base model assumes five delivery FTEs: one store GM/senior practitioner and four Brain Stormers. It also includes community/operations support and one-half prototype specialist FTE. This staffing is intentionally senior because customers are paying for judgment and synthesis, not access to software.</w:t>
      </w:r>
    </w:p>
    <w:tbl>
      <w:tblPr>
        <w:tblW w:type="dxa" w:w="9360"/>
        <w:jc w:val="left"/>
        <w:tblLayout w:type="fixed"/>
        <w:tblLook w:firstColumn="1" w:firstRow="1" w:lastColumn="0" w:lastRow="0" w:noHBand="0" w:noVBand="1" w:val="04A0"/>
        <w:tblInd w:w="0" w:type="dxa"/>
      </w:tblPr>
      <w:tblGrid>
        <w:gridCol w:w="2600"/>
        <w:gridCol w:w="2200"/>
        <w:gridCol w:w="4560"/>
      </w:tblGrid>
      <w:tr>
        <w:trPr>
          <w:tblHeader w:val="true"/>
          <w:cantSplit/>
        </w:trPr>
        <w:tc>
          <w:tcPr>
            <w:tcW w:type="dxa" w:w="26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Role</w:t>
            </w:r>
          </w:p>
        </w:tc>
        <w:tc>
          <w:tcPr>
            <w:tcW w:type="dxa" w:w="22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Base assumption</w:t>
            </w:r>
          </w:p>
        </w:tc>
        <w:tc>
          <w:tcPr>
            <w:tcW w:type="dxa" w:w="456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Accountability</w:t>
            </w:r>
          </w:p>
        </w:tc>
      </w:tr>
      <w:tr>
        <w:trPr>
          <w:cantSplit/>
        </w:trPr>
        <w:tc>
          <w:tcPr>
            <w:tcW w:type="dxa" w:w="2600"/>
            <w:shd w:fill="FFFFFF"/>
            <w:vAlign w:val="center"/>
          </w:tcPr>
          <w:p>
            <w:pPr>
              <w:spacing w:after="0" w:before="0" w:line="252" w:lineRule="auto"/>
              <w:jc w:val="left"/>
            </w:pPr>
            <w:r/>
            <w:r>
              <w:rPr>
                <w:rFonts w:ascii="Calibri" w:hAnsi="Calibri"/>
                <w:b w:val="0"/>
                <w:color w:val="1F2933"/>
                <w:sz w:val="17"/>
              </w:rPr>
              <w:t>Store GM / Senior Brain Surgeon</w:t>
            </w:r>
          </w:p>
        </w:tc>
        <w:tc>
          <w:tcPr>
            <w:tcW w:type="dxa" w:w="2200"/>
            <w:shd w:fill="FFFFFF"/>
            <w:vAlign w:val="center"/>
          </w:tcPr>
          <w:p>
            <w:pPr>
              <w:spacing w:after="0" w:before="0" w:line="252" w:lineRule="auto"/>
              <w:jc w:val="left"/>
            </w:pPr>
            <w:r/>
            <w:r>
              <w:rPr>
                <w:rFonts w:ascii="Calibri" w:hAnsi="Calibri"/>
                <w:b w:val="0"/>
                <w:color w:val="1F2933"/>
                <w:sz w:val="17"/>
              </w:rPr>
              <w:t>$120K salary</w:t>
            </w:r>
          </w:p>
        </w:tc>
        <w:tc>
          <w:tcPr>
            <w:tcW w:type="dxa" w:w="4560"/>
            <w:shd w:fill="FFFFFF"/>
            <w:vAlign w:val="center"/>
          </w:tcPr>
          <w:p>
            <w:pPr>
              <w:spacing w:after="0" w:before="0" w:line="252" w:lineRule="auto"/>
              <w:jc w:val="left"/>
            </w:pPr>
            <w:r/>
            <w:r>
              <w:rPr>
                <w:rFonts w:ascii="Calibri" w:hAnsi="Calibri"/>
                <w:b w:val="0"/>
                <w:color w:val="1F2933"/>
                <w:sz w:val="17"/>
              </w:rPr>
              <w:t>P&amp;L, QA, difficult engagements, team utilization</w:t>
            </w:r>
          </w:p>
        </w:tc>
      </w:tr>
      <w:tr>
        <w:trPr>
          <w:cantSplit/>
        </w:trPr>
        <w:tc>
          <w:tcPr>
            <w:tcW w:type="dxa" w:w="2600"/>
            <w:shd w:fill="F4F6F9"/>
            <w:vAlign w:val="center"/>
          </w:tcPr>
          <w:p>
            <w:pPr>
              <w:spacing w:after="0" w:before="0" w:line="252" w:lineRule="auto"/>
              <w:jc w:val="left"/>
            </w:pPr>
            <w:r/>
            <w:r>
              <w:rPr>
                <w:rFonts w:ascii="Calibri" w:hAnsi="Calibri"/>
                <w:b w:val="0"/>
                <w:color w:val="1F2933"/>
                <w:sz w:val="17"/>
              </w:rPr>
              <w:t>Brain Stormer ×4</w:t>
            </w:r>
          </w:p>
        </w:tc>
        <w:tc>
          <w:tcPr>
            <w:tcW w:type="dxa" w:w="2200"/>
            <w:shd w:fill="F4F6F9"/>
            <w:vAlign w:val="center"/>
          </w:tcPr>
          <w:p>
            <w:pPr>
              <w:spacing w:after="0" w:before="0" w:line="252" w:lineRule="auto"/>
              <w:jc w:val="left"/>
            </w:pPr>
            <w:r/>
            <w:r>
              <w:rPr>
                <w:rFonts w:ascii="Calibri" w:hAnsi="Calibri"/>
                <w:b w:val="0"/>
                <w:color w:val="1F2933"/>
                <w:sz w:val="17"/>
              </w:rPr>
              <w:t>$78K each</w:t>
            </w:r>
          </w:p>
        </w:tc>
        <w:tc>
          <w:tcPr>
            <w:tcW w:type="dxa" w:w="4560"/>
            <w:shd w:fill="F4F6F9"/>
            <w:vAlign w:val="center"/>
          </w:tcPr>
          <w:p>
            <w:pPr>
              <w:spacing w:after="0" w:before="0" w:line="252" w:lineRule="auto"/>
              <w:jc w:val="left"/>
            </w:pPr>
            <w:r/>
            <w:r>
              <w:rPr>
                <w:rFonts w:ascii="Calibri" w:hAnsi="Calibri"/>
                <w:b w:val="0"/>
                <w:color w:val="1F2933"/>
                <w:sz w:val="17"/>
              </w:rPr>
              <w:t>Intake, research, synthesis, facilitation, delivery</w:t>
            </w:r>
          </w:p>
        </w:tc>
      </w:tr>
      <w:tr>
        <w:trPr>
          <w:cantSplit/>
        </w:trPr>
        <w:tc>
          <w:tcPr>
            <w:tcW w:type="dxa" w:w="2600"/>
            <w:shd w:fill="FFFFFF"/>
            <w:vAlign w:val="center"/>
          </w:tcPr>
          <w:p>
            <w:pPr>
              <w:spacing w:after="0" w:before="0" w:line="252" w:lineRule="auto"/>
              <w:jc w:val="left"/>
            </w:pPr>
            <w:r/>
            <w:r>
              <w:rPr>
                <w:rFonts w:ascii="Calibri" w:hAnsi="Calibri"/>
                <w:b w:val="0"/>
                <w:color w:val="1F2933"/>
                <w:sz w:val="17"/>
              </w:rPr>
              <w:t>Community / operations</w:t>
            </w:r>
          </w:p>
        </w:tc>
        <w:tc>
          <w:tcPr>
            <w:tcW w:type="dxa" w:w="2200"/>
            <w:shd w:fill="FFFFFF"/>
            <w:vAlign w:val="center"/>
          </w:tcPr>
          <w:p>
            <w:pPr>
              <w:spacing w:after="0" w:before="0" w:line="252" w:lineRule="auto"/>
              <w:jc w:val="left"/>
            </w:pPr>
            <w:r/>
            <w:r>
              <w:rPr>
                <w:rFonts w:ascii="Calibri" w:hAnsi="Calibri"/>
                <w:b w:val="0"/>
                <w:color w:val="1F2933"/>
                <w:sz w:val="17"/>
              </w:rPr>
              <w:t>$75K</w:t>
            </w:r>
          </w:p>
        </w:tc>
        <w:tc>
          <w:tcPr>
            <w:tcW w:type="dxa" w:w="4560"/>
            <w:shd w:fill="FFFFFF"/>
            <w:vAlign w:val="center"/>
          </w:tcPr>
          <w:p>
            <w:pPr>
              <w:spacing w:after="0" w:before="0" w:line="252" w:lineRule="auto"/>
              <w:jc w:val="left"/>
            </w:pPr>
            <w:r/>
            <w:r>
              <w:rPr>
                <w:rFonts w:ascii="Calibri" w:hAnsi="Calibri"/>
                <w:b w:val="0"/>
                <w:color w:val="1F2933"/>
                <w:sz w:val="17"/>
              </w:rPr>
              <w:t>Events, scheduling, partners, customer operations</w:t>
            </w:r>
          </w:p>
        </w:tc>
      </w:tr>
      <w:tr>
        <w:trPr>
          <w:cantSplit/>
        </w:trPr>
        <w:tc>
          <w:tcPr>
            <w:tcW w:type="dxa" w:w="2600"/>
            <w:shd w:fill="F4F6F9"/>
            <w:vAlign w:val="center"/>
          </w:tcPr>
          <w:p>
            <w:pPr>
              <w:spacing w:after="0" w:before="0" w:line="252" w:lineRule="auto"/>
              <w:jc w:val="left"/>
            </w:pPr>
            <w:r/>
            <w:r>
              <w:rPr>
                <w:rFonts w:ascii="Calibri" w:hAnsi="Calibri"/>
                <w:b w:val="0"/>
                <w:color w:val="1F2933"/>
                <w:sz w:val="17"/>
              </w:rPr>
              <w:t>Prototype specialist, 0.5 FTE</w:t>
            </w:r>
          </w:p>
        </w:tc>
        <w:tc>
          <w:tcPr>
            <w:tcW w:type="dxa" w:w="2200"/>
            <w:shd w:fill="F4F6F9"/>
            <w:vAlign w:val="center"/>
          </w:tcPr>
          <w:p>
            <w:pPr>
              <w:spacing w:after="0" w:before="0" w:line="252" w:lineRule="auto"/>
              <w:jc w:val="left"/>
            </w:pPr>
            <w:r/>
            <w:r>
              <w:rPr>
                <w:rFonts w:ascii="Calibri" w:hAnsi="Calibri"/>
                <w:b w:val="0"/>
                <w:color w:val="1F2933"/>
                <w:sz w:val="17"/>
              </w:rPr>
              <w:t>$90K full-time equivalent</w:t>
            </w:r>
          </w:p>
        </w:tc>
        <w:tc>
          <w:tcPr>
            <w:tcW w:type="dxa" w:w="4560"/>
            <w:shd w:fill="F4F6F9"/>
            <w:vAlign w:val="center"/>
          </w:tcPr>
          <w:p>
            <w:pPr>
              <w:spacing w:after="0" w:before="0" w:line="252" w:lineRule="auto"/>
              <w:jc w:val="left"/>
            </w:pPr>
            <w:r/>
            <w:r>
              <w:rPr>
                <w:rFonts w:ascii="Calibri" w:hAnsi="Calibri"/>
                <w:b w:val="0"/>
                <w:color w:val="1F2933"/>
                <w:sz w:val="17"/>
              </w:rPr>
              <w:t>Mockups, lab workflow, specialist routing</w:t>
            </w:r>
          </w:p>
        </w:tc>
      </w:tr>
      <w:tr>
        <w:trPr>
          <w:cantSplit/>
        </w:trPr>
        <w:tc>
          <w:tcPr>
            <w:tcW w:type="dxa" w:w="2600"/>
            <w:shd w:fill="FFFFFF"/>
            <w:vAlign w:val="center"/>
          </w:tcPr>
          <w:p>
            <w:pPr>
              <w:spacing w:after="0" w:before="0" w:line="252" w:lineRule="auto"/>
              <w:jc w:val="left"/>
            </w:pPr>
            <w:r/>
            <w:r>
              <w:rPr>
                <w:rFonts w:ascii="Calibri" w:hAnsi="Calibri"/>
                <w:b w:val="0"/>
                <w:color w:val="1F2933"/>
                <w:sz w:val="17"/>
              </w:rPr>
              <w:t>Benefits and payroll burden</w:t>
            </w:r>
          </w:p>
        </w:tc>
        <w:tc>
          <w:tcPr>
            <w:tcW w:type="dxa" w:w="2200"/>
            <w:shd w:fill="FFFFFF"/>
            <w:vAlign w:val="center"/>
          </w:tcPr>
          <w:p>
            <w:pPr>
              <w:spacing w:after="0" w:before="0" w:line="252" w:lineRule="auto"/>
              <w:jc w:val="left"/>
            </w:pPr>
            <w:r/>
            <w:r>
              <w:rPr>
                <w:rFonts w:ascii="Calibri" w:hAnsi="Calibri"/>
                <w:b w:val="0"/>
                <w:color w:val="1F2933"/>
                <w:sz w:val="17"/>
              </w:rPr>
              <w:t>20%</w:t>
            </w:r>
          </w:p>
        </w:tc>
        <w:tc>
          <w:tcPr>
            <w:tcW w:type="dxa" w:w="4560"/>
            <w:shd w:fill="FFFFFF"/>
            <w:vAlign w:val="center"/>
          </w:tcPr>
          <w:p>
            <w:pPr>
              <w:spacing w:after="0" w:before="0" w:line="252" w:lineRule="auto"/>
              <w:jc w:val="left"/>
            </w:pPr>
            <w:r/>
            <w:r>
              <w:rPr>
                <w:rFonts w:ascii="Calibri" w:hAnsi="Calibri"/>
                <w:b w:val="0"/>
                <w:color w:val="1F2933"/>
                <w:sz w:val="17"/>
              </w:rPr>
              <w:t>Modeled on salaries</w:t>
            </w:r>
          </w:p>
        </w:tc>
      </w:tr>
    </w:tbl>
    <w:p>
      <w:pPr>
        <w:spacing w:after="0"/>
      </w:pPr>
    </w:p>
    <w:p>
      <w:r>
        <w:rPr>
          <w:i w:val="0"/>
        </w:rPr>
        <w:t>BLS reported May 2024 median pay of $101,190 for management analysts and $76,950 for market research analysts. These are national occupational anchors, not local offers or proof of recruiting supply [S8][S9].</w:t>
      </w:r>
    </w:p>
    <w:p>
      <w:pPr>
        <w:pStyle w:val="Heading2"/>
        <w:keepNext/>
        <w:keepLines/>
      </w:pPr>
      <w:r>
        <w:t>Standard delivery workflow</w:t>
      </w:r>
    </w:p>
    <w:p>
      <w:pPr>
        <w:pStyle w:val="ListBullet"/>
        <w:keepLines/>
        <w:jc w:val="left"/>
      </w:pPr>
      <w:r>
        <w:t>Intake → scope → consent → evidence plan → build → red-team → customer review → exit recommendation → outcome follow-up.</w:t>
      </w:r>
    </w:p>
    <w:p>
      <w:pPr>
        <w:pStyle w:val="ListBullet"/>
        <w:keepLines/>
        <w:jc w:val="left"/>
      </w:pPr>
      <w:r>
        <w:t>Every deliverable carries a version, owner, source log, assumptions, unresolved questions, and human approver.</w:t>
      </w:r>
    </w:p>
    <w:p>
      <w:pPr>
        <w:pStyle w:val="ListBullet"/>
        <w:keepLines/>
        <w:jc w:val="left"/>
      </w:pPr>
      <w:r>
        <w:t>Utilization is measured on paid client delivery hours; coaching, training, sales, R&amp;D, and quality review are planned separately.</w:t>
      </w:r>
    </w:p>
    <w:p>
      <w:pPr>
        <w:pStyle w:val="ListBullet"/>
        <w:keepLines/>
        <w:jc w:val="left"/>
      </w:pPr>
      <w:r>
        <w:t>No employee is paid based on investment dollars raised or securities transactions without specialized legal approval.</w:t>
      </w:r>
    </w:p>
    <w:p>
      <w:r>
        <w:br w:type="page"/>
      </w:r>
    </w:p>
    <w:p>
      <w:pPr>
        <w:spacing w:after="40"/>
      </w:pPr>
      <w:r>
        <w:rPr>
          <w:b/>
          <w:color w:val="238295"/>
          <w:sz w:val="17"/>
        </w:rPr>
        <w:t>HOW THE WORK SHOULD BE GOVERNED</w:t>
      </w:r>
    </w:p>
    <w:p>
      <w:pPr>
        <w:pStyle w:val="Heading1"/>
        <w:keepNext/>
        <w:keepLines/>
      </w:pPr>
      <w:r>
        <w:t>09  Agentic roles and project skills</w:t>
      </w:r>
    </w:p>
    <w:tbl>
      <w:tblPr>
        <w:tblW w:type="dxa" w:w="9360"/>
        <w:jc w:val="left"/>
        <w:tblLayout w:type="fixed"/>
        <w:tblLook w:firstColumn="1" w:firstRow="1" w:lastColumn="0" w:lastRow="0" w:noHBand="0" w:noVBand="1" w:val="04A0"/>
        <w:tblInd w:w="0" w:type="dxa"/>
      </w:tblPr>
      <w:tblGrid>
        <w:gridCol w:w="2550"/>
        <w:gridCol w:w="3300"/>
        <w:gridCol w:w="3510"/>
      </w:tblGrid>
      <w:tr>
        <w:trPr>
          <w:tblHeader w:val="true"/>
          <w:cantSplit/>
        </w:trPr>
        <w:tc>
          <w:tcPr>
            <w:tcW w:type="dxa" w:w="255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Assigned role</w:t>
            </w:r>
          </w:p>
        </w:tc>
        <w:tc>
          <w:tcPr>
            <w:tcW w:type="dxa" w:w="330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Core skills</w:t>
            </w:r>
          </w:p>
        </w:tc>
        <w:tc>
          <w:tcPr>
            <w:tcW w:type="dxa" w:w="351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Decision/output</w:t>
            </w:r>
          </w:p>
        </w:tc>
      </w:tr>
      <w:tr>
        <w:trPr>
          <w:cantSplit/>
        </w:trPr>
        <w:tc>
          <w:tcPr>
            <w:tcW w:type="dxa" w:w="2550"/>
            <w:shd w:fill="FFFFFF"/>
            <w:vAlign w:val="center"/>
          </w:tcPr>
          <w:p>
            <w:pPr>
              <w:spacing w:after="0" w:before="0" w:line="252" w:lineRule="auto"/>
              <w:jc w:val="left"/>
            </w:pPr>
            <w:r/>
            <w:r>
              <w:rPr>
                <w:rFonts w:ascii="Calibri" w:hAnsi="Calibri"/>
                <w:b w:val="0"/>
                <w:color w:val="1F2933"/>
                <w:sz w:val="15"/>
              </w:rPr>
              <w:t>Managing Partner / IC Lead</w:t>
            </w:r>
          </w:p>
        </w:tc>
        <w:tc>
          <w:tcPr>
            <w:tcW w:type="dxa" w:w="3300"/>
            <w:shd w:fill="FFFFFF"/>
            <w:vAlign w:val="center"/>
          </w:tcPr>
          <w:p>
            <w:pPr>
              <w:spacing w:after="0" w:before="0" w:line="252" w:lineRule="auto"/>
              <w:jc w:val="left"/>
            </w:pPr>
            <w:r/>
            <w:r>
              <w:rPr>
                <w:rFonts w:ascii="Calibri" w:hAnsi="Calibri"/>
                <w:b w:val="0"/>
                <w:color w:val="1F2933"/>
                <w:sz w:val="15"/>
              </w:rPr>
              <w:t>strategy, synthesis, stage gates</w:t>
            </w:r>
          </w:p>
        </w:tc>
        <w:tc>
          <w:tcPr>
            <w:tcW w:type="dxa" w:w="3510"/>
            <w:shd w:fill="FFFFFF"/>
            <w:vAlign w:val="center"/>
          </w:tcPr>
          <w:p>
            <w:pPr>
              <w:spacing w:after="0" w:before="0" w:line="252" w:lineRule="auto"/>
              <w:jc w:val="left"/>
            </w:pPr>
            <w:r/>
            <w:r>
              <w:rPr>
                <w:rFonts w:ascii="Calibri" w:hAnsi="Calibri"/>
                <w:b w:val="0"/>
                <w:color w:val="1F2933"/>
                <w:sz w:val="15"/>
              </w:rPr>
              <w:t>Go/no-go and capital sequence</w:t>
            </w:r>
          </w:p>
        </w:tc>
      </w:tr>
      <w:tr>
        <w:trPr>
          <w:cantSplit/>
        </w:trPr>
        <w:tc>
          <w:tcPr>
            <w:tcW w:type="dxa" w:w="2550"/>
            <w:shd w:fill="F4F6F9"/>
            <w:vAlign w:val="center"/>
          </w:tcPr>
          <w:p>
            <w:pPr>
              <w:spacing w:after="0" w:before="0" w:line="252" w:lineRule="auto"/>
              <w:jc w:val="left"/>
            </w:pPr>
            <w:r/>
            <w:r>
              <w:rPr>
                <w:rFonts w:ascii="Calibri" w:hAnsi="Calibri"/>
                <w:b w:val="0"/>
                <w:color w:val="1F2933"/>
                <w:sz w:val="15"/>
              </w:rPr>
              <w:t>Venture Architect</w:t>
            </w:r>
          </w:p>
        </w:tc>
        <w:tc>
          <w:tcPr>
            <w:tcW w:type="dxa" w:w="3300"/>
            <w:shd w:fill="F4F6F9"/>
            <w:vAlign w:val="center"/>
          </w:tcPr>
          <w:p>
            <w:pPr>
              <w:spacing w:after="0" w:before="0" w:line="252" w:lineRule="auto"/>
              <w:jc w:val="left"/>
            </w:pPr>
            <w:r/>
            <w:r>
              <w:rPr>
                <w:rFonts w:ascii="Calibri" w:hAnsi="Calibri"/>
                <w:b w:val="0"/>
                <w:color w:val="1F2933"/>
                <w:sz w:val="15"/>
              </w:rPr>
              <w:t>business model, offer design, experimentation</w:t>
            </w:r>
          </w:p>
        </w:tc>
        <w:tc>
          <w:tcPr>
            <w:tcW w:type="dxa" w:w="3510"/>
            <w:shd w:fill="F4F6F9"/>
            <w:vAlign w:val="center"/>
          </w:tcPr>
          <w:p>
            <w:pPr>
              <w:spacing w:after="0" w:before="0" w:line="252" w:lineRule="auto"/>
              <w:jc w:val="left"/>
            </w:pPr>
            <w:r/>
            <w:r>
              <w:rPr>
                <w:rFonts w:ascii="Calibri" w:hAnsi="Calibri"/>
                <w:b w:val="0"/>
                <w:color w:val="1F2933"/>
                <w:sz w:val="15"/>
              </w:rPr>
              <w:t>Service ladder and validation plan</w:t>
            </w:r>
          </w:p>
        </w:tc>
      </w:tr>
      <w:tr>
        <w:trPr>
          <w:cantSplit/>
        </w:trPr>
        <w:tc>
          <w:tcPr>
            <w:tcW w:type="dxa" w:w="2550"/>
            <w:shd w:fill="FFFFFF"/>
            <w:vAlign w:val="center"/>
          </w:tcPr>
          <w:p>
            <w:pPr>
              <w:spacing w:after="0" w:before="0" w:line="252" w:lineRule="auto"/>
              <w:jc w:val="left"/>
            </w:pPr>
            <w:r/>
            <w:r>
              <w:rPr>
                <w:rFonts w:ascii="Calibri" w:hAnsi="Calibri"/>
                <w:b w:val="0"/>
                <w:color w:val="1F2933"/>
                <w:sz w:val="15"/>
              </w:rPr>
              <w:t>Market Research Lead</w:t>
            </w:r>
          </w:p>
        </w:tc>
        <w:tc>
          <w:tcPr>
            <w:tcW w:type="dxa" w:w="3300"/>
            <w:shd w:fill="FFFFFF"/>
            <w:vAlign w:val="center"/>
          </w:tcPr>
          <w:p>
            <w:pPr>
              <w:spacing w:after="0" w:before="0" w:line="252" w:lineRule="auto"/>
              <w:jc w:val="left"/>
            </w:pPr>
            <w:r/>
            <w:r>
              <w:rPr>
                <w:rFonts w:ascii="Calibri" w:hAnsi="Calibri"/>
                <w:b w:val="0"/>
                <w:color w:val="1F2933"/>
                <w:sz w:val="15"/>
              </w:rPr>
              <w:t>primary-source research, segmentation, competitor mapping</w:t>
            </w:r>
          </w:p>
        </w:tc>
        <w:tc>
          <w:tcPr>
            <w:tcW w:type="dxa" w:w="3510"/>
            <w:shd w:fill="FFFFFF"/>
            <w:vAlign w:val="center"/>
          </w:tcPr>
          <w:p>
            <w:pPr>
              <w:spacing w:after="0" w:before="0" w:line="252" w:lineRule="auto"/>
              <w:jc w:val="left"/>
            </w:pPr>
            <w:r/>
            <w:r>
              <w:rPr>
                <w:rFonts w:ascii="Calibri" w:hAnsi="Calibri"/>
                <w:b w:val="0"/>
                <w:color w:val="1F2933"/>
                <w:sz w:val="15"/>
              </w:rPr>
              <w:t>Evidence register and beachhead</w:t>
            </w:r>
          </w:p>
        </w:tc>
      </w:tr>
      <w:tr>
        <w:trPr>
          <w:cantSplit/>
        </w:trPr>
        <w:tc>
          <w:tcPr>
            <w:tcW w:type="dxa" w:w="2550"/>
            <w:shd w:fill="F4F6F9"/>
            <w:vAlign w:val="center"/>
          </w:tcPr>
          <w:p>
            <w:pPr>
              <w:spacing w:after="0" w:before="0" w:line="252" w:lineRule="auto"/>
              <w:jc w:val="left"/>
            </w:pPr>
            <w:r/>
            <w:r>
              <w:rPr>
                <w:rFonts w:ascii="Calibri" w:hAnsi="Calibri"/>
                <w:b w:val="0"/>
                <w:color w:val="1F2933"/>
                <w:sz w:val="15"/>
              </w:rPr>
              <w:t>Retail Experience &amp; Operations Lead</w:t>
            </w:r>
          </w:p>
        </w:tc>
        <w:tc>
          <w:tcPr>
            <w:tcW w:type="dxa" w:w="3300"/>
            <w:shd w:fill="F4F6F9"/>
            <w:vAlign w:val="center"/>
          </w:tcPr>
          <w:p>
            <w:pPr>
              <w:spacing w:after="0" w:before="0" w:line="252" w:lineRule="auto"/>
              <w:jc w:val="left"/>
            </w:pPr>
            <w:r/>
            <w:r>
              <w:rPr>
                <w:rFonts w:ascii="Calibri" w:hAnsi="Calibri"/>
                <w:b w:val="0"/>
                <w:color w:val="1F2933"/>
                <w:sz w:val="15"/>
              </w:rPr>
              <w:t>service design, staffing, site operations</w:t>
            </w:r>
          </w:p>
        </w:tc>
        <w:tc>
          <w:tcPr>
            <w:tcW w:type="dxa" w:w="3510"/>
            <w:shd w:fill="F4F6F9"/>
            <w:vAlign w:val="center"/>
          </w:tcPr>
          <w:p>
            <w:pPr>
              <w:spacing w:after="0" w:before="0" w:line="252" w:lineRule="auto"/>
              <w:jc w:val="left"/>
            </w:pPr>
            <w:r/>
            <w:r>
              <w:rPr>
                <w:rFonts w:ascii="Calibri" w:hAnsi="Calibri"/>
                <w:b w:val="0"/>
                <w:color w:val="1F2933"/>
                <w:sz w:val="15"/>
              </w:rPr>
              <w:t>Journey, footprint, SOPs</w:t>
            </w:r>
          </w:p>
        </w:tc>
      </w:tr>
      <w:tr>
        <w:trPr>
          <w:cantSplit/>
        </w:trPr>
        <w:tc>
          <w:tcPr>
            <w:tcW w:type="dxa" w:w="2550"/>
            <w:shd w:fill="FFFFFF"/>
            <w:vAlign w:val="center"/>
          </w:tcPr>
          <w:p>
            <w:pPr>
              <w:spacing w:after="0" w:before="0" w:line="252" w:lineRule="auto"/>
              <w:jc w:val="left"/>
            </w:pPr>
            <w:r/>
            <w:r>
              <w:rPr>
                <w:rFonts w:ascii="Calibri" w:hAnsi="Calibri"/>
                <w:b w:val="0"/>
                <w:color w:val="1F2933"/>
                <w:sz w:val="15"/>
              </w:rPr>
              <w:t>Financial Modeling &amp; Feasibility Lead</w:t>
            </w:r>
          </w:p>
        </w:tc>
        <w:tc>
          <w:tcPr>
            <w:tcW w:type="dxa" w:w="3300"/>
            <w:shd w:fill="FFFFFF"/>
            <w:vAlign w:val="center"/>
          </w:tcPr>
          <w:p>
            <w:pPr>
              <w:spacing w:after="0" w:before="0" w:line="252" w:lineRule="auto"/>
              <w:jc w:val="left"/>
            </w:pPr>
            <w:r/>
            <w:r>
              <w:rPr>
                <w:rFonts w:ascii="Calibri" w:hAnsi="Calibri"/>
                <w:b w:val="0"/>
                <w:color w:val="1F2933"/>
                <w:sz w:val="15"/>
              </w:rPr>
              <w:t>unit economics, scenarios, cash planning</w:t>
            </w:r>
          </w:p>
        </w:tc>
        <w:tc>
          <w:tcPr>
            <w:tcW w:type="dxa" w:w="3510"/>
            <w:shd w:fill="FFFFFF"/>
            <w:vAlign w:val="center"/>
          </w:tcPr>
          <w:p>
            <w:pPr>
              <w:spacing w:after="0" w:before="0" w:line="252" w:lineRule="auto"/>
              <w:jc w:val="left"/>
            </w:pPr>
            <w:r/>
            <w:r>
              <w:rPr>
                <w:rFonts w:ascii="Calibri" w:hAnsi="Calibri"/>
                <w:b w:val="0"/>
                <w:color w:val="1F2933"/>
                <w:sz w:val="15"/>
              </w:rPr>
              <w:t>Five-year model and checks</w:t>
            </w:r>
          </w:p>
        </w:tc>
      </w:tr>
      <w:tr>
        <w:trPr>
          <w:cantSplit/>
        </w:trPr>
        <w:tc>
          <w:tcPr>
            <w:tcW w:type="dxa" w:w="2550"/>
            <w:shd w:fill="F4F6F9"/>
            <w:vAlign w:val="center"/>
          </w:tcPr>
          <w:p>
            <w:pPr>
              <w:spacing w:after="0" w:before="0" w:line="252" w:lineRule="auto"/>
              <w:jc w:val="left"/>
            </w:pPr>
            <w:r/>
            <w:r>
              <w:rPr>
                <w:rFonts w:ascii="Calibri" w:hAnsi="Calibri"/>
                <w:b w:val="0"/>
                <w:color w:val="1F2933"/>
                <w:sz w:val="15"/>
              </w:rPr>
              <w:t>Product &amp; AI Systems Architect</w:t>
            </w:r>
          </w:p>
        </w:tc>
        <w:tc>
          <w:tcPr>
            <w:tcW w:type="dxa" w:w="3300"/>
            <w:shd w:fill="F4F6F9"/>
            <w:vAlign w:val="center"/>
          </w:tcPr>
          <w:p>
            <w:pPr>
              <w:spacing w:after="0" w:before="0" w:line="252" w:lineRule="auto"/>
              <w:jc w:val="left"/>
            </w:pPr>
            <w:r/>
            <w:r>
              <w:rPr>
                <w:rFonts w:ascii="Calibri" w:hAnsi="Calibri"/>
                <w:b w:val="0"/>
                <w:color w:val="1F2933"/>
                <w:sz w:val="15"/>
              </w:rPr>
              <w:t>workflow, data governance, tooling, provenance</w:t>
            </w:r>
          </w:p>
        </w:tc>
        <w:tc>
          <w:tcPr>
            <w:tcW w:type="dxa" w:w="3510"/>
            <w:shd w:fill="F4F6F9"/>
            <w:vAlign w:val="center"/>
          </w:tcPr>
          <w:p>
            <w:pPr>
              <w:spacing w:after="0" w:before="0" w:line="252" w:lineRule="auto"/>
              <w:jc w:val="left"/>
            </w:pPr>
            <w:r/>
            <w:r>
              <w:rPr>
                <w:rFonts w:ascii="Calibri" w:hAnsi="Calibri"/>
                <w:b w:val="0"/>
                <w:color w:val="1F2933"/>
                <w:sz w:val="15"/>
              </w:rPr>
              <w:t>Secure human-in-the-loop platform</w:t>
            </w:r>
          </w:p>
        </w:tc>
      </w:tr>
      <w:tr>
        <w:trPr>
          <w:cantSplit/>
        </w:trPr>
        <w:tc>
          <w:tcPr>
            <w:tcW w:type="dxa" w:w="2550"/>
            <w:shd w:fill="FFFFFF"/>
            <w:vAlign w:val="center"/>
          </w:tcPr>
          <w:p>
            <w:pPr>
              <w:spacing w:after="0" w:before="0" w:line="252" w:lineRule="auto"/>
              <w:jc w:val="left"/>
            </w:pPr>
            <w:r/>
            <w:r>
              <w:rPr>
                <w:rFonts w:ascii="Calibri" w:hAnsi="Calibri"/>
                <w:b w:val="0"/>
                <w:color w:val="1F2933"/>
                <w:sz w:val="15"/>
              </w:rPr>
              <w:t>Risk/IP/Regulatory Workstream Lead</w:t>
            </w:r>
          </w:p>
        </w:tc>
        <w:tc>
          <w:tcPr>
            <w:tcW w:type="dxa" w:w="3300"/>
            <w:shd w:fill="FFFFFF"/>
            <w:vAlign w:val="center"/>
          </w:tcPr>
          <w:p>
            <w:pPr>
              <w:spacing w:after="0" w:before="0" w:line="252" w:lineRule="auto"/>
              <w:jc w:val="left"/>
            </w:pPr>
            <w:r/>
            <w:r>
              <w:rPr>
                <w:rFonts w:ascii="Calibri" w:hAnsi="Calibri"/>
                <w:b w:val="0"/>
                <w:color w:val="1F2933"/>
                <w:sz w:val="15"/>
              </w:rPr>
              <w:t>issue spotting, control design, specialist routing</w:t>
            </w:r>
          </w:p>
        </w:tc>
        <w:tc>
          <w:tcPr>
            <w:tcW w:type="dxa" w:w="3510"/>
            <w:shd w:fill="FFFFFF"/>
            <w:vAlign w:val="center"/>
          </w:tcPr>
          <w:p>
            <w:pPr>
              <w:spacing w:after="0" w:before="0" w:line="252" w:lineRule="auto"/>
              <w:jc w:val="left"/>
            </w:pPr>
            <w:r/>
            <w:r>
              <w:rPr>
                <w:rFonts w:ascii="Calibri" w:hAnsi="Calibri"/>
                <w:b w:val="0"/>
                <w:color w:val="1F2933"/>
                <w:sz w:val="15"/>
              </w:rPr>
              <w:t>Risk register and counsel briefs</w:t>
            </w:r>
          </w:p>
        </w:tc>
      </w:tr>
      <w:tr>
        <w:trPr>
          <w:cantSplit/>
        </w:trPr>
        <w:tc>
          <w:tcPr>
            <w:tcW w:type="dxa" w:w="2550"/>
            <w:shd w:fill="F4F6F9"/>
            <w:vAlign w:val="center"/>
          </w:tcPr>
          <w:p>
            <w:pPr>
              <w:spacing w:after="0" w:before="0" w:line="252" w:lineRule="auto"/>
              <w:jc w:val="left"/>
            </w:pPr>
            <w:r/>
            <w:r>
              <w:rPr>
                <w:rFonts w:ascii="Calibri" w:hAnsi="Calibri"/>
                <w:b w:val="0"/>
                <w:color w:val="1F2933"/>
                <w:sz w:val="15"/>
              </w:rPr>
              <w:t>Brand &amp; CX Strategist</w:t>
            </w:r>
          </w:p>
        </w:tc>
        <w:tc>
          <w:tcPr>
            <w:tcW w:type="dxa" w:w="3300"/>
            <w:shd w:fill="F4F6F9"/>
            <w:vAlign w:val="center"/>
          </w:tcPr>
          <w:p>
            <w:pPr>
              <w:spacing w:after="0" w:before="0" w:line="252" w:lineRule="auto"/>
              <w:jc w:val="left"/>
            </w:pPr>
            <w:r/>
            <w:r>
              <w:rPr>
                <w:rFonts w:ascii="Calibri" w:hAnsi="Calibri"/>
                <w:b w:val="0"/>
                <w:color w:val="1F2933"/>
                <w:sz w:val="15"/>
              </w:rPr>
              <w:t>naming, positioning, retail communication</w:t>
            </w:r>
          </w:p>
        </w:tc>
        <w:tc>
          <w:tcPr>
            <w:tcW w:type="dxa" w:w="3510"/>
            <w:shd w:fill="F4F6F9"/>
            <w:vAlign w:val="center"/>
          </w:tcPr>
          <w:p>
            <w:pPr>
              <w:spacing w:after="0" w:before="0" w:line="252" w:lineRule="auto"/>
              <w:jc w:val="left"/>
            </w:pPr>
            <w:r/>
            <w:r>
              <w:rPr>
                <w:rFonts w:ascii="Calibri" w:hAnsi="Calibri"/>
                <w:b w:val="0"/>
                <w:color w:val="1F2933"/>
                <w:sz w:val="15"/>
              </w:rPr>
              <w:t>Name test and messaging</w:t>
            </w:r>
          </w:p>
        </w:tc>
      </w:tr>
      <w:tr>
        <w:trPr>
          <w:cantSplit/>
        </w:trPr>
        <w:tc>
          <w:tcPr>
            <w:tcW w:type="dxa" w:w="2550"/>
            <w:shd w:fill="FFFFFF"/>
            <w:vAlign w:val="center"/>
          </w:tcPr>
          <w:p>
            <w:pPr>
              <w:spacing w:after="0" w:before="0" w:line="252" w:lineRule="auto"/>
              <w:jc w:val="left"/>
            </w:pPr>
            <w:r/>
            <w:r>
              <w:rPr>
                <w:rFonts w:ascii="Calibri" w:hAnsi="Calibri"/>
                <w:b w:val="0"/>
                <w:color w:val="1F2933"/>
                <w:sz w:val="15"/>
              </w:rPr>
              <w:t>Evidence &amp; Deliverable Steward</w:t>
            </w:r>
          </w:p>
        </w:tc>
        <w:tc>
          <w:tcPr>
            <w:tcW w:type="dxa" w:w="3300"/>
            <w:shd w:fill="FFFFFF"/>
            <w:vAlign w:val="center"/>
          </w:tcPr>
          <w:p>
            <w:pPr>
              <w:spacing w:after="0" w:before="0" w:line="252" w:lineRule="auto"/>
              <w:jc w:val="left"/>
            </w:pPr>
            <w:r/>
            <w:r>
              <w:rPr>
                <w:rFonts w:ascii="Calibri" w:hAnsi="Calibri"/>
                <w:b w:val="0"/>
                <w:color w:val="1F2933"/>
                <w:sz w:val="15"/>
              </w:rPr>
              <w:t>versioning, QA, source hygiene</w:t>
            </w:r>
          </w:p>
        </w:tc>
        <w:tc>
          <w:tcPr>
            <w:tcW w:type="dxa" w:w="3510"/>
            <w:shd w:fill="FFFFFF"/>
            <w:vAlign w:val="center"/>
          </w:tcPr>
          <w:p>
            <w:pPr>
              <w:spacing w:after="0" w:before="0" w:line="252" w:lineRule="auto"/>
              <w:jc w:val="left"/>
            </w:pPr>
            <w:r/>
            <w:r>
              <w:rPr>
                <w:rFonts w:ascii="Calibri" w:hAnsi="Calibri"/>
                <w:b w:val="0"/>
                <w:color w:val="1F2933"/>
                <w:sz w:val="15"/>
              </w:rPr>
              <w:t>Decision-ready artifact set</w:t>
            </w:r>
          </w:p>
        </w:tc>
      </w:tr>
    </w:tbl>
    <w:p>
      <w:pPr>
        <w:spacing w:after="0"/>
      </w:pP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E87942"/>
          </w:tcPr>
          <w:p>
            <w:pPr>
              <w:spacing w:after="0" w:before="0" w:line="252" w:lineRule="auto"/>
              <w:jc w:val="left"/>
            </w:pPr>
            <w:r/>
            <w:r>
              <w:rPr>
                <w:rFonts w:ascii="Calibri" w:hAnsi="Calibri"/>
                <w:b/>
                <w:color w:val="FFFFFF"/>
                <w:sz w:val="19"/>
              </w:rPr>
              <w:t>REQUIRED EXTERNAL SPECIALISTS</w:t>
            </w:r>
          </w:p>
        </w:tc>
      </w:tr>
      <w:tr>
        <w:trPr>
          <w:cantSplit/>
        </w:trPr>
        <w:tc>
          <w:tcPr>
            <w:tcW w:type="dxa" w:w="9360"/>
            <w:tcMar>
              <w:top w:w="80" w:type="dxa"/>
              <w:start w:w="120" w:type="dxa"/>
              <w:bottom w:w="80" w:type="dxa"/>
              <w:end w:w="120" w:type="dxa"/>
            </w:tcMar>
            <w:shd w:fill="FFF2C6"/>
          </w:tcPr>
          <w:p>
            <w:pPr>
              <w:spacing w:after="40" w:before="0" w:line="252" w:lineRule="auto"/>
              <w:jc w:val="left"/>
            </w:pPr>
            <w:r/>
            <w:r>
              <w:rPr>
                <w:rFonts w:ascii="Calibri" w:hAnsi="Calibri"/>
                <w:b w:val="0"/>
                <w:color w:val="1F2933"/>
                <w:sz w:val="20"/>
              </w:rPr>
              <w:t>Startup/securities counsel, IP counsel, privacy/security counsel, CPA/tax adviser, commercial real-estate broker, architect/contractor, insurance broker, and—in later phases—an SEC-registered intermediary. Agentic work prepares evidence and briefs; it does not replace licensed advice.</w:t>
            </w:r>
          </w:p>
        </w:tc>
      </w:tr>
    </w:tbl>
    <w:p>
      <w:pPr>
        <w:spacing w:after="0"/>
      </w:pPr>
    </w:p>
    <w:p>
      <w:pPr>
        <w:pStyle w:val="Heading2"/>
        <w:keepNext/>
        <w:keepLines/>
      </w:pPr>
      <w:r>
        <w:t>Decision rules</w:t>
      </w:r>
    </w:p>
    <w:p>
      <w:pPr>
        <w:pStyle w:val="ListBullet"/>
        <w:keepLines/>
        <w:jc w:val="left"/>
      </w:pPr>
      <w:r>
        <w:t>Source intent is preserved; assistant-generated additions remain hypotheses until approved or validated.</w:t>
      </w:r>
    </w:p>
    <w:p>
      <w:pPr>
        <w:pStyle w:val="ListBullet"/>
        <w:keepLines/>
        <w:jc w:val="left"/>
      </w:pPr>
      <w:r>
        <w:t>Primary sources outrank market-size marketing pages and unattributed benchmarks.</w:t>
      </w:r>
    </w:p>
    <w:p>
      <w:pPr>
        <w:pStyle w:val="ListBullet"/>
        <w:keepLines/>
        <w:jc w:val="left"/>
      </w:pPr>
      <w:r>
        <w:t>Financial inputs are editable assumptions; formulas, checks, and source notes are visible.</w:t>
      </w:r>
    </w:p>
    <w:p>
      <w:pPr>
        <w:pStyle w:val="ListBullet"/>
        <w:keepLines/>
        <w:jc w:val="left"/>
      </w:pPr>
      <w:r>
        <w:t>No downstream funding or expansion stage may hide upstream service-economics failure.</w:t>
      </w:r>
    </w:p>
    <w:p>
      <w:r>
        <w:br w:type="page"/>
      </w:r>
    </w:p>
    <w:p>
      <w:pPr>
        <w:spacing w:after="40"/>
      </w:pPr>
      <w:r>
        <w:rPr>
          <w:b/>
          <w:color w:val="238295"/>
          <w:sz w:val="17"/>
        </w:rPr>
        <w:t>TRUST IS PART OF THE PRODUCT</w:t>
      </w:r>
    </w:p>
    <w:p>
      <w:pPr>
        <w:pStyle w:val="Heading1"/>
        <w:keepNext/>
        <w:keepLines/>
      </w:pPr>
      <w:r>
        <w:t>10  AI, data, and intellectual-property architecture</w:t>
      </w:r>
    </w:p>
    <w:p>
      <w:r>
        <w:rPr>
          <w:i w:val="0"/>
        </w:rPr>
        <w:t>The safest initial architecture is a controlled service workspace, not a customer-facing autonomous “idea engine.” Human practitioners select tools, document sources and assumptions, and approve customer deliverables. The NIST AI Risk Management Framework provides a voluntary structure for managing AI risks and should inform governance [S10].</w:t>
      </w:r>
    </w:p>
    <w:tbl>
      <w:tblPr>
        <w:tblW w:type="dxa" w:w="9360"/>
        <w:jc w:val="left"/>
        <w:tblLayout w:type="fixed"/>
        <w:tblLook w:firstColumn="1" w:firstRow="1" w:lastColumn="0" w:lastRow="0" w:noHBand="0" w:noVBand="1" w:val="04A0"/>
        <w:tblInd w:w="0" w:type="dxa"/>
      </w:tblPr>
      <w:tblGrid>
        <w:gridCol w:w="2300"/>
        <w:gridCol w:w="7060"/>
      </w:tblGrid>
      <w:tr>
        <w:trPr>
          <w:tblHeader w:val="true"/>
          <w:cantSplit/>
        </w:trPr>
        <w:tc>
          <w:tcPr>
            <w:tcW w:type="dxa" w:w="23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Control domain</w:t>
            </w:r>
          </w:p>
        </w:tc>
        <w:tc>
          <w:tcPr>
            <w:tcW w:type="dxa" w:w="70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Minimum launch control</w:t>
            </w:r>
          </w:p>
        </w:tc>
      </w:tr>
      <w:tr>
        <w:trPr>
          <w:cantSplit/>
        </w:trPr>
        <w:tc>
          <w:tcPr>
            <w:tcW w:type="dxa" w:w="2300"/>
            <w:shd w:fill="FFFFFF"/>
            <w:vAlign w:val="center"/>
          </w:tcPr>
          <w:p>
            <w:pPr>
              <w:spacing w:after="0" w:before="0" w:line="252" w:lineRule="auto"/>
              <w:jc w:val="left"/>
            </w:pPr>
            <w:r/>
            <w:r>
              <w:rPr>
                <w:rFonts w:ascii="Calibri" w:hAnsi="Calibri"/>
                <w:b w:val="0"/>
                <w:color w:val="1F2933"/>
                <w:sz w:val="16"/>
              </w:rPr>
              <w:t>Consent</w:t>
            </w:r>
          </w:p>
        </w:tc>
        <w:tc>
          <w:tcPr>
            <w:tcW w:type="dxa" w:w="7060"/>
            <w:shd w:fill="FFFFFF"/>
            <w:vAlign w:val="center"/>
          </w:tcPr>
          <w:p>
            <w:pPr>
              <w:spacing w:after="0" w:before="0" w:line="252" w:lineRule="auto"/>
              <w:jc w:val="left"/>
            </w:pPr>
            <w:r/>
            <w:r>
              <w:rPr>
                <w:rFonts w:ascii="Calibri" w:hAnsi="Calibri"/>
                <w:b w:val="0"/>
                <w:color w:val="1F2933"/>
                <w:sz w:val="16"/>
              </w:rPr>
              <w:t>Separate confidentiality agreement, service terms, and explicit AI-processing choices</w:t>
            </w:r>
          </w:p>
        </w:tc>
      </w:tr>
      <w:tr>
        <w:trPr>
          <w:cantSplit/>
        </w:trPr>
        <w:tc>
          <w:tcPr>
            <w:tcW w:type="dxa" w:w="2300"/>
            <w:shd w:fill="F4F6F9"/>
            <w:vAlign w:val="center"/>
          </w:tcPr>
          <w:p>
            <w:pPr>
              <w:spacing w:after="0" w:before="0" w:line="252" w:lineRule="auto"/>
              <w:jc w:val="left"/>
            </w:pPr>
            <w:r/>
            <w:r>
              <w:rPr>
                <w:rFonts w:ascii="Calibri" w:hAnsi="Calibri"/>
                <w:b w:val="0"/>
                <w:color w:val="1F2933"/>
                <w:sz w:val="16"/>
              </w:rPr>
              <w:t>Data classification</w:t>
            </w:r>
          </w:p>
        </w:tc>
        <w:tc>
          <w:tcPr>
            <w:tcW w:type="dxa" w:w="7060"/>
            <w:shd w:fill="F4F6F9"/>
            <w:vAlign w:val="center"/>
          </w:tcPr>
          <w:p>
            <w:pPr>
              <w:spacing w:after="0" w:before="0" w:line="252" w:lineRule="auto"/>
              <w:jc w:val="left"/>
            </w:pPr>
            <w:r/>
            <w:r>
              <w:rPr>
                <w:rFonts w:ascii="Calibri" w:hAnsi="Calibri"/>
                <w:b w:val="0"/>
                <w:color w:val="1F2933"/>
                <w:sz w:val="16"/>
              </w:rPr>
              <w:t>Public, internal, confidential, highly restricted; prohibited data categories defined</w:t>
            </w:r>
          </w:p>
        </w:tc>
      </w:tr>
      <w:tr>
        <w:trPr>
          <w:cantSplit/>
        </w:trPr>
        <w:tc>
          <w:tcPr>
            <w:tcW w:type="dxa" w:w="2300"/>
            <w:shd w:fill="FFFFFF"/>
            <w:vAlign w:val="center"/>
          </w:tcPr>
          <w:p>
            <w:pPr>
              <w:spacing w:after="0" w:before="0" w:line="252" w:lineRule="auto"/>
              <w:jc w:val="left"/>
            </w:pPr>
            <w:r/>
            <w:r>
              <w:rPr>
                <w:rFonts w:ascii="Calibri" w:hAnsi="Calibri"/>
                <w:b w:val="0"/>
                <w:color w:val="1F2933"/>
                <w:sz w:val="16"/>
              </w:rPr>
              <w:t>Model access</w:t>
            </w:r>
          </w:p>
        </w:tc>
        <w:tc>
          <w:tcPr>
            <w:tcW w:type="dxa" w:w="7060"/>
            <w:shd w:fill="FFFFFF"/>
            <w:vAlign w:val="center"/>
          </w:tcPr>
          <w:p>
            <w:pPr>
              <w:spacing w:after="0" w:before="0" w:line="252" w:lineRule="auto"/>
              <w:jc w:val="left"/>
            </w:pPr>
            <w:r/>
            <w:r>
              <w:rPr>
                <w:rFonts w:ascii="Calibri" w:hAnsi="Calibri"/>
                <w:b w:val="0"/>
                <w:color w:val="1F2933"/>
                <w:sz w:val="16"/>
              </w:rPr>
              <w:t>Approved enterprise/API tools; training on customer data disabled where contractually available</w:t>
            </w:r>
          </w:p>
        </w:tc>
      </w:tr>
      <w:tr>
        <w:trPr>
          <w:cantSplit/>
        </w:trPr>
        <w:tc>
          <w:tcPr>
            <w:tcW w:type="dxa" w:w="2300"/>
            <w:shd w:fill="F4F6F9"/>
            <w:vAlign w:val="center"/>
          </w:tcPr>
          <w:p>
            <w:pPr>
              <w:spacing w:after="0" w:before="0" w:line="252" w:lineRule="auto"/>
              <w:jc w:val="left"/>
            </w:pPr>
            <w:r/>
            <w:r>
              <w:rPr>
                <w:rFonts w:ascii="Calibri" w:hAnsi="Calibri"/>
                <w:b w:val="0"/>
                <w:color w:val="1F2933"/>
                <w:sz w:val="16"/>
              </w:rPr>
              <w:t>Access</w:t>
            </w:r>
          </w:p>
        </w:tc>
        <w:tc>
          <w:tcPr>
            <w:tcW w:type="dxa" w:w="7060"/>
            <w:shd w:fill="F4F6F9"/>
            <w:vAlign w:val="center"/>
          </w:tcPr>
          <w:p>
            <w:pPr>
              <w:spacing w:after="0" w:before="0" w:line="252" w:lineRule="auto"/>
              <w:jc w:val="left"/>
            </w:pPr>
            <w:r/>
            <w:r>
              <w:rPr>
                <w:rFonts w:ascii="Calibri" w:hAnsi="Calibri"/>
                <w:b w:val="0"/>
                <w:color w:val="1F2933"/>
                <w:sz w:val="16"/>
              </w:rPr>
              <w:t>Least privilege, MFA, role-based workspaces, encrypted storage and transfer</w:t>
            </w:r>
          </w:p>
        </w:tc>
      </w:tr>
      <w:tr>
        <w:trPr>
          <w:cantSplit/>
        </w:trPr>
        <w:tc>
          <w:tcPr>
            <w:tcW w:type="dxa" w:w="2300"/>
            <w:shd w:fill="FFFFFF"/>
            <w:vAlign w:val="center"/>
          </w:tcPr>
          <w:p>
            <w:pPr>
              <w:spacing w:after="0" w:before="0" w:line="252" w:lineRule="auto"/>
              <w:jc w:val="left"/>
            </w:pPr>
            <w:r/>
            <w:r>
              <w:rPr>
                <w:rFonts w:ascii="Calibri" w:hAnsi="Calibri"/>
                <w:b w:val="0"/>
                <w:color w:val="1F2933"/>
                <w:sz w:val="16"/>
              </w:rPr>
              <w:t>Retention</w:t>
            </w:r>
          </w:p>
        </w:tc>
        <w:tc>
          <w:tcPr>
            <w:tcW w:type="dxa" w:w="7060"/>
            <w:shd w:fill="FFFFFF"/>
            <w:vAlign w:val="center"/>
          </w:tcPr>
          <w:p>
            <w:pPr>
              <w:spacing w:after="0" w:before="0" w:line="252" w:lineRule="auto"/>
              <w:jc w:val="left"/>
            </w:pPr>
            <w:r/>
            <w:r>
              <w:rPr>
                <w:rFonts w:ascii="Calibri" w:hAnsi="Calibri"/>
                <w:b w:val="0"/>
                <w:color w:val="1F2933"/>
                <w:sz w:val="16"/>
              </w:rPr>
              <w:t>Customer-visible retention period, deletion workflow, backup handling, legal holds</w:t>
            </w:r>
          </w:p>
        </w:tc>
      </w:tr>
      <w:tr>
        <w:trPr>
          <w:cantSplit/>
        </w:trPr>
        <w:tc>
          <w:tcPr>
            <w:tcW w:type="dxa" w:w="2300"/>
            <w:shd w:fill="F4F6F9"/>
            <w:vAlign w:val="center"/>
          </w:tcPr>
          <w:p>
            <w:pPr>
              <w:spacing w:after="0" w:before="0" w:line="252" w:lineRule="auto"/>
              <w:jc w:val="left"/>
            </w:pPr>
            <w:r/>
            <w:r>
              <w:rPr>
                <w:rFonts w:ascii="Calibri" w:hAnsi="Calibri"/>
                <w:b w:val="0"/>
                <w:color w:val="1F2933"/>
                <w:sz w:val="16"/>
              </w:rPr>
              <w:t>Provenance</w:t>
            </w:r>
          </w:p>
        </w:tc>
        <w:tc>
          <w:tcPr>
            <w:tcW w:type="dxa" w:w="7060"/>
            <w:shd w:fill="F4F6F9"/>
            <w:vAlign w:val="center"/>
          </w:tcPr>
          <w:p>
            <w:pPr>
              <w:spacing w:after="0" w:before="0" w:line="252" w:lineRule="auto"/>
              <w:jc w:val="left"/>
            </w:pPr>
            <w:r/>
            <w:r>
              <w:rPr>
                <w:rFonts w:ascii="Calibri" w:hAnsi="Calibri"/>
                <w:b w:val="0"/>
                <w:color w:val="1F2933"/>
                <w:sz w:val="16"/>
              </w:rPr>
              <w:t>Source log, prompt/output trace where appropriate, licensed asset record, human sign-off</w:t>
            </w:r>
          </w:p>
        </w:tc>
      </w:tr>
      <w:tr>
        <w:trPr>
          <w:cantSplit/>
        </w:trPr>
        <w:tc>
          <w:tcPr>
            <w:tcW w:type="dxa" w:w="2300"/>
            <w:shd w:fill="FFFFFF"/>
            <w:vAlign w:val="center"/>
          </w:tcPr>
          <w:p>
            <w:pPr>
              <w:spacing w:after="0" w:before="0" w:line="252" w:lineRule="auto"/>
              <w:jc w:val="left"/>
            </w:pPr>
            <w:r/>
            <w:r>
              <w:rPr>
                <w:rFonts w:ascii="Calibri" w:hAnsi="Calibri"/>
                <w:b w:val="0"/>
                <w:color w:val="1F2933"/>
                <w:sz w:val="16"/>
              </w:rPr>
              <w:t>Quality</w:t>
            </w:r>
          </w:p>
        </w:tc>
        <w:tc>
          <w:tcPr>
            <w:tcW w:type="dxa" w:w="7060"/>
            <w:shd w:fill="FFFFFF"/>
            <w:vAlign w:val="center"/>
          </w:tcPr>
          <w:p>
            <w:pPr>
              <w:spacing w:after="0" w:before="0" w:line="252" w:lineRule="auto"/>
              <w:jc w:val="left"/>
            </w:pPr>
            <w:r/>
            <w:r>
              <w:rPr>
                <w:rFonts w:ascii="Calibri" w:hAnsi="Calibri"/>
                <w:b w:val="0"/>
                <w:color w:val="1F2933"/>
                <w:sz w:val="16"/>
              </w:rPr>
              <w:t>Evidence check, hallucination check, claims review, second-person red-team on premium work</w:t>
            </w:r>
          </w:p>
        </w:tc>
      </w:tr>
      <w:tr>
        <w:trPr>
          <w:cantSplit/>
        </w:trPr>
        <w:tc>
          <w:tcPr>
            <w:tcW w:type="dxa" w:w="2300"/>
            <w:shd w:fill="F4F6F9"/>
            <w:vAlign w:val="center"/>
          </w:tcPr>
          <w:p>
            <w:pPr>
              <w:spacing w:after="0" w:before="0" w:line="252" w:lineRule="auto"/>
              <w:jc w:val="left"/>
            </w:pPr>
            <w:r/>
            <w:r>
              <w:rPr>
                <w:rFonts w:ascii="Calibri" w:hAnsi="Calibri"/>
                <w:b w:val="0"/>
                <w:color w:val="1F2933"/>
                <w:sz w:val="16"/>
              </w:rPr>
              <w:t>Incident response</w:t>
            </w:r>
          </w:p>
        </w:tc>
        <w:tc>
          <w:tcPr>
            <w:tcW w:type="dxa" w:w="7060"/>
            <w:shd w:fill="F4F6F9"/>
            <w:vAlign w:val="center"/>
          </w:tcPr>
          <w:p>
            <w:pPr>
              <w:spacing w:after="0" w:before="0" w:line="252" w:lineRule="auto"/>
              <w:jc w:val="left"/>
            </w:pPr>
            <w:r/>
            <w:r>
              <w:rPr>
                <w:rFonts w:ascii="Calibri" w:hAnsi="Calibri"/>
                <w:b w:val="0"/>
                <w:color w:val="1F2933"/>
                <w:sz w:val="16"/>
              </w:rPr>
              <w:t>Owner, escalation tree, customer notice criteria, preserved logs, postmortem</w:t>
            </w:r>
          </w:p>
        </w:tc>
      </w:tr>
    </w:tbl>
    <w:p>
      <w:pPr>
        <w:spacing w:after="0"/>
      </w:pPr>
    </w:p>
    <w:p>
      <w:pPr>
        <w:pStyle w:val="Heading2"/>
        <w:keepNext/>
        <w:keepLines/>
      </w:pPr>
      <w:r>
        <w:t>IP posture</w:t>
      </w:r>
    </w:p>
    <w:p>
      <w:r>
        <w:rPr>
          <w:i w:val="0"/>
        </w:rPr>
        <w:t>Do not promise that an AI-assisted output is automatically protectable. The U.S. Copyright Office has emphasized human authorship, and the USPTO’s revised inventorship guidance states that only natural persons may be named inventors while AI may function as a tool [S11][S12]. Record meaningful human contributions, third-party inputs, licenses, and invention chronology. Route patentability, freedom-to-operate, trademark, and ownership questions to counsel.</w:t>
      </w:r>
    </w:p>
    <w:p>
      <w:r>
        <w:br w:type="page"/>
      </w:r>
    </w:p>
    <w:p>
      <w:pPr>
        <w:spacing w:after="40"/>
      </w:pPr>
      <w:r>
        <w:rPr>
          <w:b/>
          <w:color w:val="238295"/>
          <w:sz w:val="17"/>
        </w:rPr>
        <w:t>SEPARATE SERVICE, LAUNCH, AND SECURITIES LANES</w:t>
      </w:r>
    </w:p>
    <w:p>
      <w:pPr>
        <w:pStyle w:val="Heading1"/>
        <w:keepNext/>
        <w:keepLines/>
      </w:pPr>
      <w:r>
        <w:t>11  Regulatory and legal feasibility</w:t>
      </w:r>
    </w:p>
    <w:tbl>
      <w:tblPr>
        <w:tblW w:type="dxa" w:w="9360"/>
        <w:jc w:val="left"/>
        <w:tblLayout w:type="fixed"/>
        <w:tblLook w:firstColumn="1" w:firstRow="1" w:lastColumn="0" w:lastRow="0" w:noHBand="0" w:noVBand="1" w:val="04A0"/>
        <w:tblInd w:w="0" w:type="dxa"/>
      </w:tblPr>
      <w:tblGrid>
        <w:gridCol w:w="1750"/>
        <w:gridCol w:w="3100"/>
        <w:gridCol w:w="4510"/>
      </w:tblGrid>
      <w:tr>
        <w:trPr>
          <w:tblHeader w:val="true"/>
          <w:cantSplit/>
        </w:trPr>
        <w:tc>
          <w:tcPr>
            <w:tcW w:type="dxa" w:w="175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Area</w:t>
            </w:r>
          </w:p>
        </w:tc>
        <w:tc>
          <w:tcPr>
            <w:tcW w:type="dxa" w:w="310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Risk</w:t>
            </w:r>
          </w:p>
        </w:tc>
        <w:tc>
          <w:tcPr>
            <w:tcW w:type="dxa" w:w="451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Phase-appropriate response</w:t>
            </w:r>
          </w:p>
        </w:tc>
      </w:tr>
      <w:tr>
        <w:trPr>
          <w:cantSplit/>
        </w:trPr>
        <w:tc>
          <w:tcPr>
            <w:tcW w:type="dxa" w:w="1750"/>
            <w:shd w:fill="FFFFFF"/>
            <w:vAlign w:val="center"/>
          </w:tcPr>
          <w:p>
            <w:pPr>
              <w:spacing w:after="0" w:before="0" w:line="252" w:lineRule="auto"/>
              <w:jc w:val="left"/>
            </w:pPr>
            <w:r/>
            <w:r>
              <w:rPr>
                <w:rFonts w:ascii="Calibri" w:hAnsi="Calibri"/>
                <w:b w:val="0"/>
                <w:color w:val="1F2933"/>
                <w:sz w:val="15"/>
              </w:rPr>
              <w:t>Confidentiality</w:t>
            </w:r>
          </w:p>
        </w:tc>
        <w:tc>
          <w:tcPr>
            <w:tcW w:type="dxa" w:w="3100"/>
            <w:shd w:fill="FFFFFF"/>
            <w:vAlign w:val="center"/>
          </w:tcPr>
          <w:p>
            <w:pPr>
              <w:spacing w:after="0" w:before="0" w:line="252" w:lineRule="auto"/>
              <w:jc w:val="left"/>
            </w:pPr>
            <w:r/>
            <w:r>
              <w:rPr>
                <w:rFonts w:ascii="Calibri" w:hAnsi="Calibri"/>
                <w:b w:val="0"/>
                <w:color w:val="1F2933"/>
                <w:sz w:val="15"/>
              </w:rPr>
              <w:t>Ideas may include trade secrets or personal data</w:t>
            </w:r>
          </w:p>
        </w:tc>
        <w:tc>
          <w:tcPr>
            <w:tcW w:type="dxa" w:w="4510"/>
            <w:shd w:fill="FFFFFF"/>
            <w:vAlign w:val="center"/>
          </w:tcPr>
          <w:p>
            <w:pPr>
              <w:spacing w:after="0" w:before="0" w:line="252" w:lineRule="auto"/>
              <w:jc w:val="left"/>
            </w:pPr>
            <w:r/>
            <w:r>
              <w:rPr>
                <w:rFonts w:ascii="Calibri" w:hAnsi="Calibri"/>
                <w:b w:val="0"/>
                <w:color w:val="1F2933"/>
                <w:sz w:val="15"/>
              </w:rPr>
              <w:t>Plain-language NDA, intake choices, secure workflow, no blanket secrecy claims</w:t>
            </w:r>
          </w:p>
        </w:tc>
      </w:tr>
      <w:tr>
        <w:trPr>
          <w:cantSplit/>
        </w:trPr>
        <w:tc>
          <w:tcPr>
            <w:tcW w:type="dxa" w:w="1750"/>
            <w:shd w:fill="F4F6F9"/>
            <w:vAlign w:val="center"/>
          </w:tcPr>
          <w:p>
            <w:pPr>
              <w:spacing w:after="0" w:before="0" w:line="252" w:lineRule="auto"/>
              <w:jc w:val="left"/>
            </w:pPr>
            <w:r/>
            <w:r>
              <w:rPr>
                <w:rFonts w:ascii="Calibri" w:hAnsi="Calibri"/>
                <w:b w:val="0"/>
                <w:color w:val="1F2933"/>
                <w:sz w:val="15"/>
              </w:rPr>
              <w:t>IP ownership</w:t>
            </w:r>
          </w:p>
        </w:tc>
        <w:tc>
          <w:tcPr>
            <w:tcW w:type="dxa" w:w="3100"/>
            <w:shd w:fill="F4F6F9"/>
            <w:vAlign w:val="center"/>
          </w:tcPr>
          <w:p>
            <w:pPr>
              <w:spacing w:after="0" w:before="0" w:line="252" w:lineRule="auto"/>
              <w:jc w:val="left"/>
            </w:pPr>
            <w:r/>
            <w:r>
              <w:rPr>
                <w:rFonts w:ascii="Calibri" w:hAnsi="Calibri"/>
                <w:b w:val="0"/>
                <w:color w:val="1F2933"/>
                <w:sz w:val="15"/>
              </w:rPr>
              <w:t>Mixed human/AI/third-party contributions</w:t>
            </w:r>
          </w:p>
        </w:tc>
        <w:tc>
          <w:tcPr>
            <w:tcW w:type="dxa" w:w="4510"/>
            <w:shd w:fill="F4F6F9"/>
            <w:vAlign w:val="center"/>
          </w:tcPr>
          <w:p>
            <w:pPr>
              <w:spacing w:after="0" w:before="0" w:line="252" w:lineRule="auto"/>
              <w:jc w:val="left"/>
            </w:pPr>
            <w:r/>
            <w:r>
              <w:rPr>
                <w:rFonts w:ascii="Calibri" w:hAnsi="Calibri"/>
                <w:b w:val="0"/>
                <w:color w:val="1F2933"/>
                <w:sz w:val="15"/>
              </w:rPr>
              <w:t>Engagement terms, provenance, assignment/license language, counsel review</w:t>
            </w:r>
          </w:p>
        </w:tc>
      </w:tr>
      <w:tr>
        <w:trPr>
          <w:cantSplit/>
        </w:trPr>
        <w:tc>
          <w:tcPr>
            <w:tcW w:type="dxa" w:w="1750"/>
            <w:shd w:fill="FFFFFF"/>
            <w:vAlign w:val="center"/>
          </w:tcPr>
          <w:p>
            <w:pPr>
              <w:spacing w:after="0" w:before="0" w:line="252" w:lineRule="auto"/>
              <w:jc w:val="left"/>
            </w:pPr>
            <w:r/>
            <w:r>
              <w:rPr>
                <w:rFonts w:ascii="Calibri" w:hAnsi="Calibri"/>
                <w:b w:val="0"/>
                <w:color w:val="1F2933"/>
                <w:sz w:val="15"/>
              </w:rPr>
              <w:t>Rewards crowdfunding</w:t>
            </w:r>
          </w:p>
        </w:tc>
        <w:tc>
          <w:tcPr>
            <w:tcW w:type="dxa" w:w="3100"/>
            <w:shd w:fill="FFFFFF"/>
            <w:vAlign w:val="center"/>
          </w:tcPr>
          <w:p>
            <w:pPr>
              <w:spacing w:after="0" w:before="0" w:line="252" w:lineRule="auto"/>
              <w:jc w:val="left"/>
            </w:pPr>
            <w:r/>
            <w:r>
              <w:rPr>
                <w:rFonts w:ascii="Calibri" w:hAnsi="Calibri"/>
                <w:b w:val="0"/>
                <w:color w:val="1F2933"/>
                <w:sz w:val="15"/>
              </w:rPr>
              <w:t>Fulfillment, consumer claims, platform rules</w:t>
            </w:r>
          </w:p>
        </w:tc>
        <w:tc>
          <w:tcPr>
            <w:tcW w:type="dxa" w:w="4510"/>
            <w:shd w:fill="FFFFFF"/>
            <w:vAlign w:val="center"/>
          </w:tcPr>
          <w:p>
            <w:pPr>
              <w:spacing w:after="0" w:before="0" w:line="252" w:lineRule="auto"/>
              <w:jc w:val="left"/>
            </w:pPr>
            <w:r/>
            <w:r>
              <w:rPr>
                <w:rFonts w:ascii="Calibri" w:hAnsi="Calibri"/>
                <w:b w:val="0"/>
                <w:color w:val="1F2933"/>
                <w:sz w:val="15"/>
              </w:rPr>
              <w:t>Prepare campaigns; use established platforms; verify claims and budgets</w:t>
            </w:r>
          </w:p>
        </w:tc>
      </w:tr>
      <w:tr>
        <w:trPr>
          <w:cantSplit/>
        </w:trPr>
        <w:tc>
          <w:tcPr>
            <w:tcW w:type="dxa" w:w="1750"/>
            <w:shd w:fill="F4F6F9"/>
            <w:vAlign w:val="center"/>
          </w:tcPr>
          <w:p>
            <w:pPr>
              <w:spacing w:after="0" w:before="0" w:line="252" w:lineRule="auto"/>
              <w:jc w:val="left"/>
            </w:pPr>
            <w:r/>
            <w:r>
              <w:rPr>
                <w:rFonts w:ascii="Calibri" w:hAnsi="Calibri"/>
                <w:b w:val="0"/>
                <w:color w:val="1F2933"/>
                <w:sz w:val="15"/>
              </w:rPr>
              <w:t>Securities crowdfunding</w:t>
            </w:r>
          </w:p>
        </w:tc>
        <w:tc>
          <w:tcPr>
            <w:tcW w:type="dxa" w:w="3100"/>
            <w:shd w:fill="F4F6F9"/>
            <w:vAlign w:val="center"/>
          </w:tcPr>
          <w:p>
            <w:pPr>
              <w:spacing w:after="0" w:before="0" w:line="252" w:lineRule="auto"/>
              <w:jc w:val="left"/>
            </w:pPr>
            <w:r/>
            <w:r>
              <w:rPr>
                <w:rFonts w:ascii="Calibri" w:hAnsi="Calibri"/>
                <w:b w:val="0"/>
                <w:color w:val="1F2933"/>
                <w:sz w:val="15"/>
              </w:rPr>
              <w:t>Offering, intermediary, communications, compensation</w:t>
            </w:r>
          </w:p>
        </w:tc>
        <w:tc>
          <w:tcPr>
            <w:tcW w:type="dxa" w:w="4510"/>
            <w:shd w:fill="F4F6F9"/>
            <w:vAlign w:val="center"/>
          </w:tcPr>
          <w:p>
            <w:pPr>
              <w:spacing w:after="0" w:before="0" w:line="252" w:lineRule="auto"/>
              <w:jc w:val="left"/>
            </w:pPr>
            <w:r/>
            <w:r>
              <w:rPr>
                <w:rFonts w:ascii="Calibri" w:hAnsi="Calibri"/>
                <w:b w:val="0"/>
                <w:color w:val="1F2933"/>
                <w:sz w:val="15"/>
              </w:rPr>
              <w:t>Use one SEC-registered broker-dealer or funding portal; specialist counsel [S13]</w:t>
            </w:r>
          </w:p>
        </w:tc>
      </w:tr>
      <w:tr>
        <w:trPr>
          <w:cantSplit/>
        </w:trPr>
        <w:tc>
          <w:tcPr>
            <w:tcW w:type="dxa" w:w="1750"/>
            <w:shd w:fill="FFFFFF"/>
            <w:vAlign w:val="center"/>
          </w:tcPr>
          <w:p>
            <w:pPr>
              <w:spacing w:after="0" w:before="0" w:line="252" w:lineRule="auto"/>
              <w:jc w:val="left"/>
            </w:pPr>
            <w:r/>
            <w:r>
              <w:rPr>
                <w:rFonts w:ascii="Calibri" w:hAnsi="Calibri"/>
                <w:b w:val="0"/>
                <w:color w:val="1F2933"/>
                <w:sz w:val="15"/>
              </w:rPr>
              <w:t>Investor community</w:t>
            </w:r>
          </w:p>
        </w:tc>
        <w:tc>
          <w:tcPr>
            <w:tcW w:type="dxa" w:w="3100"/>
            <w:shd w:fill="FFFFFF"/>
            <w:vAlign w:val="center"/>
          </w:tcPr>
          <w:p>
            <w:pPr>
              <w:spacing w:after="0" w:before="0" w:line="252" w:lineRule="auto"/>
              <w:jc w:val="left"/>
            </w:pPr>
            <w:r/>
            <w:r>
              <w:rPr>
                <w:rFonts w:ascii="Calibri" w:hAnsi="Calibri"/>
                <w:b w:val="0"/>
                <w:color w:val="1F2933"/>
                <w:sz w:val="15"/>
              </w:rPr>
              <w:t>Broker/dealer, adviser, solicitation, conflicts</w:t>
            </w:r>
          </w:p>
        </w:tc>
        <w:tc>
          <w:tcPr>
            <w:tcW w:type="dxa" w:w="4510"/>
            <w:shd w:fill="FFFFFF"/>
            <w:vAlign w:val="center"/>
          </w:tcPr>
          <w:p>
            <w:pPr>
              <w:spacing w:after="0" w:before="0" w:line="252" w:lineRule="auto"/>
              <w:jc w:val="left"/>
            </w:pPr>
            <w:r/>
            <w:r>
              <w:rPr>
                <w:rFonts w:ascii="Calibri" w:hAnsi="Calibri"/>
                <w:b w:val="0"/>
                <w:color w:val="1F2933"/>
                <w:sz w:val="15"/>
              </w:rPr>
              <w:t>No transaction-based compensation; design referral and membership model with counsel</w:t>
            </w:r>
          </w:p>
        </w:tc>
      </w:tr>
      <w:tr>
        <w:trPr>
          <w:cantSplit/>
        </w:trPr>
        <w:tc>
          <w:tcPr>
            <w:tcW w:type="dxa" w:w="1750"/>
            <w:shd w:fill="F4F6F9"/>
            <w:vAlign w:val="center"/>
          </w:tcPr>
          <w:p>
            <w:pPr>
              <w:spacing w:after="0" w:before="0" w:line="252" w:lineRule="auto"/>
              <w:jc w:val="left"/>
            </w:pPr>
            <w:r/>
            <w:r>
              <w:rPr>
                <w:rFonts w:ascii="Calibri" w:hAnsi="Calibri"/>
                <w:b w:val="0"/>
                <w:color w:val="1F2933"/>
                <w:sz w:val="15"/>
              </w:rPr>
              <w:t>Franchising</w:t>
            </w:r>
          </w:p>
        </w:tc>
        <w:tc>
          <w:tcPr>
            <w:tcW w:type="dxa" w:w="3100"/>
            <w:shd w:fill="F4F6F9"/>
            <w:vAlign w:val="center"/>
          </w:tcPr>
          <w:p>
            <w:pPr>
              <w:spacing w:after="0" w:before="0" w:line="252" w:lineRule="auto"/>
              <w:jc w:val="left"/>
            </w:pPr>
            <w:r/>
            <w:r>
              <w:rPr>
                <w:rFonts w:ascii="Calibri" w:hAnsi="Calibri"/>
                <w:b w:val="0"/>
                <w:color w:val="1F2933"/>
                <w:sz w:val="15"/>
              </w:rPr>
              <w:t>Franchise Rule disclosure and state laws</w:t>
            </w:r>
          </w:p>
        </w:tc>
        <w:tc>
          <w:tcPr>
            <w:tcW w:type="dxa" w:w="4510"/>
            <w:shd w:fill="F4F6F9"/>
            <w:vAlign w:val="center"/>
          </w:tcPr>
          <w:p>
            <w:pPr>
              <w:spacing w:after="0" w:before="0" w:line="252" w:lineRule="auto"/>
              <w:jc w:val="left"/>
            </w:pPr>
            <w:r/>
            <w:r>
              <w:rPr>
                <w:rFonts w:ascii="Calibri" w:hAnsi="Calibri"/>
                <w:b w:val="0"/>
                <w:color w:val="1F2933"/>
                <w:sz w:val="15"/>
              </w:rPr>
              <w:t>Defer; obtain franchise counsel and FDD strategy before offering franchises [S14]</w:t>
            </w:r>
          </w:p>
        </w:tc>
      </w:tr>
      <w:tr>
        <w:trPr>
          <w:cantSplit/>
        </w:trPr>
        <w:tc>
          <w:tcPr>
            <w:tcW w:type="dxa" w:w="1750"/>
            <w:shd w:fill="FFFFFF"/>
            <w:vAlign w:val="center"/>
          </w:tcPr>
          <w:p>
            <w:pPr>
              <w:spacing w:after="0" w:before="0" w:line="252" w:lineRule="auto"/>
              <w:jc w:val="left"/>
            </w:pPr>
            <w:r/>
            <w:r>
              <w:rPr>
                <w:rFonts w:ascii="Calibri" w:hAnsi="Calibri"/>
                <w:b w:val="0"/>
                <w:color w:val="1F2933"/>
                <w:sz w:val="15"/>
              </w:rPr>
              <w:t>Customer claims</w:t>
            </w:r>
          </w:p>
        </w:tc>
        <w:tc>
          <w:tcPr>
            <w:tcW w:type="dxa" w:w="3100"/>
            <w:shd w:fill="FFFFFF"/>
            <w:vAlign w:val="center"/>
          </w:tcPr>
          <w:p>
            <w:pPr>
              <w:spacing w:after="0" w:before="0" w:line="252" w:lineRule="auto"/>
              <w:jc w:val="left"/>
            </w:pPr>
            <w:r/>
            <w:r>
              <w:rPr>
                <w:rFonts w:ascii="Calibri" w:hAnsi="Calibri"/>
                <w:b w:val="0"/>
                <w:color w:val="1F2933"/>
                <w:sz w:val="15"/>
              </w:rPr>
              <w:t>“Validated,” “investable,” or “fundable” can mislead</w:t>
            </w:r>
          </w:p>
        </w:tc>
        <w:tc>
          <w:tcPr>
            <w:tcW w:type="dxa" w:w="4510"/>
            <w:shd w:fill="FFFFFF"/>
            <w:vAlign w:val="center"/>
          </w:tcPr>
          <w:p>
            <w:pPr>
              <w:spacing w:after="0" w:before="0" w:line="252" w:lineRule="auto"/>
              <w:jc w:val="left"/>
            </w:pPr>
            <w:r/>
            <w:r>
              <w:rPr>
                <w:rFonts w:ascii="Calibri" w:hAnsi="Calibri"/>
                <w:b w:val="0"/>
                <w:color w:val="1F2933"/>
                <w:sz w:val="15"/>
              </w:rPr>
              <w:t>Define criteria, disclose uncertainty, prohibit guarantees</w:t>
            </w:r>
          </w:p>
        </w:tc>
      </w:tr>
    </w:tbl>
    <w:p>
      <w:pPr>
        <w:spacing w:after="0"/>
      </w:pPr>
    </w:p>
    <w:p>
      <w:r>
        <w:rPr>
          <w:i w:val="0"/>
        </w:rPr>
        <w:t>Regulation Crowdfunding permits eligible companies to raise up to $5 million in a 12-month period, but transactions must occur through a single SEC-registered intermediary [S13]. SEC statistics through 31 December 2025 show 9,461 filed offerings, 4,303 offerings reporting proceeds, and $1.546 billion in reported proceeds—evidence that the channel exists, not proof that a new studio should operate the channel [S15].</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B33A3A"/>
          </w:tcPr>
          <w:p>
            <w:pPr>
              <w:spacing w:after="0" w:before="0" w:line="252" w:lineRule="auto"/>
              <w:jc w:val="left"/>
            </w:pPr>
            <w:r/>
            <w:r>
              <w:rPr>
                <w:rFonts w:ascii="Calibri" w:hAnsi="Calibri"/>
                <w:b/>
                <w:color w:val="FFFFFF"/>
                <w:sz w:val="19"/>
              </w:rPr>
              <w:t>BOUNDARY</w:t>
            </w:r>
          </w:p>
        </w:tc>
      </w:tr>
      <w:tr>
        <w:trPr>
          <w:cantSplit/>
        </w:trPr>
        <w:tc>
          <w:tcPr>
            <w:tcW w:type="dxa" w:w="9360"/>
            <w:tcMar>
              <w:top w:w="80" w:type="dxa"/>
              <w:start w:w="120" w:type="dxa"/>
              <w:bottom w:w="80" w:type="dxa"/>
              <w:end w:w="120" w:type="dxa"/>
            </w:tcMar>
            <w:shd w:fill="FBE9E7"/>
          </w:tcPr>
          <w:p>
            <w:pPr>
              <w:spacing w:after="40" w:before="0" w:line="252" w:lineRule="auto"/>
              <w:jc w:val="left"/>
            </w:pPr>
            <w:r/>
            <w:r>
              <w:rPr>
                <w:rFonts w:ascii="Calibri" w:hAnsi="Calibri"/>
                <w:b w:val="0"/>
                <w:color w:val="1F2933"/>
                <w:sz w:val="20"/>
              </w:rPr>
              <w:t>In the first phase, Lame Brain Ideas sells development services. It does not hold customer funds, promise capital, operate a securities marketplace, recommend securities, or receive transaction-based compensation.</w:t>
            </w:r>
          </w:p>
        </w:tc>
      </w:tr>
    </w:tbl>
    <w:p>
      <w:pPr>
        <w:spacing w:after="0"/>
      </w:pPr>
    </w:p>
    <w:p>
      <w:r>
        <w:br w:type="page"/>
      </w:r>
    </w:p>
    <w:p>
      <w:pPr>
        <w:spacing w:after="40"/>
      </w:pPr>
      <w:r>
        <w:rPr>
          <w:b/>
          <w:color w:val="238295"/>
          <w:sz w:val="17"/>
        </w:rPr>
        <w:t>BUILD TRUSTED DISTRIBUTION BEFORE PAID MEDIA SCALE</w:t>
      </w:r>
    </w:p>
    <w:p>
      <w:pPr>
        <w:pStyle w:val="Heading1"/>
        <w:keepNext/>
        <w:keepLines/>
      </w:pPr>
      <w:r>
        <w:t>12  Go-to-market and partnerships</w:t>
      </w:r>
    </w:p>
    <w:p>
      <w:pPr>
        <w:pStyle w:val="Heading2"/>
        <w:keepNext/>
        <w:keepLines/>
      </w:pPr>
      <w:r>
        <w:t>Channel sequence</w:t>
      </w:r>
    </w:p>
    <w:p>
      <w:pPr>
        <w:keepLines/>
        <w:numPr>
          <w:ilvl w:val="0"/>
          <w:numId w:val="11"/>
        </w:numPr>
        <w:spacing w:after="80" w:line="290" w:lineRule="auto"/>
        <w:jc w:val="left"/>
      </w:pPr>
      <w:r>
        <w:t>Founder-led discovery: 40–60 interviews and 12 paid concierge engagements across the two primary segments.</w:t>
      </w:r>
    </w:p>
    <w:p>
      <w:pPr>
        <w:keepLines/>
        <w:numPr>
          <w:ilvl w:val="0"/>
          <w:numId w:val="11"/>
        </w:numPr>
        <w:spacing w:after="80" w:line="290" w:lineRule="auto"/>
        <w:jc w:val="left"/>
      </w:pPr>
      <w:r>
        <w:t>Partner-hosted clinics: libraries, SBDCs, SCORE chapters, universities, chambers, coworking spaces, maker communities, and professional groups.</w:t>
      </w:r>
    </w:p>
    <w:p>
      <w:pPr>
        <w:keepLines/>
        <w:numPr>
          <w:ilvl w:val="0"/>
          <w:numId w:val="11"/>
        </w:numPr>
        <w:spacing w:after="80" w:line="290" w:lineRule="auto"/>
        <w:jc w:val="left"/>
      </w:pPr>
      <w:r>
        <w:t>Pop-up acquisition: short-run storefront or embedded studio with geo-coded booking, transparent packages, and weekly workshops.</w:t>
      </w:r>
    </w:p>
    <w:p>
      <w:pPr>
        <w:keepLines/>
        <w:numPr>
          <w:ilvl w:val="0"/>
          <w:numId w:val="11"/>
        </w:numPr>
        <w:spacing w:after="80" w:line="290" w:lineRule="auto"/>
        <w:jc w:val="left"/>
      </w:pPr>
      <w:r>
        <w:t>Referral engine: alumni introductions, expert partners, accountants, attorneys, designers, engineers, and local lenders—subject to conflict and compensation rules.</w:t>
      </w:r>
    </w:p>
    <w:p>
      <w:pPr>
        <w:keepLines/>
        <w:numPr>
          <w:ilvl w:val="0"/>
          <w:numId w:val="11"/>
        </w:numPr>
        <w:spacing w:after="80" w:line="290" w:lineRule="auto"/>
        <w:jc w:val="left"/>
      </w:pPr>
      <w:r>
        <w:t>Selective paid acquisition: only after segment-level conversion, contribution, and payback are measured.</w:t>
      </w:r>
    </w:p>
    <w:p>
      <w:pPr>
        <w:pStyle w:val="Heading2"/>
        <w:keepNext/>
        <w:keepLines/>
      </w:pPr>
      <w:r>
        <w:t>Partner posture</w:t>
      </w:r>
    </w:p>
    <w:p>
      <w:r>
        <w:rPr>
          <w:i w:val="0"/>
        </w:rPr>
        <w:t>SCORE offers no-cost, confidential mentoring, and SBDCs provide individualized advising and technical assistance [S3][S4]. These organizations are natural complements and referral partners. Lame Brain Ideas should sell structured production and speed around—rather than compete with—their public-service value.</w:t>
      </w:r>
    </w:p>
    <w:tbl>
      <w:tblPr>
        <w:tblW w:type="dxa" w:w="9360"/>
        <w:jc w:val="left"/>
        <w:tblLayout w:type="fixed"/>
        <w:tblLook w:firstColumn="1" w:firstRow="1" w:lastColumn="0" w:lastRow="0" w:noHBand="0" w:noVBand="1" w:val="04A0"/>
        <w:tblInd w:w="0" w:type="dxa"/>
      </w:tblPr>
      <w:tblGrid>
        <w:gridCol w:w="3100"/>
        <w:gridCol w:w="1800"/>
        <w:gridCol w:w="4460"/>
      </w:tblGrid>
      <w:tr>
        <w:trPr>
          <w:tblHeader w:val="true"/>
          <w:cantSplit/>
        </w:trPr>
        <w:tc>
          <w:tcPr>
            <w:tcW w:type="dxa" w:w="31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Metric</w:t>
            </w:r>
          </w:p>
        </w:tc>
        <w:tc>
          <w:tcPr>
            <w:tcW w:type="dxa" w:w="18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Pilot target</w:t>
            </w:r>
          </w:p>
        </w:tc>
        <w:tc>
          <w:tcPr>
            <w:tcW w:type="dxa" w:w="44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Why it matters</w:t>
            </w:r>
          </w:p>
        </w:tc>
      </w:tr>
      <w:tr>
        <w:trPr>
          <w:cantSplit/>
        </w:trPr>
        <w:tc>
          <w:tcPr>
            <w:tcW w:type="dxa" w:w="3100"/>
            <w:shd w:fill="FFFFFF"/>
            <w:vAlign w:val="center"/>
          </w:tcPr>
          <w:p>
            <w:pPr>
              <w:spacing w:after="0" w:before="0" w:line="252" w:lineRule="auto"/>
              <w:jc w:val="left"/>
            </w:pPr>
            <w:r/>
            <w:r>
              <w:rPr>
                <w:rFonts w:ascii="Calibri" w:hAnsi="Calibri"/>
                <w:b w:val="0"/>
                <w:color w:val="1F2933"/>
                <w:sz w:val="16"/>
              </w:rPr>
              <w:t>Qualified lead → paid diagnostic</w:t>
            </w:r>
          </w:p>
        </w:tc>
        <w:tc>
          <w:tcPr>
            <w:tcW w:type="dxa" w:w="1800"/>
            <w:shd w:fill="FFFFFF"/>
            <w:vAlign w:val="center"/>
          </w:tcPr>
          <w:p>
            <w:pPr>
              <w:spacing w:after="0" w:before="0" w:line="252" w:lineRule="auto"/>
              <w:jc w:val="left"/>
            </w:pPr>
            <w:r/>
            <w:r>
              <w:rPr>
                <w:rFonts w:ascii="Calibri" w:hAnsi="Calibri"/>
                <w:b w:val="0"/>
                <w:color w:val="1F2933"/>
                <w:sz w:val="16"/>
              </w:rPr>
              <w:t>≥20%</w:t>
            </w:r>
          </w:p>
        </w:tc>
        <w:tc>
          <w:tcPr>
            <w:tcW w:type="dxa" w:w="4460"/>
            <w:shd w:fill="FFFFFF"/>
            <w:vAlign w:val="center"/>
          </w:tcPr>
          <w:p>
            <w:pPr>
              <w:spacing w:after="0" w:before="0" w:line="252" w:lineRule="auto"/>
              <w:jc w:val="left"/>
            </w:pPr>
            <w:r/>
            <w:r>
              <w:rPr>
                <w:rFonts w:ascii="Calibri" w:hAnsi="Calibri"/>
                <w:b w:val="0"/>
                <w:color w:val="1F2933"/>
                <w:sz w:val="16"/>
              </w:rPr>
              <w:t>Demand and message fit</w:t>
            </w:r>
          </w:p>
        </w:tc>
      </w:tr>
      <w:tr>
        <w:trPr>
          <w:cantSplit/>
        </w:trPr>
        <w:tc>
          <w:tcPr>
            <w:tcW w:type="dxa" w:w="3100"/>
            <w:shd w:fill="F4F6F9"/>
            <w:vAlign w:val="center"/>
          </w:tcPr>
          <w:p>
            <w:pPr>
              <w:spacing w:after="0" w:before="0" w:line="252" w:lineRule="auto"/>
              <w:jc w:val="left"/>
            </w:pPr>
            <w:r/>
            <w:r>
              <w:rPr>
                <w:rFonts w:ascii="Calibri" w:hAnsi="Calibri"/>
                <w:b w:val="0"/>
                <w:color w:val="1F2933"/>
                <w:sz w:val="16"/>
              </w:rPr>
              <w:t>Diagnostic → Idea Sprint+</w:t>
            </w:r>
          </w:p>
        </w:tc>
        <w:tc>
          <w:tcPr>
            <w:tcW w:type="dxa" w:w="1800"/>
            <w:shd w:fill="F4F6F9"/>
            <w:vAlign w:val="center"/>
          </w:tcPr>
          <w:p>
            <w:pPr>
              <w:spacing w:after="0" w:before="0" w:line="252" w:lineRule="auto"/>
              <w:jc w:val="left"/>
            </w:pPr>
            <w:r/>
            <w:r>
              <w:rPr>
                <w:rFonts w:ascii="Calibri" w:hAnsi="Calibri"/>
                <w:b w:val="0"/>
                <w:color w:val="1F2933"/>
                <w:sz w:val="16"/>
              </w:rPr>
              <w:t>≥35%</w:t>
            </w:r>
          </w:p>
        </w:tc>
        <w:tc>
          <w:tcPr>
            <w:tcW w:type="dxa" w:w="4460"/>
            <w:shd w:fill="F4F6F9"/>
            <w:vAlign w:val="center"/>
          </w:tcPr>
          <w:p>
            <w:pPr>
              <w:spacing w:after="0" w:before="0" w:line="252" w:lineRule="auto"/>
              <w:jc w:val="left"/>
            </w:pPr>
            <w:r/>
            <w:r>
              <w:rPr>
                <w:rFonts w:ascii="Calibri" w:hAnsi="Calibri"/>
                <w:b w:val="0"/>
                <w:color w:val="1F2933"/>
                <w:sz w:val="16"/>
              </w:rPr>
              <w:t>Value ladder conversion</w:t>
            </w:r>
          </w:p>
        </w:tc>
      </w:tr>
      <w:tr>
        <w:trPr>
          <w:cantSplit/>
        </w:trPr>
        <w:tc>
          <w:tcPr>
            <w:tcW w:type="dxa" w:w="3100"/>
            <w:shd w:fill="FFFFFF"/>
            <w:vAlign w:val="center"/>
          </w:tcPr>
          <w:p>
            <w:pPr>
              <w:spacing w:after="0" w:before="0" w:line="252" w:lineRule="auto"/>
              <w:jc w:val="left"/>
            </w:pPr>
            <w:r/>
            <w:r>
              <w:rPr>
                <w:rFonts w:ascii="Calibri" w:hAnsi="Calibri"/>
                <w:b w:val="0"/>
                <w:color w:val="1F2933"/>
                <w:sz w:val="16"/>
              </w:rPr>
              <w:t>Blended service revenue / delivery hour</w:t>
            </w:r>
          </w:p>
        </w:tc>
        <w:tc>
          <w:tcPr>
            <w:tcW w:type="dxa" w:w="1800"/>
            <w:shd w:fill="FFFFFF"/>
            <w:vAlign w:val="center"/>
          </w:tcPr>
          <w:p>
            <w:pPr>
              <w:spacing w:after="0" w:before="0" w:line="252" w:lineRule="auto"/>
              <w:jc w:val="left"/>
            </w:pPr>
            <w:r/>
            <w:r>
              <w:rPr>
                <w:rFonts w:ascii="Calibri" w:hAnsi="Calibri"/>
                <w:b w:val="0"/>
                <w:color w:val="1F2933"/>
                <w:sz w:val="16"/>
              </w:rPr>
              <w:t>≥$200</w:t>
            </w:r>
          </w:p>
        </w:tc>
        <w:tc>
          <w:tcPr>
            <w:tcW w:type="dxa" w:w="4460"/>
            <w:shd w:fill="FFFFFF"/>
            <w:vAlign w:val="center"/>
          </w:tcPr>
          <w:p>
            <w:pPr>
              <w:spacing w:after="0" w:before="0" w:line="252" w:lineRule="auto"/>
              <w:jc w:val="left"/>
            </w:pPr>
            <w:r/>
            <w:r>
              <w:rPr>
                <w:rFonts w:ascii="Calibri" w:hAnsi="Calibri"/>
                <w:b w:val="0"/>
                <w:color w:val="1F2933"/>
                <w:sz w:val="16"/>
              </w:rPr>
              <w:t>Labor and occupancy capacity</w:t>
            </w:r>
          </w:p>
        </w:tc>
      </w:tr>
      <w:tr>
        <w:trPr>
          <w:cantSplit/>
        </w:trPr>
        <w:tc>
          <w:tcPr>
            <w:tcW w:type="dxa" w:w="3100"/>
            <w:shd w:fill="F4F6F9"/>
            <w:vAlign w:val="center"/>
          </w:tcPr>
          <w:p>
            <w:pPr>
              <w:spacing w:after="0" w:before="0" w:line="252" w:lineRule="auto"/>
              <w:jc w:val="left"/>
            </w:pPr>
            <w:r/>
            <w:r>
              <w:rPr>
                <w:rFonts w:ascii="Calibri" w:hAnsi="Calibri"/>
                <w:b w:val="0"/>
                <w:color w:val="1F2933"/>
                <w:sz w:val="16"/>
              </w:rPr>
              <w:t>Customer acquisition payback</w:t>
            </w:r>
          </w:p>
        </w:tc>
        <w:tc>
          <w:tcPr>
            <w:tcW w:type="dxa" w:w="1800"/>
            <w:shd w:fill="F4F6F9"/>
            <w:vAlign w:val="center"/>
          </w:tcPr>
          <w:p>
            <w:pPr>
              <w:spacing w:after="0" w:before="0" w:line="252" w:lineRule="auto"/>
              <w:jc w:val="left"/>
            </w:pPr>
            <w:r/>
            <w:r>
              <w:rPr>
                <w:rFonts w:ascii="Calibri" w:hAnsi="Calibri"/>
                <w:b w:val="0"/>
                <w:color w:val="1F2933"/>
                <w:sz w:val="16"/>
              </w:rPr>
              <w:t>≤90 days</w:t>
            </w:r>
          </w:p>
        </w:tc>
        <w:tc>
          <w:tcPr>
            <w:tcW w:type="dxa" w:w="4460"/>
            <w:shd w:fill="F4F6F9"/>
            <w:vAlign w:val="center"/>
          </w:tcPr>
          <w:p>
            <w:pPr>
              <w:spacing w:after="0" w:before="0" w:line="252" w:lineRule="auto"/>
              <w:jc w:val="left"/>
            </w:pPr>
            <w:r/>
            <w:r>
              <w:rPr>
                <w:rFonts w:ascii="Calibri" w:hAnsi="Calibri"/>
                <w:b w:val="0"/>
                <w:color w:val="1F2933"/>
                <w:sz w:val="16"/>
              </w:rPr>
              <w:t>Capital-efficient growth</w:t>
            </w:r>
          </w:p>
        </w:tc>
      </w:tr>
      <w:tr>
        <w:trPr>
          <w:cantSplit/>
        </w:trPr>
        <w:tc>
          <w:tcPr>
            <w:tcW w:type="dxa" w:w="3100"/>
            <w:shd w:fill="FFFFFF"/>
            <w:vAlign w:val="center"/>
          </w:tcPr>
          <w:p>
            <w:pPr>
              <w:spacing w:after="0" w:before="0" w:line="252" w:lineRule="auto"/>
              <w:jc w:val="left"/>
            </w:pPr>
            <w:r/>
            <w:r>
              <w:rPr>
                <w:rFonts w:ascii="Calibri" w:hAnsi="Calibri"/>
                <w:b w:val="0"/>
                <w:color w:val="1F2933"/>
                <w:sz w:val="16"/>
              </w:rPr>
              <w:t>Referral / repeat share</w:t>
            </w:r>
          </w:p>
        </w:tc>
        <w:tc>
          <w:tcPr>
            <w:tcW w:type="dxa" w:w="1800"/>
            <w:shd w:fill="FFFFFF"/>
            <w:vAlign w:val="center"/>
          </w:tcPr>
          <w:p>
            <w:pPr>
              <w:spacing w:after="0" w:before="0" w:line="252" w:lineRule="auto"/>
              <w:jc w:val="left"/>
            </w:pPr>
            <w:r/>
            <w:r>
              <w:rPr>
                <w:rFonts w:ascii="Calibri" w:hAnsi="Calibri"/>
                <w:b w:val="0"/>
                <w:color w:val="1F2933"/>
                <w:sz w:val="16"/>
              </w:rPr>
              <w:t>≥30% by month 6</w:t>
            </w:r>
          </w:p>
        </w:tc>
        <w:tc>
          <w:tcPr>
            <w:tcW w:type="dxa" w:w="4460"/>
            <w:shd w:fill="FFFFFF"/>
            <w:vAlign w:val="center"/>
          </w:tcPr>
          <w:p>
            <w:pPr>
              <w:spacing w:after="0" w:before="0" w:line="252" w:lineRule="auto"/>
              <w:jc w:val="left"/>
            </w:pPr>
            <w:r/>
            <w:r>
              <w:rPr>
                <w:rFonts w:ascii="Calibri" w:hAnsi="Calibri"/>
                <w:b w:val="0"/>
                <w:color w:val="1F2933"/>
                <w:sz w:val="16"/>
              </w:rPr>
              <w:t>Trust and durable demand</w:t>
            </w:r>
          </w:p>
        </w:tc>
      </w:tr>
      <w:tr>
        <w:trPr>
          <w:cantSplit/>
        </w:trPr>
        <w:tc>
          <w:tcPr>
            <w:tcW w:type="dxa" w:w="3100"/>
            <w:shd w:fill="F4F6F9"/>
            <w:vAlign w:val="center"/>
          </w:tcPr>
          <w:p>
            <w:pPr>
              <w:spacing w:after="0" w:before="0" w:line="252" w:lineRule="auto"/>
              <w:jc w:val="left"/>
            </w:pPr>
            <w:r/>
            <w:r>
              <w:rPr>
                <w:rFonts w:ascii="Calibri" w:hAnsi="Calibri"/>
                <w:b w:val="0"/>
                <w:color w:val="1F2933"/>
                <w:sz w:val="16"/>
              </w:rPr>
              <w:t>NPS</w:t>
            </w:r>
          </w:p>
        </w:tc>
        <w:tc>
          <w:tcPr>
            <w:tcW w:type="dxa" w:w="1800"/>
            <w:shd w:fill="F4F6F9"/>
            <w:vAlign w:val="center"/>
          </w:tcPr>
          <w:p>
            <w:pPr>
              <w:spacing w:after="0" w:before="0" w:line="252" w:lineRule="auto"/>
              <w:jc w:val="left"/>
            </w:pPr>
            <w:r/>
            <w:r>
              <w:rPr>
                <w:rFonts w:ascii="Calibri" w:hAnsi="Calibri"/>
                <w:b w:val="0"/>
                <w:color w:val="1F2933"/>
                <w:sz w:val="16"/>
              </w:rPr>
              <w:t>≥50</w:t>
            </w:r>
          </w:p>
        </w:tc>
        <w:tc>
          <w:tcPr>
            <w:tcW w:type="dxa" w:w="4460"/>
            <w:shd w:fill="F4F6F9"/>
            <w:vAlign w:val="center"/>
          </w:tcPr>
          <w:p>
            <w:pPr>
              <w:spacing w:after="0" w:before="0" w:line="252" w:lineRule="auto"/>
              <w:jc w:val="left"/>
            </w:pPr>
            <w:r/>
            <w:r>
              <w:rPr>
                <w:rFonts w:ascii="Calibri" w:hAnsi="Calibri"/>
                <w:b w:val="0"/>
                <w:color w:val="1F2933"/>
                <w:sz w:val="16"/>
              </w:rPr>
              <w:t>Experience and referral potential</w:t>
            </w:r>
          </w:p>
        </w:tc>
      </w:tr>
      <w:tr>
        <w:trPr>
          <w:cantSplit/>
        </w:trPr>
        <w:tc>
          <w:tcPr>
            <w:tcW w:type="dxa" w:w="3100"/>
            <w:shd w:fill="FFFFFF"/>
            <w:vAlign w:val="center"/>
          </w:tcPr>
          <w:p>
            <w:pPr>
              <w:spacing w:after="0" w:before="0" w:line="252" w:lineRule="auto"/>
              <w:jc w:val="left"/>
            </w:pPr>
            <w:r/>
            <w:r>
              <w:rPr>
                <w:rFonts w:ascii="Calibri" w:hAnsi="Calibri"/>
                <w:b w:val="0"/>
                <w:color w:val="1F2933"/>
                <w:sz w:val="16"/>
              </w:rPr>
              <w:t>Critical privacy/confidentiality incidents</w:t>
            </w:r>
          </w:p>
        </w:tc>
        <w:tc>
          <w:tcPr>
            <w:tcW w:type="dxa" w:w="1800"/>
            <w:shd w:fill="FFFFFF"/>
            <w:vAlign w:val="center"/>
          </w:tcPr>
          <w:p>
            <w:pPr>
              <w:spacing w:after="0" w:before="0" w:line="252" w:lineRule="auto"/>
              <w:jc w:val="left"/>
            </w:pPr>
            <w:r/>
            <w:r>
              <w:rPr>
                <w:rFonts w:ascii="Calibri" w:hAnsi="Calibri"/>
                <w:b w:val="0"/>
                <w:color w:val="1F2933"/>
                <w:sz w:val="16"/>
              </w:rPr>
              <w:t>0</w:t>
            </w:r>
          </w:p>
        </w:tc>
        <w:tc>
          <w:tcPr>
            <w:tcW w:type="dxa" w:w="4460"/>
            <w:shd w:fill="FFFFFF"/>
            <w:vAlign w:val="center"/>
          </w:tcPr>
          <w:p>
            <w:pPr>
              <w:spacing w:after="0" w:before="0" w:line="252" w:lineRule="auto"/>
              <w:jc w:val="left"/>
            </w:pPr>
            <w:r/>
            <w:r>
              <w:rPr>
                <w:rFonts w:ascii="Calibri" w:hAnsi="Calibri"/>
                <w:b w:val="0"/>
                <w:color w:val="1F2933"/>
                <w:sz w:val="16"/>
              </w:rPr>
              <w:t>License to operate</w:t>
            </w:r>
          </w:p>
        </w:tc>
      </w:tr>
    </w:tbl>
    <w:p>
      <w:pPr>
        <w:spacing w:after="0"/>
      </w:pPr>
    </w:p>
    <w:p>
      <w:r>
        <w:br w:type="page"/>
      </w:r>
    </w:p>
    <w:p>
      <w:pPr>
        <w:spacing w:after="40"/>
      </w:pPr>
      <w:r>
        <w:rPr>
          <w:b/>
          <w:color w:val="238295"/>
          <w:sz w:val="17"/>
        </w:rPr>
        <w:t>CAPACITY BEFORE OPTIMISM</w:t>
      </w:r>
    </w:p>
    <w:p>
      <w:pPr>
        <w:pStyle w:val="Heading1"/>
        <w:keepNext/>
        <w:keepLines/>
      </w:pPr>
      <w:r>
        <w:t>13  Financial model design</w:t>
      </w:r>
    </w:p>
    <w:p>
      <w:r>
        <w:rPr>
          <w:i w:val="0"/>
        </w:rPr>
        <w:t>The financial model is a single-store, unlevered planning model with five full operating years. It uses service capacity, utilization, delivery hours, prices, package mix, memberships, later-stage gated revenue, staffing, occupancy, operating expenses, startup uses, working capital, and maintenance capital. It is not a valuation and does not assume debt service or net operating loss tax benefits.</w:t>
      </w:r>
    </w:p>
    <w:tbl>
      <w:tblPr>
        <w:tblW w:type="dxa" w:w="9360"/>
        <w:jc w:val="left"/>
        <w:tblLayout w:type="fixed"/>
        <w:tblLook w:firstColumn="1" w:firstRow="1" w:lastColumn="0" w:lastRow="0" w:noHBand="0" w:noVBand="1" w:val="04A0"/>
        <w:tblInd w:w="0" w:type="dxa"/>
      </w:tblPr>
      <w:tblGrid>
        <w:gridCol w:w="2600"/>
        <w:gridCol w:w="3160"/>
        <w:gridCol w:w="3600"/>
      </w:tblGrid>
      <w:tr>
        <w:trPr>
          <w:tblHeader w:val="true"/>
          <w:cantSplit/>
        </w:trPr>
        <w:tc>
          <w:tcPr>
            <w:tcW w:type="dxa" w:w="26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Driver</w:t>
            </w:r>
          </w:p>
        </w:tc>
        <w:tc>
          <w:tcPr>
            <w:tcW w:type="dxa" w:w="31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Base assumption</w:t>
            </w:r>
          </w:p>
        </w:tc>
        <w:tc>
          <w:tcPr>
            <w:tcW w:type="dxa" w:w="36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Interpretation</w:t>
            </w:r>
          </w:p>
        </w:tc>
      </w:tr>
      <w:tr>
        <w:trPr>
          <w:cantSplit/>
        </w:trPr>
        <w:tc>
          <w:tcPr>
            <w:tcW w:type="dxa" w:w="2600"/>
            <w:shd w:fill="FFFFFF"/>
            <w:vAlign w:val="center"/>
          </w:tcPr>
          <w:p>
            <w:pPr>
              <w:spacing w:after="0" w:before="0" w:line="252" w:lineRule="auto"/>
              <w:jc w:val="left"/>
            </w:pPr>
            <w:r/>
            <w:r>
              <w:rPr>
                <w:rFonts w:ascii="Calibri" w:hAnsi="Calibri"/>
                <w:b w:val="0"/>
                <w:color w:val="1F2933"/>
                <w:sz w:val="16"/>
              </w:rPr>
              <w:t>Delivery capacity</w:t>
            </w:r>
          </w:p>
        </w:tc>
        <w:tc>
          <w:tcPr>
            <w:tcW w:type="dxa" w:w="3160"/>
            <w:shd w:fill="FFFFFF"/>
            <w:vAlign w:val="center"/>
          </w:tcPr>
          <w:p>
            <w:pPr>
              <w:spacing w:after="0" w:before="0" w:line="252" w:lineRule="auto"/>
              <w:jc w:val="left"/>
            </w:pPr>
            <w:r/>
            <w:r>
              <w:rPr>
                <w:rFonts w:ascii="Calibri" w:hAnsi="Calibri"/>
                <w:b w:val="0"/>
                <w:color w:val="1F2933"/>
                <w:sz w:val="16"/>
              </w:rPr>
              <w:t>5 FTE × 1,450 client hours = 7,250 hours</w:t>
            </w:r>
          </w:p>
        </w:tc>
        <w:tc>
          <w:tcPr>
            <w:tcW w:type="dxa" w:w="3600"/>
            <w:shd w:fill="FFFFFF"/>
            <w:vAlign w:val="center"/>
          </w:tcPr>
          <w:p>
            <w:pPr>
              <w:spacing w:after="0" w:before="0" w:line="252" w:lineRule="auto"/>
              <w:jc w:val="left"/>
            </w:pPr>
            <w:r/>
            <w:r>
              <w:rPr>
                <w:rFonts w:ascii="Calibri" w:hAnsi="Calibri"/>
                <w:b w:val="0"/>
                <w:color w:val="1F2933"/>
                <w:sz w:val="16"/>
              </w:rPr>
              <w:t>Annual practical capacity before utilization</w:t>
            </w:r>
          </w:p>
        </w:tc>
      </w:tr>
      <w:tr>
        <w:trPr>
          <w:cantSplit/>
        </w:trPr>
        <w:tc>
          <w:tcPr>
            <w:tcW w:type="dxa" w:w="2600"/>
            <w:shd w:fill="F4F6F9"/>
            <w:vAlign w:val="center"/>
          </w:tcPr>
          <w:p>
            <w:pPr>
              <w:spacing w:after="0" w:before="0" w:line="252" w:lineRule="auto"/>
              <w:jc w:val="left"/>
            </w:pPr>
            <w:r/>
            <w:r>
              <w:rPr>
                <w:rFonts w:ascii="Calibri" w:hAnsi="Calibri"/>
                <w:b w:val="0"/>
                <w:color w:val="1F2933"/>
                <w:sz w:val="16"/>
              </w:rPr>
              <w:t>Paid utilization</w:t>
            </w:r>
          </w:p>
        </w:tc>
        <w:tc>
          <w:tcPr>
            <w:tcW w:type="dxa" w:w="3160"/>
            <w:shd w:fill="F4F6F9"/>
            <w:vAlign w:val="center"/>
          </w:tcPr>
          <w:p>
            <w:pPr>
              <w:spacing w:after="0" w:before="0" w:line="252" w:lineRule="auto"/>
              <w:jc w:val="left"/>
            </w:pPr>
            <w:r/>
            <w:r>
              <w:rPr>
                <w:rFonts w:ascii="Calibri" w:hAnsi="Calibri"/>
                <w:b w:val="0"/>
                <w:color w:val="1F2933"/>
                <w:sz w:val="16"/>
              </w:rPr>
              <w:t>38%, 52%, 65%, 75%, 82%</w:t>
            </w:r>
          </w:p>
        </w:tc>
        <w:tc>
          <w:tcPr>
            <w:tcW w:type="dxa" w:w="3600"/>
            <w:shd w:fill="F4F6F9"/>
            <w:vAlign w:val="center"/>
          </w:tcPr>
          <w:p>
            <w:pPr>
              <w:spacing w:after="0" w:before="0" w:line="252" w:lineRule="auto"/>
              <w:jc w:val="left"/>
            </w:pPr>
            <w:r/>
            <w:r>
              <w:rPr>
                <w:rFonts w:ascii="Calibri" w:hAnsi="Calibri"/>
                <w:b w:val="0"/>
                <w:color w:val="1F2933"/>
                <w:sz w:val="16"/>
              </w:rPr>
              <w:t>Aggressive maturation; must be measured</w:t>
            </w:r>
          </w:p>
        </w:tc>
      </w:tr>
      <w:tr>
        <w:trPr>
          <w:cantSplit/>
        </w:trPr>
        <w:tc>
          <w:tcPr>
            <w:tcW w:type="dxa" w:w="2600"/>
            <w:shd w:fill="FFFFFF"/>
            <w:vAlign w:val="center"/>
          </w:tcPr>
          <w:p>
            <w:pPr>
              <w:spacing w:after="0" w:before="0" w:line="252" w:lineRule="auto"/>
              <w:jc w:val="left"/>
            </w:pPr>
            <w:r/>
            <w:r>
              <w:rPr>
                <w:rFonts w:ascii="Calibri" w:hAnsi="Calibri"/>
                <w:b w:val="0"/>
                <w:color w:val="1F2933"/>
                <w:sz w:val="16"/>
              </w:rPr>
              <w:t>Service mix</w:t>
            </w:r>
          </w:p>
        </w:tc>
        <w:tc>
          <w:tcPr>
            <w:tcW w:type="dxa" w:w="3160"/>
            <w:shd w:fill="FFFFFF"/>
            <w:vAlign w:val="center"/>
          </w:tcPr>
          <w:p>
            <w:pPr>
              <w:spacing w:after="0" w:before="0" w:line="252" w:lineRule="auto"/>
              <w:jc w:val="left"/>
            </w:pPr>
            <w:r/>
            <w:r>
              <w:rPr>
                <w:rFonts w:ascii="Calibri" w:hAnsi="Calibri"/>
                <w:b w:val="0"/>
                <w:color w:val="1F2933"/>
                <w:sz w:val="16"/>
              </w:rPr>
              <w:t>15% / 35% / 32% / 18% by hours</w:t>
            </w:r>
          </w:p>
        </w:tc>
        <w:tc>
          <w:tcPr>
            <w:tcW w:type="dxa" w:w="3600"/>
            <w:shd w:fill="FFFFFF"/>
            <w:vAlign w:val="center"/>
          </w:tcPr>
          <w:p>
            <w:pPr>
              <w:spacing w:after="0" w:before="0" w:line="252" w:lineRule="auto"/>
              <w:jc w:val="left"/>
            </w:pPr>
            <w:r/>
            <w:r>
              <w:rPr>
                <w:rFonts w:ascii="Calibri" w:hAnsi="Calibri"/>
                <w:b w:val="0"/>
                <w:color w:val="1F2933"/>
                <w:sz w:val="16"/>
              </w:rPr>
              <w:t>Quick / Sprint / Build / Launch</w:t>
            </w:r>
          </w:p>
        </w:tc>
      </w:tr>
      <w:tr>
        <w:trPr>
          <w:cantSplit/>
        </w:trPr>
        <w:tc>
          <w:tcPr>
            <w:tcW w:type="dxa" w:w="2600"/>
            <w:shd w:fill="F4F6F9"/>
            <w:vAlign w:val="center"/>
          </w:tcPr>
          <w:p>
            <w:pPr>
              <w:spacing w:after="0" w:before="0" w:line="252" w:lineRule="auto"/>
              <w:jc w:val="left"/>
            </w:pPr>
            <w:r/>
            <w:r>
              <w:rPr>
                <w:rFonts w:ascii="Calibri" w:hAnsi="Calibri"/>
                <w:b w:val="0"/>
                <w:color w:val="1F2933"/>
                <w:sz w:val="16"/>
              </w:rPr>
              <w:t>Weighted service rate</w:t>
            </w:r>
          </w:p>
        </w:tc>
        <w:tc>
          <w:tcPr>
            <w:tcW w:type="dxa" w:w="3160"/>
            <w:shd w:fill="F4F6F9"/>
            <w:vAlign w:val="center"/>
          </w:tcPr>
          <w:p>
            <w:pPr>
              <w:spacing w:after="0" w:before="0" w:line="252" w:lineRule="auto"/>
              <w:jc w:val="left"/>
            </w:pPr>
            <w:r/>
            <w:r>
              <w:rPr>
                <w:rFonts w:ascii="Calibri" w:hAnsi="Calibri"/>
                <w:b w:val="0"/>
                <w:color w:val="1F2933"/>
                <w:sz w:val="16"/>
              </w:rPr>
              <w:t>$169 per paid client hour</w:t>
            </w:r>
          </w:p>
        </w:tc>
        <w:tc>
          <w:tcPr>
            <w:tcW w:type="dxa" w:w="3600"/>
            <w:shd w:fill="F4F6F9"/>
            <w:vAlign w:val="center"/>
          </w:tcPr>
          <w:p>
            <w:pPr>
              <w:spacing w:after="0" w:before="0" w:line="252" w:lineRule="auto"/>
              <w:jc w:val="left"/>
            </w:pPr>
            <w:r/>
            <w:r>
              <w:rPr>
                <w:rFonts w:ascii="Calibri" w:hAnsi="Calibri"/>
                <w:b w:val="0"/>
                <w:color w:val="1F2933"/>
                <w:sz w:val="16"/>
              </w:rPr>
              <w:t>Based on working prices and package mix</w:t>
            </w:r>
          </w:p>
        </w:tc>
      </w:tr>
      <w:tr>
        <w:trPr>
          <w:cantSplit/>
        </w:trPr>
        <w:tc>
          <w:tcPr>
            <w:tcW w:type="dxa" w:w="2600"/>
            <w:shd w:fill="FFFFFF"/>
            <w:vAlign w:val="center"/>
          </w:tcPr>
          <w:p>
            <w:pPr>
              <w:spacing w:after="0" w:before="0" w:line="252" w:lineRule="auto"/>
              <w:jc w:val="left"/>
            </w:pPr>
            <w:r/>
            <w:r>
              <w:rPr>
                <w:rFonts w:ascii="Calibri" w:hAnsi="Calibri"/>
                <w:b w:val="0"/>
                <w:color w:val="1F2933"/>
                <w:sz w:val="16"/>
              </w:rPr>
              <w:t>Membership</w:t>
            </w:r>
          </w:p>
        </w:tc>
        <w:tc>
          <w:tcPr>
            <w:tcW w:type="dxa" w:w="3160"/>
            <w:shd w:fill="FFFFFF"/>
            <w:vAlign w:val="center"/>
          </w:tcPr>
          <w:p>
            <w:pPr>
              <w:spacing w:after="0" w:before="0" w:line="252" w:lineRule="auto"/>
              <w:jc w:val="left"/>
            </w:pPr>
            <w:r/>
            <w:r>
              <w:rPr>
                <w:rFonts w:ascii="Calibri" w:hAnsi="Calibri"/>
                <w:b w:val="0"/>
                <w:color w:val="1F2933"/>
                <w:sz w:val="16"/>
              </w:rPr>
              <w:t>$99 per month</w:t>
            </w:r>
          </w:p>
        </w:tc>
        <w:tc>
          <w:tcPr>
            <w:tcW w:type="dxa" w:w="3600"/>
            <w:shd w:fill="FFFFFF"/>
            <w:vAlign w:val="center"/>
          </w:tcPr>
          <w:p>
            <w:pPr>
              <w:spacing w:after="0" w:before="0" w:line="252" w:lineRule="auto"/>
              <w:jc w:val="left"/>
            </w:pPr>
            <w:r/>
            <w:r>
              <w:rPr>
                <w:rFonts w:ascii="Calibri" w:hAnsi="Calibri"/>
                <w:b w:val="0"/>
                <w:color w:val="1F2933"/>
                <w:sz w:val="16"/>
              </w:rPr>
              <w:t>110 average members in Y1 to 420 in Y5</w:t>
            </w:r>
          </w:p>
        </w:tc>
      </w:tr>
      <w:tr>
        <w:trPr>
          <w:cantSplit/>
        </w:trPr>
        <w:tc>
          <w:tcPr>
            <w:tcW w:type="dxa" w:w="2600"/>
            <w:shd w:fill="F4F6F9"/>
            <w:vAlign w:val="center"/>
          </w:tcPr>
          <w:p>
            <w:pPr>
              <w:spacing w:after="0" w:before="0" w:line="252" w:lineRule="auto"/>
              <w:jc w:val="left"/>
            </w:pPr>
            <w:r/>
            <w:r>
              <w:rPr>
                <w:rFonts w:ascii="Calibri" w:hAnsi="Calibri"/>
                <w:b w:val="0"/>
                <w:color w:val="1F2933"/>
                <w:sz w:val="16"/>
              </w:rPr>
              <w:t>Occupancy</w:t>
            </w:r>
          </w:p>
        </w:tc>
        <w:tc>
          <w:tcPr>
            <w:tcW w:type="dxa" w:w="3160"/>
            <w:shd w:fill="F4F6F9"/>
            <w:vAlign w:val="center"/>
          </w:tcPr>
          <w:p>
            <w:pPr>
              <w:spacing w:after="0" w:before="0" w:line="252" w:lineRule="auto"/>
              <w:jc w:val="left"/>
            </w:pPr>
            <w:r/>
            <w:r>
              <w:rPr>
                <w:rFonts w:ascii="Calibri" w:hAnsi="Calibri"/>
                <w:b w:val="0"/>
                <w:color w:val="1F2933"/>
                <w:sz w:val="16"/>
              </w:rPr>
              <w:t>3,200 sq. ft.; $30 rent + $9 NNN/CAM</w:t>
            </w:r>
          </w:p>
        </w:tc>
        <w:tc>
          <w:tcPr>
            <w:tcW w:type="dxa" w:w="3600"/>
            <w:shd w:fill="F4F6F9"/>
            <w:vAlign w:val="center"/>
          </w:tcPr>
          <w:p>
            <w:pPr>
              <w:spacing w:after="0" w:before="0" w:line="252" w:lineRule="auto"/>
              <w:jc w:val="left"/>
            </w:pPr>
            <w:r/>
            <w:r>
              <w:rPr>
                <w:rFonts w:ascii="Calibri" w:hAnsi="Calibri"/>
                <w:b w:val="0"/>
                <w:color w:val="1F2933"/>
                <w:sz w:val="16"/>
              </w:rPr>
              <w:t>Visible service location; local quotes required</w:t>
            </w:r>
          </w:p>
        </w:tc>
      </w:tr>
      <w:tr>
        <w:trPr>
          <w:cantSplit/>
        </w:trPr>
        <w:tc>
          <w:tcPr>
            <w:tcW w:type="dxa" w:w="2600"/>
            <w:shd w:fill="FFFFFF"/>
            <w:vAlign w:val="center"/>
          </w:tcPr>
          <w:p>
            <w:pPr>
              <w:spacing w:after="0" w:before="0" w:line="252" w:lineRule="auto"/>
              <w:jc w:val="left"/>
            </w:pPr>
            <w:r/>
            <w:r>
              <w:rPr>
                <w:rFonts w:ascii="Calibri" w:hAnsi="Calibri"/>
                <w:b w:val="0"/>
                <w:color w:val="1F2933"/>
                <w:sz w:val="16"/>
              </w:rPr>
              <w:t>Opening uses</w:t>
            </w:r>
          </w:p>
        </w:tc>
        <w:tc>
          <w:tcPr>
            <w:tcW w:type="dxa" w:w="3160"/>
            <w:shd w:fill="FFFFFF"/>
            <w:vAlign w:val="center"/>
          </w:tcPr>
          <w:p>
            <w:pPr>
              <w:spacing w:after="0" w:before="0" w:line="252" w:lineRule="auto"/>
              <w:jc w:val="left"/>
            </w:pPr>
            <w:r/>
            <w:r>
              <w:rPr>
                <w:rFonts w:ascii="Calibri" w:hAnsi="Calibri"/>
                <w:b w:val="0"/>
                <w:color w:val="1F2933"/>
                <w:sz w:val="16"/>
              </w:rPr>
              <w:t>$995K</w:t>
            </w:r>
          </w:p>
        </w:tc>
        <w:tc>
          <w:tcPr>
            <w:tcW w:type="dxa" w:w="3600"/>
            <w:shd w:fill="FFFFFF"/>
            <w:vAlign w:val="center"/>
          </w:tcPr>
          <w:p>
            <w:pPr>
              <w:spacing w:after="0" w:before="0" w:line="252" w:lineRule="auto"/>
              <w:jc w:val="left"/>
            </w:pPr>
            <w:r/>
            <w:r>
              <w:rPr>
                <w:rFonts w:ascii="Calibri" w:hAnsi="Calibri"/>
                <w:b w:val="0"/>
                <w:color w:val="1F2933"/>
                <w:sz w:val="16"/>
              </w:rPr>
              <w:t>$560K buildout plus FF&amp;E, tech, pre-open, deposits</w:t>
            </w:r>
          </w:p>
        </w:tc>
      </w:tr>
      <w:tr>
        <w:trPr>
          <w:cantSplit/>
        </w:trPr>
        <w:tc>
          <w:tcPr>
            <w:tcW w:type="dxa" w:w="2600"/>
            <w:shd w:fill="F4F6F9"/>
            <w:vAlign w:val="center"/>
          </w:tcPr>
          <w:p>
            <w:pPr>
              <w:spacing w:after="0" w:before="0" w:line="252" w:lineRule="auto"/>
              <w:jc w:val="left"/>
            </w:pPr>
            <w:r/>
            <w:r>
              <w:rPr>
                <w:rFonts w:ascii="Calibri" w:hAnsi="Calibri"/>
                <w:b w:val="0"/>
                <w:color w:val="1F2933"/>
                <w:sz w:val="16"/>
              </w:rPr>
              <w:t>Minimum cash buffer</w:t>
            </w:r>
          </w:p>
        </w:tc>
        <w:tc>
          <w:tcPr>
            <w:tcW w:type="dxa" w:w="3160"/>
            <w:shd w:fill="F4F6F9"/>
            <w:vAlign w:val="center"/>
          </w:tcPr>
          <w:p>
            <w:pPr>
              <w:spacing w:after="0" w:before="0" w:line="252" w:lineRule="auto"/>
              <w:jc w:val="left"/>
            </w:pPr>
            <w:r/>
            <w:r>
              <w:rPr>
                <w:rFonts w:ascii="Calibri" w:hAnsi="Calibri"/>
                <w:b w:val="0"/>
                <w:color w:val="1F2933"/>
                <w:sz w:val="16"/>
              </w:rPr>
              <w:t>$250K</w:t>
            </w:r>
          </w:p>
        </w:tc>
        <w:tc>
          <w:tcPr>
            <w:tcW w:type="dxa" w:w="3600"/>
            <w:shd w:fill="F4F6F9"/>
            <w:vAlign w:val="center"/>
          </w:tcPr>
          <w:p>
            <w:pPr>
              <w:spacing w:after="0" w:before="0" w:line="252" w:lineRule="auto"/>
              <w:jc w:val="left"/>
            </w:pPr>
            <w:r/>
            <w:r>
              <w:rPr>
                <w:rFonts w:ascii="Calibri" w:hAnsi="Calibri"/>
                <w:b w:val="0"/>
                <w:color w:val="1F2933"/>
                <w:sz w:val="16"/>
              </w:rPr>
              <w:t>Financing need preserves this balance</w:t>
            </w:r>
          </w:p>
        </w:tc>
      </w:tr>
    </w:tbl>
    <w:p>
      <w:pPr>
        <w:spacing w:after="0"/>
      </w:pPr>
    </w:p>
    <w:p>
      <w:r>
        <w:rPr>
          <w:i w:val="0"/>
        </w:rPr>
        <w:t>Service gross margin appears high because most delivery payroll is treated as fixed operating expense. The management focus should therefore be paid utilization, realized revenue per paid hour, project variance, and gross profit after specialist pass-through—not gross margin alone.</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38295"/>
          </w:tcPr>
          <w:p>
            <w:pPr>
              <w:spacing w:after="0" w:before="0" w:line="252" w:lineRule="auto"/>
              <w:jc w:val="left"/>
            </w:pPr>
            <w:r/>
            <w:r>
              <w:rPr>
                <w:rFonts w:ascii="Calibri" w:hAnsi="Calibri"/>
                <w:b/>
                <w:color w:val="FFFFFF"/>
                <w:sz w:val="19"/>
              </w:rPr>
              <w:t>MODEL USE</w:t>
            </w:r>
          </w:p>
        </w:tc>
      </w:tr>
      <w:tr>
        <w:trPr>
          <w:cantSplit/>
        </w:trPr>
        <w:tc>
          <w:tcPr>
            <w:tcW w:type="dxa" w:w="9360"/>
            <w:tcMar>
              <w:top w:w="80" w:type="dxa"/>
              <w:start w:w="120" w:type="dxa"/>
              <w:bottom w:w="80" w:type="dxa"/>
              <w:end w:w="120" w:type="dxa"/>
            </w:tcMar>
            <w:shd w:fill="E8F2F6"/>
          </w:tcPr>
          <w:p>
            <w:pPr>
              <w:spacing w:after="40" w:before="0" w:line="252" w:lineRule="auto"/>
              <w:jc w:val="left"/>
            </w:pPr>
            <w:r/>
            <w:r>
              <w:rPr>
                <w:rFonts w:ascii="Calibri" w:hAnsi="Calibri"/>
                <w:b w:val="0"/>
                <w:color w:val="1F2933"/>
                <w:sz w:val="20"/>
              </w:rPr>
              <w:t>Edit blue assumption cells, review green cross-sheet formulas, and keep the Checks sheet at PASS. Replace management assumptions with signed quotes, actual invoices, and measured funnel data as they become available.</w:t>
            </w:r>
          </w:p>
        </w:tc>
      </w:tr>
    </w:tbl>
    <w:p>
      <w:pPr>
        <w:spacing w:after="0"/>
      </w:pPr>
    </w:p>
    <w:p>
      <w:r>
        <w:br w:type="page"/>
      </w:r>
    </w:p>
    <w:p>
      <w:pPr>
        <w:spacing w:after="40"/>
      </w:pPr>
      <w:r>
        <w:rPr>
          <w:b/>
          <w:color w:val="238295"/>
          <w:sz w:val="17"/>
        </w:rPr>
        <w:t>BASE CASE</w:t>
      </w:r>
    </w:p>
    <w:p>
      <w:pPr>
        <w:pStyle w:val="Heading1"/>
        <w:keepNext/>
        <w:keepLines/>
      </w:pPr>
      <w:r>
        <w:t>14  Five-year single-store projection</w:t>
      </w:r>
    </w:p>
    <w:tbl>
      <w:tblPr>
        <w:tblW w:type="dxa" w:w="9360"/>
        <w:jc w:val="left"/>
        <w:tblLayout w:type="fixed"/>
        <w:tblLook w:firstColumn="1" w:firstRow="1" w:lastColumn="0" w:lastRow="0" w:noHBand="0" w:noVBand="1" w:val="04A0"/>
        <w:tblInd w:w="0" w:type="dxa"/>
      </w:tblPr>
      <w:tblGrid>
        <w:gridCol w:w="2200"/>
        <w:gridCol w:w="1432"/>
        <w:gridCol w:w="1432"/>
        <w:gridCol w:w="1432"/>
        <w:gridCol w:w="1432"/>
        <w:gridCol w:w="1432"/>
      </w:tblGrid>
      <w:tr>
        <w:trPr>
          <w:tblHeader w:val="true"/>
          <w:cantSplit/>
        </w:trPr>
        <w:tc>
          <w:tcPr>
            <w:tcW w:type="dxa" w:w="22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USD</w:t>
            </w:r>
          </w:p>
        </w:tc>
        <w:tc>
          <w:tcPr>
            <w:tcW w:type="dxa" w:w="1432"/>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1</w:t>
            </w:r>
          </w:p>
        </w:tc>
        <w:tc>
          <w:tcPr>
            <w:tcW w:type="dxa" w:w="1432"/>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2</w:t>
            </w:r>
          </w:p>
        </w:tc>
        <w:tc>
          <w:tcPr>
            <w:tcW w:type="dxa" w:w="1432"/>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3</w:t>
            </w:r>
          </w:p>
        </w:tc>
        <w:tc>
          <w:tcPr>
            <w:tcW w:type="dxa" w:w="1432"/>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4</w:t>
            </w:r>
          </w:p>
        </w:tc>
        <w:tc>
          <w:tcPr>
            <w:tcW w:type="dxa" w:w="1432"/>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5</w:t>
            </w:r>
          </w:p>
        </w:tc>
      </w:tr>
      <w:tr>
        <w:trPr>
          <w:cantSplit/>
        </w:trPr>
        <w:tc>
          <w:tcPr>
            <w:tcW w:type="dxa" w:w="2200"/>
            <w:shd w:fill="FFFFFF"/>
            <w:vAlign w:val="center"/>
          </w:tcPr>
          <w:p>
            <w:pPr>
              <w:spacing w:after="0" w:before="0" w:line="252" w:lineRule="auto"/>
              <w:jc w:val="left"/>
            </w:pPr>
            <w:r/>
            <w:r>
              <w:rPr>
                <w:rFonts w:ascii="Calibri" w:hAnsi="Calibri"/>
                <w:b w:val="0"/>
                <w:color w:val="1F2933"/>
                <w:sz w:val="16"/>
              </w:rPr>
              <w:t>Revenue</w:t>
            </w:r>
          </w:p>
        </w:tc>
        <w:tc>
          <w:tcPr>
            <w:tcW w:type="dxa" w:w="1432"/>
            <w:shd w:fill="FFFFFF"/>
            <w:vAlign w:val="center"/>
          </w:tcPr>
          <w:p>
            <w:pPr>
              <w:spacing w:after="0" w:before="0" w:line="252" w:lineRule="auto"/>
              <w:jc w:val="right"/>
            </w:pPr>
            <w:r/>
            <w:r>
              <w:rPr>
                <w:rFonts w:ascii="Calibri" w:hAnsi="Calibri"/>
                <w:b w:val="0"/>
                <w:color w:val="1F2933"/>
                <w:sz w:val="16"/>
              </w:rPr>
              <w:t>$673,932</w:t>
            </w:r>
          </w:p>
        </w:tc>
        <w:tc>
          <w:tcPr>
            <w:tcW w:type="dxa" w:w="1432"/>
            <w:shd w:fill="FFFFFF"/>
            <w:vAlign w:val="center"/>
          </w:tcPr>
          <w:p>
            <w:pPr>
              <w:spacing w:after="0" w:before="0" w:line="252" w:lineRule="auto"/>
              <w:jc w:val="right"/>
            </w:pPr>
            <w:r/>
            <w:r>
              <w:rPr>
                <w:rFonts w:ascii="Calibri" w:hAnsi="Calibri"/>
                <w:b w:val="0"/>
                <w:color w:val="1F2933"/>
                <w:sz w:val="16"/>
              </w:rPr>
              <w:t>$967,500</w:t>
            </w:r>
          </w:p>
        </w:tc>
        <w:tc>
          <w:tcPr>
            <w:tcW w:type="dxa" w:w="1432"/>
            <w:shd w:fill="FFFFFF"/>
            <w:vAlign w:val="center"/>
          </w:tcPr>
          <w:p>
            <w:pPr>
              <w:spacing w:after="0" w:before="0" w:line="252" w:lineRule="auto"/>
              <w:jc w:val="right"/>
            </w:pPr>
            <w:r/>
            <w:r>
              <w:rPr>
                <w:rFonts w:ascii="Calibri" w:hAnsi="Calibri"/>
                <w:b w:val="0"/>
                <w:color w:val="1F2933"/>
                <w:sz w:val="16"/>
              </w:rPr>
              <w:t>$1,289,705</w:t>
            </w:r>
          </w:p>
        </w:tc>
        <w:tc>
          <w:tcPr>
            <w:tcW w:type="dxa" w:w="1432"/>
            <w:shd w:fill="FFFFFF"/>
            <w:vAlign w:val="center"/>
          </w:tcPr>
          <w:p>
            <w:pPr>
              <w:spacing w:after="0" w:before="0" w:line="252" w:lineRule="auto"/>
              <w:jc w:val="right"/>
            </w:pPr>
            <w:r/>
            <w:r>
              <w:rPr>
                <w:rFonts w:ascii="Calibri" w:hAnsi="Calibri"/>
                <w:b w:val="0"/>
                <w:color w:val="1F2933"/>
                <w:sz w:val="16"/>
              </w:rPr>
              <w:t>$1,672,180</w:t>
            </w:r>
          </w:p>
        </w:tc>
        <w:tc>
          <w:tcPr>
            <w:tcW w:type="dxa" w:w="1432"/>
            <w:shd w:fill="FFFFFF"/>
            <w:vAlign w:val="center"/>
          </w:tcPr>
          <w:p>
            <w:pPr>
              <w:spacing w:after="0" w:before="0" w:line="252" w:lineRule="auto"/>
              <w:jc w:val="right"/>
            </w:pPr>
            <w:r/>
            <w:r>
              <w:rPr>
                <w:rFonts w:ascii="Calibri" w:hAnsi="Calibri"/>
                <w:b w:val="0"/>
                <w:color w:val="1F2933"/>
                <w:sz w:val="16"/>
              </w:rPr>
              <w:t>$2,009,924</w:t>
            </w:r>
          </w:p>
        </w:tc>
      </w:tr>
      <w:tr>
        <w:trPr>
          <w:cantSplit/>
        </w:trPr>
        <w:tc>
          <w:tcPr>
            <w:tcW w:type="dxa" w:w="2200"/>
            <w:shd w:fill="F4F6F9"/>
            <w:vAlign w:val="center"/>
          </w:tcPr>
          <w:p>
            <w:pPr>
              <w:spacing w:after="0" w:before="0" w:line="252" w:lineRule="auto"/>
              <w:jc w:val="left"/>
            </w:pPr>
            <w:r/>
            <w:r>
              <w:rPr>
                <w:rFonts w:ascii="Calibri" w:hAnsi="Calibri"/>
                <w:b w:val="0"/>
                <w:color w:val="1F2933"/>
                <w:sz w:val="16"/>
              </w:rPr>
              <w:t>Gross profit</w:t>
            </w:r>
          </w:p>
        </w:tc>
        <w:tc>
          <w:tcPr>
            <w:tcW w:type="dxa" w:w="1432"/>
            <w:shd w:fill="F4F6F9"/>
            <w:vAlign w:val="center"/>
          </w:tcPr>
          <w:p>
            <w:pPr>
              <w:spacing w:after="0" w:before="0" w:line="252" w:lineRule="auto"/>
              <w:jc w:val="right"/>
            </w:pPr>
            <w:r/>
            <w:r>
              <w:rPr>
                <w:rFonts w:ascii="Calibri" w:hAnsi="Calibri"/>
                <w:b w:val="0"/>
                <w:color w:val="1F2933"/>
                <w:sz w:val="16"/>
              </w:rPr>
              <w:t>$582,823</w:t>
            </w:r>
          </w:p>
        </w:tc>
        <w:tc>
          <w:tcPr>
            <w:tcW w:type="dxa" w:w="1432"/>
            <w:shd w:fill="F4F6F9"/>
            <w:vAlign w:val="center"/>
          </w:tcPr>
          <w:p>
            <w:pPr>
              <w:spacing w:after="0" w:before="0" w:line="252" w:lineRule="auto"/>
              <w:jc w:val="right"/>
            </w:pPr>
            <w:r/>
            <w:r>
              <w:rPr>
                <w:rFonts w:ascii="Calibri" w:hAnsi="Calibri"/>
                <w:b w:val="0"/>
                <w:color w:val="1F2933"/>
                <w:sz w:val="16"/>
              </w:rPr>
              <w:t>$836,244</w:t>
            </w:r>
          </w:p>
        </w:tc>
        <w:tc>
          <w:tcPr>
            <w:tcW w:type="dxa" w:w="1432"/>
            <w:shd w:fill="F4F6F9"/>
            <w:vAlign w:val="center"/>
          </w:tcPr>
          <w:p>
            <w:pPr>
              <w:spacing w:after="0" w:before="0" w:line="252" w:lineRule="auto"/>
              <w:jc w:val="right"/>
            </w:pPr>
            <w:r/>
            <w:r>
              <w:rPr>
                <w:rFonts w:ascii="Calibri" w:hAnsi="Calibri"/>
                <w:b w:val="0"/>
                <w:color w:val="1F2933"/>
                <w:sz w:val="16"/>
              </w:rPr>
              <w:t>$1,106,852</w:t>
            </w:r>
          </w:p>
        </w:tc>
        <w:tc>
          <w:tcPr>
            <w:tcW w:type="dxa" w:w="1432"/>
            <w:shd w:fill="F4F6F9"/>
            <w:vAlign w:val="center"/>
          </w:tcPr>
          <w:p>
            <w:pPr>
              <w:spacing w:after="0" w:before="0" w:line="252" w:lineRule="auto"/>
              <w:jc w:val="right"/>
            </w:pPr>
            <w:r/>
            <w:r>
              <w:rPr>
                <w:rFonts w:ascii="Calibri" w:hAnsi="Calibri"/>
                <w:b w:val="0"/>
                <w:color w:val="1F2933"/>
                <w:sz w:val="16"/>
              </w:rPr>
              <w:t>$1,413,694</w:t>
            </w:r>
          </w:p>
        </w:tc>
        <w:tc>
          <w:tcPr>
            <w:tcW w:type="dxa" w:w="1432"/>
            <w:shd w:fill="F4F6F9"/>
            <w:vAlign w:val="center"/>
          </w:tcPr>
          <w:p>
            <w:pPr>
              <w:spacing w:after="0" w:before="0" w:line="252" w:lineRule="auto"/>
              <w:jc w:val="right"/>
            </w:pPr>
            <w:r/>
            <w:r>
              <w:rPr>
                <w:rFonts w:ascii="Calibri" w:hAnsi="Calibri"/>
                <w:b w:val="0"/>
                <w:color w:val="1F2933"/>
                <w:sz w:val="16"/>
              </w:rPr>
              <w:t>$1,682,519</w:t>
            </w:r>
          </w:p>
        </w:tc>
      </w:tr>
      <w:tr>
        <w:trPr>
          <w:cantSplit/>
        </w:trPr>
        <w:tc>
          <w:tcPr>
            <w:tcW w:type="dxa" w:w="2200"/>
            <w:shd w:fill="FFFFFF"/>
            <w:vAlign w:val="center"/>
          </w:tcPr>
          <w:p>
            <w:pPr>
              <w:spacing w:after="0" w:before="0" w:line="252" w:lineRule="auto"/>
              <w:jc w:val="left"/>
            </w:pPr>
            <w:r/>
            <w:r>
              <w:rPr>
                <w:rFonts w:ascii="Calibri" w:hAnsi="Calibri"/>
                <w:b w:val="0"/>
                <w:color w:val="1F2933"/>
                <w:sz w:val="16"/>
              </w:rPr>
              <w:t>Operating expenses</w:t>
            </w:r>
          </w:p>
        </w:tc>
        <w:tc>
          <w:tcPr>
            <w:tcW w:type="dxa" w:w="1432"/>
            <w:shd w:fill="FFFFFF"/>
            <w:vAlign w:val="center"/>
          </w:tcPr>
          <w:p>
            <w:pPr>
              <w:spacing w:after="0" w:before="0" w:line="252" w:lineRule="auto"/>
              <w:jc w:val="right"/>
            </w:pPr>
            <w:r/>
            <w:r>
              <w:rPr>
                <w:rFonts w:ascii="Calibri" w:hAnsi="Calibri"/>
                <w:b w:val="0"/>
                <w:color w:val="1F2933"/>
                <w:sz w:val="16"/>
              </w:rPr>
              <w:t>$1,197,200</w:t>
            </w:r>
          </w:p>
        </w:tc>
        <w:tc>
          <w:tcPr>
            <w:tcW w:type="dxa" w:w="1432"/>
            <w:shd w:fill="FFFFFF"/>
            <w:vAlign w:val="center"/>
          </w:tcPr>
          <w:p>
            <w:pPr>
              <w:spacing w:after="0" w:before="0" w:line="252" w:lineRule="auto"/>
              <w:jc w:val="right"/>
            </w:pPr>
            <w:r/>
            <w:r>
              <w:rPr>
                <w:rFonts w:ascii="Calibri" w:hAnsi="Calibri"/>
                <w:b w:val="0"/>
                <w:color w:val="1F2933"/>
                <w:sz w:val="16"/>
              </w:rPr>
              <w:t>$1,209,066</w:t>
            </w:r>
          </w:p>
        </w:tc>
        <w:tc>
          <w:tcPr>
            <w:tcW w:type="dxa" w:w="1432"/>
            <w:shd w:fill="FFFFFF"/>
            <w:vAlign w:val="center"/>
          </w:tcPr>
          <w:p>
            <w:pPr>
              <w:spacing w:after="0" w:before="0" w:line="252" w:lineRule="auto"/>
              <w:jc w:val="right"/>
            </w:pPr>
            <w:r/>
            <w:r>
              <w:rPr>
                <w:rFonts w:ascii="Calibri" w:hAnsi="Calibri"/>
                <w:b w:val="0"/>
                <w:color w:val="1F2933"/>
                <w:sz w:val="16"/>
              </w:rPr>
              <w:t>$1,357,248</w:t>
            </w:r>
          </w:p>
        </w:tc>
        <w:tc>
          <w:tcPr>
            <w:tcW w:type="dxa" w:w="1432"/>
            <w:shd w:fill="FFFFFF"/>
            <w:vAlign w:val="center"/>
          </w:tcPr>
          <w:p>
            <w:pPr>
              <w:spacing w:after="0" w:before="0" w:line="252" w:lineRule="auto"/>
              <w:jc w:val="right"/>
            </w:pPr>
            <w:r/>
            <w:r>
              <w:rPr>
                <w:rFonts w:ascii="Calibri" w:hAnsi="Calibri"/>
                <w:b w:val="0"/>
                <w:color w:val="1F2933"/>
                <w:sz w:val="16"/>
              </w:rPr>
              <w:t>$1,476,814</w:t>
            </w:r>
          </w:p>
        </w:tc>
        <w:tc>
          <w:tcPr>
            <w:tcW w:type="dxa" w:w="1432"/>
            <w:shd w:fill="FFFFFF"/>
            <w:vAlign w:val="center"/>
          </w:tcPr>
          <w:p>
            <w:pPr>
              <w:spacing w:after="0" w:before="0" w:line="252" w:lineRule="auto"/>
              <w:jc w:val="right"/>
            </w:pPr>
            <w:r/>
            <w:r>
              <w:rPr>
                <w:rFonts w:ascii="Calibri" w:hAnsi="Calibri"/>
                <w:b w:val="0"/>
                <w:color w:val="1F2933"/>
                <w:sz w:val="16"/>
              </w:rPr>
              <w:t>$1,607,837</w:t>
            </w:r>
          </w:p>
        </w:tc>
      </w:tr>
      <w:tr>
        <w:trPr>
          <w:cantSplit/>
        </w:trPr>
        <w:tc>
          <w:tcPr>
            <w:tcW w:type="dxa" w:w="2200"/>
            <w:shd w:fill="E8F2F6"/>
            <w:vAlign w:val="center"/>
          </w:tcPr>
          <w:p>
            <w:pPr>
              <w:spacing w:after="0" w:before="0" w:line="252" w:lineRule="auto"/>
              <w:jc w:val="left"/>
            </w:pPr>
            <w:r/>
            <w:r>
              <w:rPr>
                <w:rFonts w:ascii="Calibri" w:hAnsi="Calibri"/>
                <w:b/>
                <w:color w:val="1F2933"/>
                <w:sz w:val="16"/>
              </w:rPr>
              <w:t>EBITDA</w:t>
            </w:r>
          </w:p>
        </w:tc>
        <w:tc>
          <w:tcPr>
            <w:tcW w:type="dxa" w:w="1432"/>
            <w:shd w:fill="E8F2F6"/>
            <w:vAlign w:val="center"/>
          </w:tcPr>
          <w:p>
            <w:pPr>
              <w:spacing w:after="0" w:before="0" w:line="252" w:lineRule="auto"/>
              <w:jc w:val="right"/>
            </w:pPr>
            <w:r/>
            <w:r>
              <w:rPr>
                <w:rFonts w:ascii="Calibri" w:hAnsi="Calibri"/>
                <w:b/>
                <w:color w:val="B33A3A"/>
                <w:sz w:val="16"/>
              </w:rPr>
              <w:t>($614,377)</w:t>
            </w:r>
          </w:p>
        </w:tc>
        <w:tc>
          <w:tcPr>
            <w:tcW w:type="dxa" w:w="1432"/>
            <w:shd w:fill="E8F2F6"/>
            <w:vAlign w:val="center"/>
          </w:tcPr>
          <w:p>
            <w:pPr>
              <w:spacing w:after="0" w:before="0" w:line="252" w:lineRule="auto"/>
              <w:jc w:val="right"/>
            </w:pPr>
            <w:r/>
            <w:r>
              <w:rPr>
                <w:rFonts w:ascii="Calibri" w:hAnsi="Calibri"/>
                <w:b/>
                <w:color w:val="B33A3A"/>
                <w:sz w:val="16"/>
              </w:rPr>
              <w:t>($372,822)</w:t>
            </w:r>
          </w:p>
        </w:tc>
        <w:tc>
          <w:tcPr>
            <w:tcW w:type="dxa" w:w="1432"/>
            <w:shd w:fill="E8F2F6"/>
            <w:vAlign w:val="center"/>
          </w:tcPr>
          <w:p>
            <w:pPr>
              <w:spacing w:after="0" w:before="0" w:line="252" w:lineRule="auto"/>
              <w:jc w:val="right"/>
            </w:pPr>
            <w:r/>
            <w:r>
              <w:rPr>
                <w:rFonts w:ascii="Calibri" w:hAnsi="Calibri"/>
                <w:b/>
                <w:color w:val="B33A3A"/>
                <w:sz w:val="16"/>
              </w:rPr>
              <w:t>($250,396)</w:t>
            </w:r>
          </w:p>
        </w:tc>
        <w:tc>
          <w:tcPr>
            <w:tcW w:type="dxa" w:w="1432"/>
            <w:shd w:fill="E8F2F6"/>
            <w:vAlign w:val="center"/>
          </w:tcPr>
          <w:p>
            <w:pPr>
              <w:spacing w:after="0" w:before="0" w:line="252" w:lineRule="auto"/>
              <w:jc w:val="right"/>
            </w:pPr>
            <w:r/>
            <w:r>
              <w:rPr>
                <w:rFonts w:ascii="Calibri" w:hAnsi="Calibri"/>
                <w:b/>
                <w:color w:val="B33A3A"/>
                <w:sz w:val="16"/>
              </w:rPr>
              <w:t>($63,120)</w:t>
            </w:r>
          </w:p>
        </w:tc>
        <w:tc>
          <w:tcPr>
            <w:tcW w:type="dxa" w:w="1432"/>
            <w:shd w:fill="E8F2F6"/>
            <w:vAlign w:val="center"/>
          </w:tcPr>
          <w:p>
            <w:pPr>
              <w:spacing w:after="0" w:before="0" w:line="252" w:lineRule="auto"/>
              <w:jc w:val="right"/>
            </w:pPr>
            <w:r/>
            <w:r>
              <w:rPr>
                <w:rFonts w:ascii="Calibri" w:hAnsi="Calibri"/>
                <w:b/>
                <w:color w:val="1F2933"/>
                <w:sz w:val="16"/>
              </w:rPr>
              <w:t>$74,681</w:t>
            </w:r>
          </w:p>
        </w:tc>
      </w:tr>
      <w:tr>
        <w:trPr>
          <w:cantSplit/>
        </w:trPr>
        <w:tc>
          <w:tcPr>
            <w:tcW w:type="dxa" w:w="2200"/>
            <w:shd w:fill="FFFFFF"/>
            <w:vAlign w:val="center"/>
          </w:tcPr>
          <w:p>
            <w:pPr>
              <w:spacing w:after="0" w:before="0" w:line="252" w:lineRule="auto"/>
              <w:jc w:val="left"/>
            </w:pPr>
            <w:r/>
            <w:r>
              <w:rPr>
                <w:rFonts w:ascii="Calibri" w:hAnsi="Calibri"/>
                <w:b w:val="0"/>
                <w:color w:val="1F2933"/>
                <w:sz w:val="16"/>
              </w:rPr>
              <w:t>EBITDA margin</w:t>
            </w:r>
          </w:p>
        </w:tc>
        <w:tc>
          <w:tcPr>
            <w:tcW w:type="dxa" w:w="1432"/>
            <w:shd w:fill="FFFFFF"/>
            <w:vAlign w:val="center"/>
          </w:tcPr>
          <w:p>
            <w:pPr>
              <w:spacing w:after="0" w:before="0" w:line="252" w:lineRule="auto"/>
              <w:jc w:val="right"/>
            </w:pPr>
            <w:r/>
            <w:r>
              <w:rPr>
                <w:rFonts w:ascii="Calibri" w:hAnsi="Calibri"/>
                <w:b w:val="0"/>
                <w:color w:val="B33A3A"/>
                <w:sz w:val="16"/>
              </w:rPr>
              <w:t>(91.2%)</w:t>
            </w:r>
          </w:p>
        </w:tc>
        <w:tc>
          <w:tcPr>
            <w:tcW w:type="dxa" w:w="1432"/>
            <w:shd w:fill="FFFFFF"/>
            <w:vAlign w:val="center"/>
          </w:tcPr>
          <w:p>
            <w:pPr>
              <w:spacing w:after="0" w:before="0" w:line="252" w:lineRule="auto"/>
              <w:jc w:val="right"/>
            </w:pPr>
            <w:r/>
            <w:r>
              <w:rPr>
                <w:rFonts w:ascii="Calibri" w:hAnsi="Calibri"/>
                <w:b w:val="0"/>
                <w:color w:val="B33A3A"/>
                <w:sz w:val="16"/>
              </w:rPr>
              <w:t>(38.5%)</w:t>
            </w:r>
          </w:p>
        </w:tc>
        <w:tc>
          <w:tcPr>
            <w:tcW w:type="dxa" w:w="1432"/>
            <w:shd w:fill="FFFFFF"/>
            <w:vAlign w:val="center"/>
          </w:tcPr>
          <w:p>
            <w:pPr>
              <w:spacing w:after="0" w:before="0" w:line="252" w:lineRule="auto"/>
              <w:jc w:val="right"/>
            </w:pPr>
            <w:r/>
            <w:r>
              <w:rPr>
                <w:rFonts w:ascii="Calibri" w:hAnsi="Calibri"/>
                <w:b w:val="0"/>
                <w:color w:val="B33A3A"/>
                <w:sz w:val="16"/>
              </w:rPr>
              <w:t>(19.4%)</w:t>
            </w:r>
          </w:p>
        </w:tc>
        <w:tc>
          <w:tcPr>
            <w:tcW w:type="dxa" w:w="1432"/>
            <w:shd w:fill="FFFFFF"/>
            <w:vAlign w:val="center"/>
          </w:tcPr>
          <w:p>
            <w:pPr>
              <w:spacing w:after="0" w:before="0" w:line="252" w:lineRule="auto"/>
              <w:jc w:val="right"/>
            </w:pPr>
            <w:r/>
            <w:r>
              <w:rPr>
                <w:rFonts w:ascii="Calibri" w:hAnsi="Calibri"/>
                <w:b w:val="0"/>
                <w:color w:val="B33A3A"/>
                <w:sz w:val="16"/>
              </w:rPr>
              <w:t>(3.8%)</w:t>
            </w:r>
          </w:p>
        </w:tc>
        <w:tc>
          <w:tcPr>
            <w:tcW w:type="dxa" w:w="1432"/>
            <w:shd w:fill="FFFFFF"/>
            <w:vAlign w:val="center"/>
          </w:tcPr>
          <w:p>
            <w:pPr>
              <w:spacing w:after="0" w:before="0" w:line="252" w:lineRule="auto"/>
              <w:jc w:val="right"/>
            </w:pPr>
            <w:r/>
            <w:r>
              <w:rPr>
                <w:rFonts w:ascii="Calibri" w:hAnsi="Calibri"/>
                <w:b w:val="0"/>
                <w:color w:val="1F2933"/>
                <w:sz w:val="16"/>
              </w:rPr>
              <w:t>3.7%</w:t>
            </w:r>
          </w:p>
        </w:tc>
      </w:tr>
      <w:tr>
        <w:trPr>
          <w:cantSplit/>
        </w:trPr>
        <w:tc>
          <w:tcPr>
            <w:tcW w:type="dxa" w:w="2200"/>
            <w:shd w:fill="F4F6F9"/>
            <w:vAlign w:val="center"/>
          </w:tcPr>
          <w:p>
            <w:pPr>
              <w:spacing w:after="0" w:before="0" w:line="252" w:lineRule="auto"/>
              <w:jc w:val="left"/>
            </w:pPr>
            <w:r/>
            <w:r>
              <w:rPr>
                <w:rFonts w:ascii="Calibri" w:hAnsi="Calibri"/>
                <w:b w:val="0"/>
                <w:color w:val="1F2933"/>
                <w:sz w:val="16"/>
              </w:rPr>
              <w:t>Net income</w:t>
            </w:r>
          </w:p>
        </w:tc>
        <w:tc>
          <w:tcPr>
            <w:tcW w:type="dxa" w:w="1432"/>
            <w:shd w:fill="F4F6F9"/>
            <w:vAlign w:val="center"/>
          </w:tcPr>
          <w:p>
            <w:pPr>
              <w:spacing w:after="0" w:before="0" w:line="252" w:lineRule="auto"/>
              <w:jc w:val="right"/>
            </w:pPr>
            <w:r/>
            <w:r>
              <w:rPr>
                <w:rFonts w:ascii="Calibri" w:hAnsi="Calibri"/>
                <w:b w:val="0"/>
                <w:color w:val="B33A3A"/>
                <w:sz w:val="16"/>
              </w:rPr>
              <w:t>($778,377)</w:t>
            </w:r>
          </w:p>
        </w:tc>
        <w:tc>
          <w:tcPr>
            <w:tcW w:type="dxa" w:w="1432"/>
            <w:shd w:fill="F4F6F9"/>
            <w:vAlign w:val="center"/>
          </w:tcPr>
          <w:p>
            <w:pPr>
              <w:spacing w:after="0" w:before="0" w:line="252" w:lineRule="auto"/>
              <w:jc w:val="right"/>
            </w:pPr>
            <w:r/>
            <w:r>
              <w:rPr>
                <w:rFonts w:ascii="Calibri" w:hAnsi="Calibri"/>
                <w:b w:val="0"/>
                <w:color w:val="B33A3A"/>
                <w:sz w:val="16"/>
              </w:rPr>
              <w:t>($538,844)</w:t>
            </w:r>
          </w:p>
        </w:tc>
        <w:tc>
          <w:tcPr>
            <w:tcW w:type="dxa" w:w="1432"/>
            <w:shd w:fill="F4F6F9"/>
            <w:vAlign w:val="center"/>
          </w:tcPr>
          <w:p>
            <w:pPr>
              <w:spacing w:after="0" w:before="0" w:line="252" w:lineRule="auto"/>
              <w:jc w:val="right"/>
            </w:pPr>
            <w:r/>
            <w:r>
              <w:rPr>
                <w:rFonts w:ascii="Calibri" w:hAnsi="Calibri"/>
                <w:b w:val="0"/>
                <w:color w:val="B33A3A"/>
                <w:sz w:val="16"/>
              </w:rPr>
              <w:t>($419,320)</w:t>
            </w:r>
          </w:p>
        </w:tc>
        <w:tc>
          <w:tcPr>
            <w:tcW w:type="dxa" w:w="1432"/>
            <w:shd w:fill="F4F6F9"/>
            <w:vAlign w:val="center"/>
          </w:tcPr>
          <w:p>
            <w:pPr>
              <w:spacing w:after="0" w:before="0" w:line="252" w:lineRule="auto"/>
              <w:jc w:val="right"/>
            </w:pPr>
            <w:r/>
            <w:r>
              <w:rPr>
                <w:rFonts w:ascii="Calibri" w:hAnsi="Calibri"/>
                <w:b w:val="0"/>
                <w:color w:val="B33A3A"/>
                <w:sz w:val="16"/>
              </w:rPr>
              <w:t>($235,914)</w:t>
            </w:r>
          </w:p>
        </w:tc>
        <w:tc>
          <w:tcPr>
            <w:tcW w:type="dxa" w:w="1432"/>
            <w:shd w:fill="F4F6F9"/>
            <w:vAlign w:val="center"/>
          </w:tcPr>
          <w:p>
            <w:pPr>
              <w:spacing w:after="0" w:before="0" w:line="252" w:lineRule="auto"/>
              <w:jc w:val="right"/>
            </w:pPr>
            <w:r/>
            <w:r>
              <w:rPr>
                <w:rFonts w:ascii="Calibri" w:hAnsi="Calibri"/>
                <w:b w:val="0"/>
                <w:color w:val="B33A3A"/>
                <w:sz w:val="16"/>
              </w:rPr>
              <w:t>($103,129)</w:t>
            </w:r>
          </w:p>
        </w:tc>
      </w:tr>
    </w:tbl>
    <w:p>
      <w:pPr>
        <w:spacing w:after="0"/>
      </w:pPr>
    </w:p>
    <w:p>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nancial_path.png"/>
                    <pic:cNvPicPr/>
                  </pic:nvPicPr>
                  <pic:blipFill>
                    <a:blip r:embed="rId11"/>
                    <a:stretch>
                      <a:fillRect/>
                    </a:stretch>
                  </pic:blipFill>
                  <pic:spPr>
                    <a:xfrm>
                      <a:off x="0" y="0"/>
                      <a:ext cx="5943600" cy="2476500"/>
                    </a:xfrm>
                    <a:prstGeom prst="rect"/>
                  </pic:spPr>
                </pic:pic>
              </a:graphicData>
            </a:graphic>
          </wp:inline>
        </w:drawing>
      </w:r>
    </w:p>
    <w:p>
      <w:pPr>
        <w:pStyle w:val="Caption"/>
      </w:pPr>
      <w:r>
        <w:t>Base case reaches positive EBITDA in Year 5, but net income remains negative after depreciation. Revenue includes gated rewards-platform fees beginning Year 3 and investor memberships beginning Year 4.</w:t>
      </w:r>
    </w:p>
    <w:p>
      <w:pPr>
        <w:pStyle w:val="Heading2"/>
        <w:keepNext/>
        <w:keepLines/>
      </w:pPr>
      <w:r>
        <w:t>Interpretation</w:t>
      </w:r>
    </w:p>
    <w:p>
      <w:r>
        <w:rPr>
          <w:i w:val="0"/>
        </w:rPr>
        <w:t>The flagship is not attractive as a conventional store rollout on the base assumptions. It consumes capital for four operating years and reaches only a 3.7% Year 5 EBITDA margin. The model can become compelling only if the pilot proves higher realized pricing, materially better utilization, leaner fixed staffing, or a scalable recurring product without sacrificing trust and quality.</w:t>
      </w:r>
    </w:p>
    <w:p>
      <w:r>
        <w:br w:type="page"/>
      </w:r>
    </w:p>
    <w:p>
      <w:pPr>
        <w:spacing w:after="40"/>
      </w:pPr>
      <w:r>
        <w:rPr>
          <w:b/>
          <w:color w:val="238295"/>
          <w:sz w:val="17"/>
        </w:rPr>
        <w:t>CAPITAL MUST FOLLOW EVIDENCE</w:t>
      </w:r>
    </w:p>
    <w:p>
      <w:pPr>
        <w:pStyle w:val="Heading1"/>
        <w:keepNext/>
        <w:keepLines/>
      </w:pPr>
      <w:r>
        <w:t>15  Funding need and scenario sensitivity</w:t>
      </w:r>
    </w:p>
    <w:tbl>
      <w:tblPr>
        <w:tblW w:type="dxa" w:w="9360"/>
        <w:jc w:val="left"/>
        <w:tblLayout w:type="fixed"/>
        <w:tblLook w:firstColumn="1" w:firstRow="1" w:lastColumn="0" w:lastRow="0" w:noHBand="0" w:noVBand="1" w:val="04A0"/>
        <w:tblInd w:w="0" w:type="dxa"/>
      </w:tblPr>
      <w:tblGrid>
        <w:gridCol w:w="4700"/>
        <w:gridCol w:w="2260"/>
        <w:gridCol w:w="2400"/>
      </w:tblGrid>
      <w:tr>
        <w:trPr>
          <w:tblHeader w:val="true"/>
          <w:cantSplit/>
        </w:trPr>
        <w:tc>
          <w:tcPr>
            <w:tcW w:type="dxa" w:w="47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Base funding use</w:t>
            </w:r>
          </w:p>
        </w:tc>
        <w:tc>
          <w:tcPr>
            <w:tcW w:type="dxa" w:w="2260"/>
            <w:tcMar>
              <w:top w:w="80" w:type="dxa"/>
              <w:start w:w="120" w:type="dxa"/>
              <w:bottom w:w="80" w:type="dxa"/>
              <w:end w:w="120" w:type="dxa"/>
            </w:tcMar>
            <w:shd w:fill="238295"/>
          </w:tcPr>
          <w:p>
            <w:pPr>
              <w:spacing w:after="0" w:before="0" w:line="252" w:lineRule="auto"/>
              <w:jc w:val="right"/>
            </w:pPr>
            <w:r/>
            <w:r>
              <w:rPr>
                <w:rFonts w:ascii="Calibri" w:hAnsi="Calibri"/>
                <w:b/>
                <w:color w:val="FFFFFF"/>
                <w:sz w:val="17"/>
              </w:rPr>
              <w:t>Amount</w:t>
            </w:r>
          </w:p>
        </w:tc>
        <w:tc>
          <w:tcPr>
            <w:tcW w:type="dxa" w:w="2400"/>
            <w:tcMar>
              <w:top w:w="80" w:type="dxa"/>
              <w:start w:w="120" w:type="dxa"/>
              <w:bottom w:w="80" w:type="dxa"/>
              <w:end w:w="120" w:type="dxa"/>
            </w:tcMar>
            <w:shd w:fill="238295"/>
          </w:tcPr>
          <w:p>
            <w:pPr>
              <w:spacing w:after="0" w:before="0" w:line="252" w:lineRule="auto"/>
              <w:jc w:val="right"/>
            </w:pPr>
            <w:r/>
            <w:r>
              <w:rPr>
                <w:rFonts w:ascii="Calibri" w:hAnsi="Calibri"/>
                <w:b/>
                <w:color w:val="FFFFFF"/>
                <w:sz w:val="17"/>
              </w:rPr>
              <w:t>% of $2.648M</w:t>
            </w:r>
          </w:p>
        </w:tc>
      </w:tr>
      <w:tr>
        <w:trPr>
          <w:cantSplit/>
        </w:trPr>
        <w:tc>
          <w:tcPr>
            <w:tcW w:type="dxa" w:w="4700"/>
            <w:shd w:fill="FFFFFF"/>
            <w:vAlign w:val="center"/>
          </w:tcPr>
          <w:p>
            <w:pPr>
              <w:spacing w:after="0" w:before="0" w:line="252" w:lineRule="auto"/>
              <w:jc w:val="left"/>
            </w:pPr>
            <w:r/>
            <w:r>
              <w:rPr>
                <w:rFonts w:ascii="Calibri" w:hAnsi="Calibri"/>
                <w:b w:val="0"/>
                <w:color w:val="1F2933"/>
                <w:sz w:val="17"/>
              </w:rPr>
              <w:t>Opening uses</w:t>
            </w:r>
          </w:p>
        </w:tc>
        <w:tc>
          <w:tcPr>
            <w:tcW w:type="dxa" w:w="2260"/>
            <w:shd w:fill="FFFFFF"/>
            <w:vAlign w:val="center"/>
          </w:tcPr>
          <w:p>
            <w:pPr>
              <w:spacing w:after="0" w:before="0" w:line="252" w:lineRule="auto"/>
              <w:jc w:val="right"/>
            </w:pPr>
            <w:r/>
            <w:r>
              <w:rPr>
                <w:rFonts w:ascii="Calibri" w:hAnsi="Calibri"/>
                <w:b w:val="0"/>
                <w:color w:val="1F2933"/>
                <w:sz w:val="17"/>
              </w:rPr>
              <w:t>$995,000</w:t>
            </w:r>
          </w:p>
        </w:tc>
        <w:tc>
          <w:tcPr>
            <w:tcW w:type="dxa" w:w="2400"/>
            <w:shd w:fill="FFFFFF"/>
            <w:vAlign w:val="center"/>
          </w:tcPr>
          <w:p>
            <w:pPr>
              <w:spacing w:after="0" w:before="0" w:line="252" w:lineRule="auto"/>
              <w:jc w:val="right"/>
            </w:pPr>
            <w:r/>
            <w:r>
              <w:rPr>
                <w:rFonts w:ascii="Calibri" w:hAnsi="Calibri"/>
                <w:b w:val="0"/>
                <w:color w:val="1F2933"/>
                <w:sz w:val="17"/>
              </w:rPr>
              <w:t>37.6%</w:t>
            </w:r>
          </w:p>
        </w:tc>
      </w:tr>
      <w:tr>
        <w:trPr>
          <w:cantSplit/>
        </w:trPr>
        <w:tc>
          <w:tcPr>
            <w:tcW w:type="dxa" w:w="4700"/>
            <w:shd w:fill="F4F6F9"/>
            <w:vAlign w:val="center"/>
          </w:tcPr>
          <w:p>
            <w:pPr>
              <w:spacing w:after="0" w:before="0" w:line="252" w:lineRule="auto"/>
              <w:jc w:val="left"/>
            </w:pPr>
            <w:r/>
            <w:r>
              <w:rPr>
                <w:rFonts w:ascii="Calibri" w:hAnsi="Calibri"/>
                <w:b w:val="0"/>
                <w:color w:val="1F2933"/>
                <w:sz w:val="17"/>
              </w:rPr>
              <w:t>Operating ramp / working capital</w:t>
            </w:r>
          </w:p>
        </w:tc>
        <w:tc>
          <w:tcPr>
            <w:tcW w:type="dxa" w:w="2260"/>
            <w:shd w:fill="F4F6F9"/>
            <w:vAlign w:val="center"/>
          </w:tcPr>
          <w:p>
            <w:pPr>
              <w:spacing w:after="0" w:before="0" w:line="252" w:lineRule="auto"/>
              <w:jc w:val="right"/>
            </w:pPr>
            <w:r/>
            <w:r>
              <w:rPr>
                <w:rFonts w:ascii="Calibri" w:hAnsi="Calibri"/>
                <w:b w:val="0"/>
                <w:color w:val="1F2933"/>
                <w:sz w:val="17"/>
              </w:rPr>
              <w:t>$1,403,209</w:t>
            </w:r>
          </w:p>
        </w:tc>
        <w:tc>
          <w:tcPr>
            <w:tcW w:type="dxa" w:w="2400"/>
            <w:shd w:fill="F4F6F9"/>
            <w:vAlign w:val="center"/>
          </w:tcPr>
          <w:p>
            <w:pPr>
              <w:spacing w:after="0" w:before="0" w:line="252" w:lineRule="auto"/>
              <w:jc w:val="right"/>
            </w:pPr>
            <w:r/>
            <w:r>
              <w:rPr>
                <w:rFonts w:ascii="Calibri" w:hAnsi="Calibri"/>
                <w:b w:val="0"/>
                <w:color w:val="1F2933"/>
                <w:sz w:val="17"/>
              </w:rPr>
              <w:t>53.0%</w:t>
            </w:r>
          </w:p>
        </w:tc>
      </w:tr>
      <w:tr>
        <w:trPr>
          <w:cantSplit/>
        </w:trPr>
        <w:tc>
          <w:tcPr>
            <w:tcW w:type="dxa" w:w="4700"/>
            <w:shd w:fill="FFFFFF"/>
            <w:vAlign w:val="center"/>
          </w:tcPr>
          <w:p>
            <w:pPr>
              <w:spacing w:after="0" w:before="0" w:line="252" w:lineRule="auto"/>
              <w:jc w:val="left"/>
            </w:pPr>
            <w:r/>
            <w:r>
              <w:rPr>
                <w:rFonts w:ascii="Calibri" w:hAnsi="Calibri"/>
                <w:b w:val="0"/>
                <w:color w:val="1F2933"/>
                <w:sz w:val="17"/>
              </w:rPr>
              <w:t>Minimum cash buffer</w:t>
            </w:r>
          </w:p>
        </w:tc>
        <w:tc>
          <w:tcPr>
            <w:tcW w:type="dxa" w:w="2260"/>
            <w:shd w:fill="FFFFFF"/>
            <w:vAlign w:val="center"/>
          </w:tcPr>
          <w:p>
            <w:pPr>
              <w:spacing w:after="0" w:before="0" w:line="252" w:lineRule="auto"/>
              <w:jc w:val="right"/>
            </w:pPr>
            <w:r/>
            <w:r>
              <w:rPr>
                <w:rFonts w:ascii="Calibri" w:hAnsi="Calibri"/>
                <w:b w:val="0"/>
                <w:color w:val="1F2933"/>
                <w:sz w:val="17"/>
              </w:rPr>
              <w:t>$250,000</w:t>
            </w:r>
          </w:p>
        </w:tc>
        <w:tc>
          <w:tcPr>
            <w:tcW w:type="dxa" w:w="2400"/>
            <w:shd w:fill="FFFFFF"/>
            <w:vAlign w:val="center"/>
          </w:tcPr>
          <w:p>
            <w:pPr>
              <w:spacing w:after="0" w:before="0" w:line="252" w:lineRule="auto"/>
              <w:jc w:val="right"/>
            </w:pPr>
            <w:r/>
            <w:r>
              <w:rPr>
                <w:rFonts w:ascii="Calibri" w:hAnsi="Calibri"/>
                <w:b w:val="0"/>
                <w:color w:val="1F2933"/>
                <w:sz w:val="17"/>
              </w:rPr>
              <w:t>9.4%</w:t>
            </w:r>
          </w:p>
        </w:tc>
      </w:tr>
      <w:tr>
        <w:trPr>
          <w:cantSplit/>
        </w:trPr>
        <w:tc>
          <w:tcPr>
            <w:tcW w:type="dxa" w:w="4700"/>
            <w:shd w:fill="E8F2F6"/>
            <w:vAlign w:val="center"/>
          </w:tcPr>
          <w:p>
            <w:pPr>
              <w:spacing w:after="0" w:before="0" w:line="252" w:lineRule="auto"/>
              <w:jc w:val="left"/>
            </w:pPr>
            <w:r/>
            <w:r>
              <w:rPr>
                <w:rFonts w:ascii="Calibri" w:hAnsi="Calibri"/>
                <w:b/>
                <w:color w:val="1F2933"/>
                <w:sz w:val="17"/>
              </w:rPr>
              <w:t>Total modeled external funding</w:t>
            </w:r>
          </w:p>
        </w:tc>
        <w:tc>
          <w:tcPr>
            <w:tcW w:type="dxa" w:w="2260"/>
            <w:shd w:fill="E8F2F6"/>
            <w:vAlign w:val="center"/>
          </w:tcPr>
          <w:p>
            <w:pPr>
              <w:spacing w:after="0" w:before="0" w:line="252" w:lineRule="auto"/>
              <w:jc w:val="right"/>
            </w:pPr>
            <w:r/>
            <w:r>
              <w:rPr>
                <w:rFonts w:ascii="Calibri" w:hAnsi="Calibri"/>
                <w:b/>
                <w:color w:val="1F2933"/>
                <w:sz w:val="17"/>
              </w:rPr>
              <w:t>$2,648,209</w:t>
            </w:r>
          </w:p>
        </w:tc>
        <w:tc>
          <w:tcPr>
            <w:tcW w:type="dxa" w:w="2400"/>
            <w:shd w:fill="E8F2F6"/>
            <w:vAlign w:val="center"/>
          </w:tcPr>
          <w:p>
            <w:pPr>
              <w:spacing w:after="0" w:before="0" w:line="252" w:lineRule="auto"/>
              <w:jc w:val="right"/>
            </w:pPr>
            <w:r/>
            <w:r>
              <w:rPr>
                <w:rFonts w:ascii="Calibri" w:hAnsi="Calibri"/>
                <w:b/>
                <w:color w:val="1F2933"/>
                <w:sz w:val="17"/>
              </w:rPr>
              <w:t>100.0%</w:t>
            </w:r>
          </w:p>
        </w:tc>
      </w:tr>
    </w:tbl>
    <w:p>
      <w:pPr>
        <w:spacing w:after="0"/>
      </w:pPr>
    </w:p>
    <w:p>
      <w:r>
        <w:drawing>
          <wp:inline xmlns:a="http://schemas.openxmlformats.org/drawingml/2006/main" xmlns:pic="http://schemas.openxmlformats.org/drawingml/2006/picture">
            <wp:extent cx="5943600" cy="2476500"/>
            <wp:docPr id="2" name="Picture 2"/>
            <wp:cNvGraphicFramePr>
              <a:graphicFrameLocks noChangeAspect="1"/>
            </wp:cNvGraphicFramePr>
            <a:graphic>
              <a:graphicData uri="http://schemas.openxmlformats.org/drawingml/2006/picture">
                <pic:pic>
                  <pic:nvPicPr>
                    <pic:cNvPr id="0" name="scenario_funding.png"/>
                    <pic:cNvPicPr/>
                  </pic:nvPicPr>
                  <pic:blipFill>
                    <a:blip r:embed="rId12"/>
                    <a:stretch>
                      <a:fillRect/>
                    </a:stretch>
                  </pic:blipFill>
                  <pic:spPr>
                    <a:xfrm>
                      <a:off x="0" y="0"/>
                      <a:ext cx="5943600" cy="2476500"/>
                    </a:xfrm>
                    <a:prstGeom prst="rect"/>
                  </pic:spPr>
                </pic:pic>
              </a:graphicData>
            </a:graphic>
          </wp:inline>
        </w:drawing>
      </w:r>
    </w:p>
    <w:p>
      <w:pPr>
        <w:pStyle w:val="Caption"/>
      </w:pPr>
      <w:r>
        <w:t>Scenario factors recalculate utilization, price, membership/events, operating cost, and opening capital. Funding figures include the modeled minimum cash buffer.</w:t>
      </w:r>
    </w:p>
    <w:p>
      <w:r>
        <w:rPr>
          <w:i w:val="0"/>
        </w:rPr>
        <w:t>The downside case is existential: $5.13 million of funding and no five-year break-even. The upside case is investable only relative to the base: $2.12 million of funding and a 16.1% Year 5 EBITDA margin, with positive EBITDA in Year 4. Because the range is driven by variables a paid pilot can measure, committing flagship capital before validation would buy uncertainty rather than remove it.</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E87942"/>
          </w:tcPr>
          <w:p>
            <w:pPr>
              <w:spacing w:after="0" w:before="0" w:line="252" w:lineRule="auto"/>
              <w:jc w:val="left"/>
            </w:pPr>
            <w:r/>
            <w:r>
              <w:rPr>
                <w:rFonts w:ascii="Calibri" w:hAnsi="Calibri"/>
                <w:b/>
                <w:color w:val="FFFFFF"/>
                <w:sz w:val="19"/>
              </w:rPr>
              <w:t>RECOMMENDED CAPITAL SEQUENCE</w:t>
            </w:r>
          </w:p>
        </w:tc>
      </w:tr>
      <w:tr>
        <w:trPr>
          <w:cantSplit/>
        </w:trPr>
        <w:tc>
          <w:tcPr>
            <w:tcW w:type="dxa" w:w="9360"/>
            <w:tcMar>
              <w:top w:w="80" w:type="dxa"/>
              <w:start w:w="120" w:type="dxa"/>
              <w:bottom w:w="80" w:type="dxa"/>
              <w:end w:w="120" w:type="dxa"/>
            </w:tcMar>
            <w:shd w:fill="FFF2C6"/>
          </w:tcPr>
          <w:p>
            <w:pPr>
              <w:spacing w:after="40" w:before="0" w:line="252" w:lineRule="auto"/>
              <w:jc w:val="left"/>
            </w:pPr>
            <w:r/>
            <w:r>
              <w:rPr>
                <w:rFonts w:ascii="Calibri" w:hAnsi="Calibri"/>
                <w:b w:val="0"/>
                <w:color w:val="1F2933"/>
                <w:sz w:val="20"/>
              </w:rPr>
              <w:t>Stage A: authorize a capped $150K–$250K validation budget for 90–180 days. Stage B: consider approximately $2.65M of flagship funding only after demand, delivery, privacy, pricing, and utilization gates are independently evidenced. Structure and sources of capital require tax and legal advice.</w:t>
            </w:r>
          </w:p>
        </w:tc>
      </w:tr>
    </w:tbl>
    <w:p>
      <w:pPr>
        <w:spacing w:after="0"/>
      </w:pPr>
    </w:p>
    <w:p>
      <w:r>
        <w:br w:type="page"/>
      </w:r>
    </w:p>
    <w:p>
      <w:pPr>
        <w:spacing w:after="40"/>
      </w:pPr>
      <w:r>
        <w:rPr>
          <w:b/>
          <w:color w:val="238295"/>
          <w:sz w:val="17"/>
        </w:rPr>
        <w:t>TEN STORES ARE NOT THE PLAN</w:t>
      </w:r>
    </w:p>
    <w:p>
      <w:pPr>
        <w:pStyle w:val="Heading1"/>
        <w:keepNext/>
        <w:keepLines/>
      </w:pPr>
      <w:r>
        <w:t>16  Expansion stress test</w:t>
      </w:r>
    </w:p>
    <w:p>
      <w:r>
        <w:rPr>
          <w:i w:val="0"/>
        </w:rPr>
        <w:t>The workbook includes an intentionally aggressive illustrative path to ten stores by Year 7: one initial store, another in Year 4, two in Year 5, three in Year 6, and three in Year 7. Each new store is assumed to follow the same slow maturation curve while central platform costs increase.</w:t>
      </w:r>
    </w:p>
    <w:tbl>
      <w:tblPr>
        <w:tblW w:type="dxa" w:w="9360"/>
        <w:jc w:val="left"/>
        <w:tblLayout w:type="fixed"/>
        <w:tblLook w:firstColumn="1" w:firstRow="1" w:lastColumn="0" w:lastRow="0" w:noHBand="0" w:noVBand="1" w:val="04A0"/>
        <w:tblInd w:w="0" w:type="dxa"/>
      </w:tblPr>
      <w:tblGrid>
        <w:gridCol w:w="3000"/>
        <w:gridCol w:w="1590"/>
        <w:gridCol w:w="1590"/>
        <w:gridCol w:w="1590"/>
        <w:gridCol w:w="1590"/>
      </w:tblGrid>
      <w:tr>
        <w:trPr>
          <w:tblHeader w:val="true"/>
          <w:cantSplit/>
        </w:trPr>
        <w:tc>
          <w:tcPr>
            <w:tcW w:type="dxa" w:w="30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Metric</w:t>
            </w:r>
          </w:p>
        </w:tc>
        <w:tc>
          <w:tcPr>
            <w:tcW w:type="dxa" w:w="1590"/>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4</w:t>
            </w:r>
          </w:p>
        </w:tc>
        <w:tc>
          <w:tcPr>
            <w:tcW w:type="dxa" w:w="1590"/>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5</w:t>
            </w:r>
          </w:p>
        </w:tc>
        <w:tc>
          <w:tcPr>
            <w:tcW w:type="dxa" w:w="1590"/>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6</w:t>
            </w:r>
          </w:p>
        </w:tc>
        <w:tc>
          <w:tcPr>
            <w:tcW w:type="dxa" w:w="1590"/>
            <w:tcMar>
              <w:top w:w="80" w:type="dxa"/>
              <w:start w:w="120" w:type="dxa"/>
              <w:bottom w:w="80" w:type="dxa"/>
              <w:end w:w="120" w:type="dxa"/>
            </w:tcMar>
            <w:shd w:fill="238295"/>
          </w:tcPr>
          <w:p>
            <w:pPr>
              <w:spacing w:after="0" w:before="0" w:line="252" w:lineRule="auto"/>
              <w:jc w:val="right"/>
            </w:pPr>
            <w:r/>
            <w:r>
              <w:rPr>
                <w:rFonts w:ascii="Calibri" w:hAnsi="Calibri"/>
                <w:b/>
                <w:color w:val="FFFFFF"/>
                <w:sz w:val="16"/>
              </w:rPr>
              <w:t>Year 7</w:t>
            </w:r>
          </w:p>
        </w:tc>
      </w:tr>
      <w:tr>
        <w:trPr>
          <w:cantSplit/>
        </w:trPr>
        <w:tc>
          <w:tcPr>
            <w:tcW w:type="dxa" w:w="3000"/>
            <w:shd w:fill="FFFFFF"/>
            <w:vAlign w:val="center"/>
          </w:tcPr>
          <w:p>
            <w:pPr>
              <w:spacing w:after="0" w:before="0" w:line="252" w:lineRule="auto"/>
              <w:jc w:val="left"/>
            </w:pPr>
            <w:r/>
            <w:r>
              <w:rPr>
                <w:rFonts w:ascii="Calibri" w:hAnsi="Calibri"/>
                <w:b w:val="0"/>
                <w:color w:val="1F2933"/>
                <w:sz w:val="16"/>
              </w:rPr>
              <w:t>Total stores</w:t>
            </w:r>
          </w:p>
        </w:tc>
        <w:tc>
          <w:tcPr>
            <w:tcW w:type="dxa" w:w="1590"/>
            <w:shd w:fill="FFFFFF"/>
            <w:vAlign w:val="center"/>
          </w:tcPr>
          <w:p>
            <w:pPr>
              <w:spacing w:after="0" w:before="0" w:line="252" w:lineRule="auto"/>
              <w:jc w:val="right"/>
            </w:pPr>
            <w:r/>
            <w:r>
              <w:rPr>
                <w:rFonts w:ascii="Calibri" w:hAnsi="Calibri"/>
                <w:b w:val="0"/>
                <w:color w:val="1F2933"/>
                <w:sz w:val="16"/>
              </w:rPr>
              <w:t>2</w:t>
            </w:r>
          </w:p>
        </w:tc>
        <w:tc>
          <w:tcPr>
            <w:tcW w:type="dxa" w:w="1590"/>
            <w:shd w:fill="FFFFFF"/>
            <w:vAlign w:val="center"/>
          </w:tcPr>
          <w:p>
            <w:pPr>
              <w:spacing w:after="0" w:before="0" w:line="252" w:lineRule="auto"/>
              <w:jc w:val="right"/>
            </w:pPr>
            <w:r/>
            <w:r>
              <w:rPr>
                <w:rFonts w:ascii="Calibri" w:hAnsi="Calibri"/>
                <w:b w:val="0"/>
                <w:color w:val="1F2933"/>
                <w:sz w:val="16"/>
              </w:rPr>
              <w:t>4</w:t>
            </w:r>
          </w:p>
        </w:tc>
        <w:tc>
          <w:tcPr>
            <w:tcW w:type="dxa" w:w="1590"/>
            <w:shd w:fill="FFFFFF"/>
            <w:vAlign w:val="center"/>
          </w:tcPr>
          <w:p>
            <w:pPr>
              <w:spacing w:after="0" w:before="0" w:line="252" w:lineRule="auto"/>
              <w:jc w:val="right"/>
            </w:pPr>
            <w:r/>
            <w:r>
              <w:rPr>
                <w:rFonts w:ascii="Calibri" w:hAnsi="Calibri"/>
                <w:b w:val="0"/>
                <w:color w:val="1F2933"/>
                <w:sz w:val="16"/>
              </w:rPr>
              <w:t>7</w:t>
            </w:r>
          </w:p>
        </w:tc>
        <w:tc>
          <w:tcPr>
            <w:tcW w:type="dxa" w:w="1590"/>
            <w:shd w:fill="FFFFFF"/>
            <w:vAlign w:val="center"/>
          </w:tcPr>
          <w:p>
            <w:pPr>
              <w:spacing w:after="0" w:before="0" w:line="252" w:lineRule="auto"/>
              <w:jc w:val="right"/>
            </w:pPr>
            <w:r/>
            <w:r>
              <w:rPr>
                <w:rFonts w:ascii="Calibri" w:hAnsi="Calibri"/>
                <w:b w:val="0"/>
                <w:color w:val="1F2933"/>
                <w:sz w:val="16"/>
              </w:rPr>
              <w:t>10</w:t>
            </w:r>
          </w:p>
        </w:tc>
      </w:tr>
      <w:tr>
        <w:trPr>
          <w:cantSplit/>
        </w:trPr>
        <w:tc>
          <w:tcPr>
            <w:tcW w:type="dxa" w:w="3000"/>
            <w:shd w:fill="F4F6F9"/>
            <w:vAlign w:val="center"/>
          </w:tcPr>
          <w:p>
            <w:pPr>
              <w:spacing w:after="0" w:before="0" w:line="252" w:lineRule="auto"/>
              <w:jc w:val="left"/>
            </w:pPr>
            <w:r/>
            <w:r>
              <w:rPr>
                <w:rFonts w:ascii="Calibri" w:hAnsi="Calibri"/>
                <w:b w:val="0"/>
                <w:color w:val="1F2933"/>
                <w:sz w:val="16"/>
              </w:rPr>
              <w:t>Total store revenue</w:t>
            </w:r>
          </w:p>
        </w:tc>
        <w:tc>
          <w:tcPr>
            <w:tcW w:type="dxa" w:w="1590"/>
            <w:shd w:fill="F4F6F9"/>
            <w:vAlign w:val="center"/>
          </w:tcPr>
          <w:p>
            <w:pPr>
              <w:spacing w:after="0" w:before="0" w:line="252" w:lineRule="auto"/>
              <w:jc w:val="right"/>
            </w:pPr>
            <w:r/>
            <w:r>
              <w:rPr>
                <w:rFonts w:ascii="Calibri" w:hAnsi="Calibri"/>
                <w:b w:val="0"/>
                <w:color w:val="1F2933"/>
                <w:sz w:val="16"/>
              </w:rPr>
              <w:t>$2.346M</w:t>
            </w:r>
          </w:p>
        </w:tc>
        <w:tc>
          <w:tcPr>
            <w:tcW w:type="dxa" w:w="1590"/>
            <w:shd w:fill="F4F6F9"/>
            <w:vAlign w:val="center"/>
          </w:tcPr>
          <w:p>
            <w:pPr>
              <w:spacing w:after="0" w:before="0" w:line="252" w:lineRule="auto"/>
              <w:jc w:val="right"/>
            </w:pPr>
            <w:r/>
            <w:r>
              <w:rPr>
                <w:rFonts w:ascii="Calibri" w:hAnsi="Calibri"/>
                <w:b w:val="0"/>
                <w:color w:val="1F2933"/>
                <w:sz w:val="16"/>
              </w:rPr>
              <w:t>$4.325M</w:t>
            </w:r>
          </w:p>
        </w:tc>
        <w:tc>
          <w:tcPr>
            <w:tcW w:type="dxa" w:w="1590"/>
            <w:shd w:fill="F4F6F9"/>
            <w:vAlign w:val="center"/>
          </w:tcPr>
          <w:p>
            <w:pPr>
              <w:spacing w:after="0" w:before="0" w:line="252" w:lineRule="auto"/>
              <w:jc w:val="right"/>
            </w:pPr>
            <w:r/>
            <w:r>
              <w:rPr>
                <w:rFonts w:ascii="Calibri" w:hAnsi="Calibri"/>
                <w:b w:val="0"/>
                <w:color w:val="1F2933"/>
                <w:sz w:val="16"/>
              </w:rPr>
              <w:t>$7.317M</w:t>
            </w:r>
          </w:p>
        </w:tc>
        <w:tc>
          <w:tcPr>
            <w:tcW w:type="dxa" w:w="1590"/>
            <w:shd w:fill="F4F6F9"/>
            <w:vAlign w:val="center"/>
          </w:tcPr>
          <w:p>
            <w:pPr>
              <w:spacing w:after="0" w:before="0" w:line="252" w:lineRule="auto"/>
              <w:jc w:val="right"/>
            </w:pPr>
            <w:r/>
            <w:r>
              <w:rPr>
                <w:rFonts w:ascii="Calibri" w:hAnsi="Calibri"/>
                <w:b w:val="0"/>
                <w:color w:val="1F2933"/>
                <w:sz w:val="16"/>
              </w:rPr>
              <w:t>$11.308M</w:t>
            </w:r>
          </w:p>
        </w:tc>
      </w:tr>
      <w:tr>
        <w:trPr>
          <w:cantSplit/>
        </w:trPr>
        <w:tc>
          <w:tcPr>
            <w:tcW w:type="dxa" w:w="3000"/>
            <w:shd w:fill="E8F2F6"/>
            <w:vAlign w:val="center"/>
          </w:tcPr>
          <w:p>
            <w:pPr>
              <w:spacing w:after="0" w:before="0" w:line="252" w:lineRule="auto"/>
              <w:jc w:val="left"/>
            </w:pPr>
            <w:r/>
            <w:r>
              <w:rPr>
                <w:rFonts w:ascii="Calibri" w:hAnsi="Calibri"/>
                <w:b/>
                <w:color w:val="1F2933"/>
                <w:sz w:val="16"/>
              </w:rPr>
              <w:t>Consolidated EBITDA</w:t>
            </w:r>
          </w:p>
        </w:tc>
        <w:tc>
          <w:tcPr>
            <w:tcW w:type="dxa" w:w="1590"/>
            <w:shd w:fill="E8F2F6"/>
            <w:vAlign w:val="center"/>
          </w:tcPr>
          <w:p>
            <w:pPr>
              <w:spacing w:after="0" w:before="0" w:line="252" w:lineRule="auto"/>
              <w:jc w:val="right"/>
            </w:pPr>
            <w:r/>
            <w:r>
              <w:rPr>
                <w:rFonts w:ascii="Calibri" w:hAnsi="Calibri"/>
                <w:b/>
                <w:color w:val="B33A3A"/>
                <w:sz w:val="16"/>
              </w:rPr>
              <w:t>($1.127M)</w:t>
            </w:r>
          </w:p>
        </w:tc>
        <w:tc>
          <w:tcPr>
            <w:tcW w:type="dxa" w:w="1590"/>
            <w:shd w:fill="E8F2F6"/>
            <w:vAlign w:val="center"/>
          </w:tcPr>
          <w:p>
            <w:pPr>
              <w:spacing w:after="0" w:before="0" w:line="252" w:lineRule="auto"/>
              <w:jc w:val="right"/>
            </w:pPr>
            <w:r/>
            <w:r>
              <w:rPr>
                <w:rFonts w:ascii="Calibri" w:hAnsi="Calibri"/>
                <w:b/>
                <w:color w:val="B33A3A"/>
                <w:sz w:val="16"/>
              </w:rPr>
              <w:t>($2.377M)</w:t>
            </w:r>
          </w:p>
        </w:tc>
        <w:tc>
          <w:tcPr>
            <w:tcW w:type="dxa" w:w="1590"/>
            <w:shd w:fill="E8F2F6"/>
            <w:vAlign w:val="center"/>
          </w:tcPr>
          <w:p>
            <w:pPr>
              <w:spacing w:after="0" w:before="0" w:line="252" w:lineRule="auto"/>
              <w:jc w:val="right"/>
            </w:pPr>
            <w:r/>
            <w:r>
              <w:rPr>
                <w:rFonts w:ascii="Calibri" w:hAnsi="Calibri"/>
                <w:b/>
                <w:color w:val="B33A3A"/>
                <w:sz w:val="16"/>
              </w:rPr>
              <w:t>($4.262M)</w:t>
            </w:r>
          </w:p>
        </w:tc>
        <w:tc>
          <w:tcPr>
            <w:tcW w:type="dxa" w:w="1590"/>
            <w:shd w:fill="E8F2F6"/>
            <w:vAlign w:val="center"/>
          </w:tcPr>
          <w:p>
            <w:pPr>
              <w:spacing w:after="0" w:before="0" w:line="252" w:lineRule="auto"/>
              <w:jc w:val="right"/>
            </w:pPr>
            <w:r/>
            <w:r>
              <w:rPr>
                <w:rFonts w:ascii="Calibri" w:hAnsi="Calibri"/>
                <w:b/>
                <w:color w:val="B33A3A"/>
                <w:sz w:val="16"/>
              </w:rPr>
              <w:t>($5.646M)</w:t>
            </w:r>
          </w:p>
        </w:tc>
      </w:tr>
      <w:tr>
        <w:trPr>
          <w:cantSplit/>
        </w:trPr>
        <w:tc>
          <w:tcPr>
            <w:tcW w:type="dxa" w:w="3000"/>
            <w:shd w:fill="F4F6F9"/>
            <w:vAlign w:val="center"/>
          </w:tcPr>
          <w:p>
            <w:pPr>
              <w:spacing w:after="0" w:before="0" w:line="252" w:lineRule="auto"/>
              <w:jc w:val="left"/>
            </w:pPr>
            <w:r/>
            <w:r>
              <w:rPr>
                <w:rFonts w:ascii="Calibri" w:hAnsi="Calibri"/>
                <w:b w:val="0"/>
                <w:color w:val="1F2933"/>
                <w:sz w:val="16"/>
              </w:rPr>
              <w:t>Consolidated EBITDA margin</w:t>
            </w:r>
          </w:p>
        </w:tc>
        <w:tc>
          <w:tcPr>
            <w:tcW w:type="dxa" w:w="1590"/>
            <w:shd w:fill="F4F6F9"/>
            <w:vAlign w:val="center"/>
          </w:tcPr>
          <w:p>
            <w:pPr>
              <w:spacing w:after="0" w:before="0" w:line="252" w:lineRule="auto"/>
              <w:jc w:val="right"/>
            </w:pPr>
            <w:r/>
            <w:r>
              <w:rPr>
                <w:rFonts w:ascii="Calibri" w:hAnsi="Calibri"/>
                <w:b w:val="0"/>
                <w:color w:val="B33A3A"/>
                <w:sz w:val="16"/>
              </w:rPr>
              <w:t>(48.1%)</w:t>
            </w:r>
          </w:p>
        </w:tc>
        <w:tc>
          <w:tcPr>
            <w:tcW w:type="dxa" w:w="1590"/>
            <w:shd w:fill="F4F6F9"/>
            <w:vAlign w:val="center"/>
          </w:tcPr>
          <w:p>
            <w:pPr>
              <w:spacing w:after="0" w:before="0" w:line="252" w:lineRule="auto"/>
              <w:jc w:val="right"/>
            </w:pPr>
            <w:r/>
            <w:r>
              <w:rPr>
                <w:rFonts w:ascii="Calibri" w:hAnsi="Calibri"/>
                <w:b w:val="0"/>
                <w:color w:val="B33A3A"/>
                <w:sz w:val="16"/>
              </w:rPr>
              <w:t>(55.0%)</w:t>
            </w:r>
          </w:p>
        </w:tc>
        <w:tc>
          <w:tcPr>
            <w:tcW w:type="dxa" w:w="1590"/>
            <w:shd w:fill="F4F6F9"/>
            <w:vAlign w:val="center"/>
          </w:tcPr>
          <w:p>
            <w:pPr>
              <w:spacing w:after="0" w:before="0" w:line="252" w:lineRule="auto"/>
              <w:jc w:val="right"/>
            </w:pPr>
            <w:r/>
            <w:r>
              <w:rPr>
                <w:rFonts w:ascii="Calibri" w:hAnsi="Calibri"/>
                <w:b w:val="0"/>
                <w:color w:val="B33A3A"/>
                <w:sz w:val="16"/>
              </w:rPr>
              <w:t>(58.3%)</w:t>
            </w:r>
          </w:p>
        </w:tc>
        <w:tc>
          <w:tcPr>
            <w:tcW w:type="dxa" w:w="1590"/>
            <w:shd w:fill="F4F6F9"/>
            <w:vAlign w:val="center"/>
          </w:tcPr>
          <w:p>
            <w:pPr>
              <w:spacing w:after="0" w:before="0" w:line="252" w:lineRule="auto"/>
              <w:jc w:val="right"/>
            </w:pPr>
            <w:r/>
            <w:r>
              <w:rPr>
                <w:rFonts w:ascii="Calibri" w:hAnsi="Calibri"/>
                <w:b w:val="0"/>
                <w:color w:val="B33A3A"/>
                <w:sz w:val="16"/>
              </w:rPr>
              <w:t>(49.9%)</w:t>
            </w:r>
          </w:p>
        </w:tc>
      </w:tr>
      <w:tr>
        <w:trPr>
          <w:cantSplit/>
        </w:trPr>
        <w:tc>
          <w:tcPr>
            <w:tcW w:type="dxa" w:w="3000"/>
            <w:shd w:fill="FFFFFF"/>
            <w:vAlign w:val="center"/>
          </w:tcPr>
          <w:p>
            <w:pPr>
              <w:spacing w:after="0" w:before="0" w:line="252" w:lineRule="auto"/>
              <w:jc w:val="left"/>
            </w:pPr>
            <w:r/>
            <w:r>
              <w:rPr>
                <w:rFonts w:ascii="Calibri" w:hAnsi="Calibri"/>
                <w:b w:val="0"/>
                <w:color w:val="1F2933"/>
                <w:sz w:val="16"/>
              </w:rPr>
              <w:t>Cumulative growth capex</w:t>
            </w:r>
          </w:p>
        </w:tc>
        <w:tc>
          <w:tcPr>
            <w:tcW w:type="dxa" w:w="1590"/>
            <w:shd w:fill="FFFFFF"/>
            <w:vAlign w:val="center"/>
          </w:tcPr>
          <w:p>
            <w:pPr>
              <w:spacing w:after="0" w:before="0" w:line="252" w:lineRule="auto"/>
              <w:jc w:val="right"/>
            </w:pPr>
            <w:r/>
            <w:r>
              <w:rPr>
                <w:rFonts w:ascii="Calibri" w:hAnsi="Calibri"/>
                <w:b w:val="0"/>
                <w:color w:val="1F2933"/>
                <w:sz w:val="16"/>
              </w:rPr>
              <w:t>$1.995M</w:t>
            </w:r>
          </w:p>
        </w:tc>
        <w:tc>
          <w:tcPr>
            <w:tcW w:type="dxa" w:w="1590"/>
            <w:shd w:fill="FFFFFF"/>
            <w:vAlign w:val="center"/>
          </w:tcPr>
          <w:p>
            <w:pPr>
              <w:spacing w:after="0" w:before="0" w:line="252" w:lineRule="auto"/>
              <w:jc w:val="right"/>
            </w:pPr>
            <w:r/>
            <w:r>
              <w:rPr>
                <w:rFonts w:ascii="Calibri" w:hAnsi="Calibri"/>
                <w:b w:val="0"/>
                <w:color w:val="1F2933"/>
                <w:sz w:val="16"/>
              </w:rPr>
              <w:t>$3.995M</w:t>
            </w:r>
          </w:p>
        </w:tc>
        <w:tc>
          <w:tcPr>
            <w:tcW w:type="dxa" w:w="1590"/>
            <w:shd w:fill="FFFFFF"/>
            <w:vAlign w:val="center"/>
          </w:tcPr>
          <w:p>
            <w:pPr>
              <w:spacing w:after="0" w:before="0" w:line="252" w:lineRule="auto"/>
              <w:jc w:val="right"/>
            </w:pPr>
            <w:r/>
            <w:r>
              <w:rPr>
                <w:rFonts w:ascii="Calibri" w:hAnsi="Calibri"/>
                <w:b w:val="0"/>
                <w:color w:val="1F2933"/>
                <w:sz w:val="16"/>
              </w:rPr>
              <w:t>$6.995M</w:t>
            </w:r>
          </w:p>
        </w:tc>
        <w:tc>
          <w:tcPr>
            <w:tcW w:type="dxa" w:w="1590"/>
            <w:shd w:fill="FFFFFF"/>
            <w:vAlign w:val="center"/>
          </w:tcPr>
          <w:p>
            <w:pPr>
              <w:spacing w:after="0" w:before="0" w:line="252" w:lineRule="auto"/>
              <w:jc w:val="right"/>
            </w:pPr>
            <w:r/>
            <w:r>
              <w:rPr>
                <w:rFonts w:ascii="Calibri" w:hAnsi="Calibri"/>
                <w:b w:val="0"/>
                <w:color w:val="1F2933"/>
                <w:sz w:val="16"/>
              </w:rPr>
              <w:t>$9.995M</w:t>
            </w:r>
          </w:p>
        </w:tc>
      </w:tr>
    </w:tbl>
    <w:p>
      <w:pPr>
        <w:spacing w:after="0"/>
      </w:pP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B33A3A"/>
          </w:tcPr>
          <w:p>
            <w:pPr>
              <w:spacing w:after="0" w:before="0" w:line="252" w:lineRule="auto"/>
              <w:jc w:val="left"/>
            </w:pPr>
            <w:r/>
            <w:r>
              <w:rPr>
                <w:rFonts w:ascii="Calibri" w:hAnsi="Calibri"/>
                <w:b/>
                <w:color w:val="FFFFFF"/>
                <w:sz w:val="19"/>
              </w:rPr>
              <w:t>CONCLUSION</w:t>
            </w:r>
          </w:p>
        </w:tc>
      </w:tr>
      <w:tr>
        <w:trPr>
          <w:cantSplit/>
        </w:trPr>
        <w:tc>
          <w:tcPr>
            <w:tcW w:type="dxa" w:w="9360"/>
            <w:tcMar>
              <w:top w:w="80" w:type="dxa"/>
              <w:start w:w="120" w:type="dxa"/>
              <w:bottom w:w="80" w:type="dxa"/>
              <w:end w:w="120" w:type="dxa"/>
            </w:tcMar>
            <w:shd w:fill="FBE9E7"/>
          </w:tcPr>
          <w:p>
            <w:pPr>
              <w:spacing w:after="40" w:before="0" w:line="252" w:lineRule="auto"/>
              <w:jc w:val="left"/>
            </w:pPr>
            <w:r/>
            <w:r>
              <w:rPr>
                <w:rFonts w:ascii="Calibri" w:hAnsi="Calibri"/>
                <w:b w:val="0"/>
                <w:color w:val="1F2933"/>
                <w:sz w:val="20"/>
              </w:rPr>
              <w:t>Do not franchise, roll out, or build central-platform overhead on the modeled maturation curve. Expansion should wait until one unit sustains attractive four-wall economics and the second unit reproduces them without founder heroics.</w:t>
            </w:r>
          </w:p>
        </w:tc>
      </w:tr>
    </w:tbl>
    <w:p>
      <w:pPr>
        <w:spacing w:after="0"/>
      </w:pPr>
    </w:p>
    <w:p>
      <w:pPr>
        <w:pStyle w:val="Heading2"/>
        <w:keepNext/>
        <w:keepLines/>
      </w:pPr>
      <w:r>
        <w:t>Expansion gates</w:t>
      </w:r>
    </w:p>
    <w:p>
      <w:pPr>
        <w:pStyle w:val="ListBullet"/>
        <w:keepLines/>
        <w:jc w:val="left"/>
      </w:pPr>
      <w:r>
        <w:t>Trailing six-month four-wall EBITDA margin ≥15% after a normalized manager salary.</w:t>
      </w:r>
    </w:p>
    <w:p>
      <w:pPr>
        <w:pStyle w:val="ListBullet"/>
        <w:keepLines/>
        <w:jc w:val="left"/>
      </w:pPr>
      <w:r>
        <w:t>Paid delivery utilization ≥70% without overtime or quality deterioration.</w:t>
      </w:r>
    </w:p>
    <w:p>
      <w:pPr>
        <w:pStyle w:val="ListBullet"/>
        <w:keepLines/>
        <w:jc w:val="left"/>
      </w:pPr>
      <w:r>
        <w:t>At least 30% of business from repeat, referral, membership, or contracted partner channels.</w:t>
      </w:r>
    </w:p>
    <w:p>
      <w:pPr>
        <w:pStyle w:val="ListBullet"/>
        <w:keepLines/>
        <w:jc w:val="left"/>
      </w:pPr>
      <w:r>
        <w:t>Second location opens within ±10% of approved capex and reaches breakeven within 24 months.</w:t>
      </w:r>
    </w:p>
    <w:p>
      <w:pPr>
        <w:pStyle w:val="ListBullet"/>
        <w:keepLines/>
        <w:jc w:val="left"/>
      </w:pPr>
      <w:r>
        <w:t>Documented training, QA, privacy, and incident controls pass an external review.</w:t>
      </w:r>
    </w:p>
    <w:p>
      <w:r>
        <w:br w:type="page"/>
      </w:r>
    </w:p>
    <w:p>
      <w:pPr>
        <w:spacing w:after="40"/>
      </w:pPr>
      <w:r>
        <w:rPr>
          <w:b/>
          <w:color w:val="238295"/>
          <w:sz w:val="17"/>
        </w:rPr>
        <w:t>WHAT CAN FAIL</w:t>
      </w:r>
    </w:p>
    <w:p>
      <w:pPr>
        <w:pStyle w:val="Heading1"/>
        <w:keepNext/>
        <w:keepLines/>
      </w:pPr>
      <w:r>
        <w:t>17  Feasibility scorecard and principal risks</w:t>
      </w:r>
    </w:p>
    <w:tbl>
      <w:tblPr>
        <w:tblW w:type="dxa" w:w="9360"/>
        <w:jc w:val="left"/>
        <w:tblLayout w:type="fixed"/>
        <w:tblLook w:firstColumn="1" w:firstRow="1" w:lastColumn="0" w:lastRow="0" w:noHBand="0" w:noVBand="1" w:val="04A0"/>
        <w:tblInd w:w="0" w:type="dxa"/>
      </w:tblPr>
      <w:tblGrid>
        <w:gridCol w:w="1700"/>
        <w:gridCol w:w="1350"/>
        <w:gridCol w:w="3550"/>
        <w:gridCol w:w="2760"/>
      </w:tblGrid>
      <w:tr>
        <w:trPr>
          <w:tblHeader w:val="true"/>
          <w:cantSplit/>
        </w:trPr>
        <w:tc>
          <w:tcPr>
            <w:tcW w:type="dxa" w:w="17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Dimension</w:t>
            </w:r>
          </w:p>
        </w:tc>
        <w:tc>
          <w:tcPr>
            <w:tcW w:type="dxa" w:w="13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Current score</w:t>
            </w:r>
          </w:p>
        </w:tc>
        <w:tc>
          <w:tcPr>
            <w:tcW w:type="dxa" w:w="35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Rationale</w:t>
            </w:r>
          </w:p>
        </w:tc>
        <w:tc>
          <w:tcPr>
            <w:tcW w:type="dxa" w:w="27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Next proof</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Problem / demand</w:t>
            </w:r>
          </w:p>
        </w:tc>
        <w:tc>
          <w:tcPr>
            <w:tcW w:type="dxa" w:w="1350"/>
            <w:shd w:fill="FFFFFF"/>
            <w:vAlign w:val="center"/>
          </w:tcPr>
          <w:p>
            <w:pPr>
              <w:spacing w:after="0" w:before="0" w:line="252" w:lineRule="auto"/>
              <w:jc w:val="left"/>
            </w:pPr>
            <w:r/>
            <w:r>
              <w:rPr>
                <w:rFonts w:ascii="Calibri" w:hAnsi="Calibri"/>
                <w:b w:val="0"/>
                <w:color w:val="1F2933"/>
                <w:sz w:val="16"/>
              </w:rPr>
              <w:t>3 / 5</w:t>
            </w:r>
          </w:p>
        </w:tc>
        <w:tc>
          <w:tcPr>
            <w:tcW w:type="dxa" w:w="3550"/>
            <w:shd w:fill="FFFFFF"/>
            <w:vAlign w:val="center"/>
          </w:tcPr>
          <w:p>
            <w:pPr>
              <w:spacing w:after="0" w:before="0" w:line="252" w:lineRule="auto"/>
              <w:jc w:val="left"/>
            </w:pPr>
            <w:r/>
            <w:r>
              <w:rPr>
                <w:rFonts w:ascii="Calibri" w:hAnsi="Calibri"/>
                <w:b w:val="0"/>
                <w:color w:val="1F2933"/>
                <w:sz w:val="16"/>
              </w:rPr>
              <w:t>Need is plausible; willingness to pay unknown</w:t>
            </w:r>
          </w:p>
        </w:tc>
        <w:tc>
          <w:tcPr>
            <w:tcW w:type="dxa" w:w="2760"/>
            <w:shd w:fill="FFFFFF"/>
            <w:vAlign w:val="center"/>
          </w:tcPr>
          <w:p>
            <w:pPr>
              <w:spacing w:after="0" w:before="0" w:line="252" w:lineRule="auto"/>
              <w:jc w:val="left"/>
            </w:pPr>
            <w:r/>
            <w:r>
              <w:rPr>
                <w:rFonts w:ascii="Calibri" w:hAnsi="Calibri"/>
                <w:b w:val="0"/>
                <w:color w:val="1F2933"/>
                <w:sz w:val="16"/>
              </w:rPr>
              <w:t>Paid conversion by segment</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Service delivery</w:t>
            </w:r>
          </w:p>
        </w:tc>
        <w:tc>
          <w:tcPr>
            <w:tcW w:type="dxa" w:w="1350"/>
            <w:shd w:fill="F4F6F9"/>
            <w:vAlign w:val="center"/>
          </w:tcPr>
          <w:p>
            <w:pPr>
              <w:spacing w:after="0" w:before="0" w:line="252" w:lineRule="auto"/>
              <w:jc w:val="left"/>
            </w:pPr>
            <w:r/>
            <w:r>
              <w:rPr>
                <w:rFonts w:ascii="Calibri" w:hAnsi="Calibri"/>
                <w:b w:val="0"/>
                <w:color w:val="1F2933"/>
                <w:sz w:val="16"/>
              </w:rPr>
              <w:t>4 / 5</w:t>
            </w:r>
          </w:p>
        </w:tc>
        <w:tc>
          <w:tcPr>
            <w:tcW w:type="dxa" w:w="3550"/>
            <w:shd w:fill="F4F6F9"/>
            <w:vAlign w:val="center"/>
          </w:tcPr>
          <w:p>
            <w:pPr>
              <w:spacing w:after="0" w:before="0" w:line="252" w:lineRule="auto"/>
              <w:jc w:val="left"/>
            </w:pPr>
            <w:r/>
            <w:r>
              <w:rPr>
                <w:rFonts w:ascii="Calibri" w:hAnsi="Calibri"/>
                <w:b w:val="0"/>
                <w:color w:val="1F2933"/>
                <w:sz w:val="16"/>
              </w:rPr>
              <w:t>Concierge workflow is feasible</w:t>
            </w:r>
          </w:p>
        </w:tc>
        <w:tc>
          <w:tcPr>
            <w:tcW w:type="dxa" w:w="2760"/>
            <w:shd w:fill="F4F6F9"/>
            <w:vAlign w:val="center"/>
          </w:tcPr>
          <w:p>
            <w:pPr>
              <w:spacing w:after="0" w:before="0" w:line="252" w:lineRule="auto"/>
              <w:jc w:val="left"/>
            </w:pPr>
            <w:r/>
            <w:r>
              <w:rPr>
                <w:rFonts w:ascii="Calibri" w:hAnsi="Calibri"/>
                <w:b w:val="0"/>
                <w:color w:val="1F2933"/>
                <w:sz w:val="16"/>
              </w:rPr>
              <w:t>Scope variance, QA, throughput</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Flagship economics</w:t>
            </w:r>
          </w:p>
        </w:tc>
        <w:tc>
          <w:tcPr>
            <w:tcW w:type="dxa" w:w="1350"/>
            <w:shd w:fill="FFFFFF"/>
            <w:vAlign w:val="center"/>
          </w:tcPr>
          <w:p>
            <w:pPr>
              <w:spacing w:after="0" w:before="0" w:line="252" w:lineRule="auto"/>
              <w:jc w:val="left"/>
            </w:pPr>
            <w:r/>
            <w:r>
              <w:rPr>
                <w:rFonts w:ascii="Calibri" w:hAnsi="Calibri"/>
                <w:b w:val="0"/>
                <w:color w:val="1F2933"/>
                <w:sz w:val="16"/>
              </w:rPr>
              <w:t>2 / 5</w:t>
            </w:r>
          </w:p>
        </w:tc>
        <w:tc>
          <w:tcPr>
            <w:tcW w:type="dxa" w:w="3550"/>
            <w:shd w:fill="FFFFFF"/>
            <w:vAlign w:val="center"/>
          </w:tcPr>
          <w:p>
            <w:pPr>
              <w:spacing w:after="0" w:before="0" w:line="252" w:lineRule="auto"/>
              <w:jc w:val="left"/>
            </w:pPr>
            <w:r/>
            <w:r>
              <w:rPr>
                <w:rFonts w:ascii="Calibri" w:hAnsi="Calibri"/>
                <w:b w:val="0"/>
                <w:color w:val="1F2933"/>
                <w:sz w:val="16"/>
              </w:rPr>
              <w:t>Base margin weak and capital intensive</w:t>
            </w:r>
          </w:p>
        </w:tc>
        <w:tc>
          <w:tcPr>
            <w:tcW w:type="dxa" w:w="2760"/>
            <w:shd w:fill="FFFFFF"/>
            <w:vAlign w:val="center"/>
          </w:tcPr>
          <w:p>
            <w:pPr>
              <w:spacing w:after="0" w:before="0" w:line="252" w:lineRule="auto"/>
              <w:jc w:val="left"/>
            </w:pPr>
            <w:r/>
            <w:r>
              <w:rPr>
                <w:rFonts w:ascii="Calibri" w:hAnsi="Calibri"/>
                <w:b w:val="0"/>
                <w:color w:val="1F2933"/>
                <w:sz w:val="16"/>
              </w:rPr>
              <w:t>Pilot unit economics and local quotes</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Technology</w:t>
            </w:r>
          </w:p>
        </w:tc>
        <w:tc>
          <w:tcPr>
            <w:tcW w:type="dxa" w:w="1350"/>
            <w:shd w:fill="F4F6F9"/>
            <w:vAlign w:val="center"/>
          </w:tcPr>
          <w:p>
            <w:pPr>
              <w:spacing w:after="0" w:before="0" w:line="252" w:lineRule="auto"/>
              <w:jc w:val="left"/>
            </w:pPr>
            <w:r/>
            <w:r>
              <w:rPr>
                <w:rFonts w:ascii="Calibri" w:hAnsi="Calibri"/>
                <w:b w:val="0"/>
                <w:color w:val="1F2933"/>
                <w:sz w:val="16"/>
              </w:rPr>
              <w:t>4 / 5</w:t>
            </w:r>
          </w:p>
        </w:tc>
        <w:tc>
          <w:tcPr>
            <w:tcW w:type="dxa" w:w="3550"/>
            <w:shd w:fill="F4F6F9"/>
            <w:vAlign w:val="center"/>
          </w:tcPr>
          <w:p>
            <w:pPr>
              <w:spacing w:after="0" w:before="0" w:line="252" w:lineRule="auto"/>
              <w:jc w:val="left"/>
            </w:pPr>
            <w:r/>
            <w:r>
              <w:rPr>
                <w:rFonts w:ascii="Calibri" w:hAnsi="Calibri"/>
                <w:b w:val="0"/>
                <w:color w:val="1F2933"/>
                <w:sz w:val="16"/>
              </w:rPr>
              <w:t>Can start with controlled existing tools</w:t>
            </w:r>
          </w:p>
        </w:tc>
        <w:tc>
          <w:tcPr>
            <w:tcW w:type="dxa" w:w="2760"/>
            <w:shd w:fill="F4F6F9"/>
            <w:vAlign w:val="center"/>
          </w:tcPr>
          <w:p>
            <w:pPr>
              <w:spacing w:after="0" w:before="0" w:line="252" w:lineRule="auto"/>
              <w:jc w:val="left"/>
            </w:pPr>
            <w:r/>
            <w:r>
              <w:rPr>
                <w:rFonts w:ascii="Calibri" w:hAnsi="Calibri"/>
                <w:b w:val="0"/>
                <w:color w:val="1F2933"/>
                <w:sz w:val="16"/>
              </w:rPr>
              <w:t>Security/privacy assessment</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IP / legal</w:t>
            </w:r>
          </w:p>
        </w:tc>
        <w:tc>
          <w:tcPr>
            <w:tcW w:type="dxa" w:w="1350"/>
            <w:shd w:fill="FFFFFF"/>
            <w:vAlign w:val="center"/>
          </w:tcPr>
          <w:p>
            <w:pPr>
              <w:spacing w:after="0" w:before="0" w:line="252" w:lineRule="auto"/>
              <w:jc w:val="left"/>
            </w:pPr>
            <w:r/>
            <w:r>
              <w:rPr>
                <w:rFonts w:ascii="Calibri" w:hAnsi="Calibri"/>
                <w:b w:val="0"/>
                <w:color w:val="1F2933"/>
                <w:sz w:val="16"/>
              </w:rPr>
              <w:t>3 / 5</w:t>
            </w:r>
          </w:p>
        </w:tc>
        <w:tc>
          <w:tcPr>
            <w:tcW w:type="dxa" w:w="3550"/>
            <w:shd w:fill="FFFFFF"/>
            <w:vAlign w:val="center"/>
          </w:tcPr>
          <w:p>
            <w:pPr>
              <w:spacing w:after="0" w:before="0" w:line="252" w:lineRule="auto"/>
              <w:jc w:val="left"/>
            </w:pPr>
            <w:r/>
            <w:r>
              <w:rPr>
                <w:rFonts w:ascii="Calibri" w:hAnsi="Calibri"/>
                <w:b w:val="0"/>
                <w:color w:val="1F2933"/>
                <w:sz w:val="16"/>
              </w:rPr>
              <w:t>Manageable for services; higher risk in funding lane</w:t>
            </w:r>
          </w:p>
        </w:tc>
        <w:tc>
          <w:tcPr>
            <w:tcW w:type="dxa" w:w="2760"/>
            <w:shd w:fill="FFFFFF"/>
            <w:vAlign w:val="center"/>
          </w:tcPr>
          <w:p>
            <w:pPr>
              <w:spacing w:after="0" w:before="0" w:line="252" w:lineRule="auto"/>
              <w:jc w:val="left"/>
            </w:pPr>
            <w:r/>
            <w:r>
              <w:rPr>
                <w:rFonts w:ascii="Calibri" w:hAnsi="Calibri"/>
                <w:b w:val="0"/>
                <w:color w:val="1F2933"/>
                <w:sz w:val="16"/>
              </w:rPr>
              <w:t>Counsel-approved terms and boundaries</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Scale / franchise</w:t>
            </w:r>
          </w:p>
        </w:tc>
        <w:tc>
          <w:tcPr>
            <w:tcW w:type="dxa" w:w="1350"/>
            <w:shd w:fill="F4F6F9"/>
            <w:vAlign w:val="center"/>
          </w:tcPr>
          <w:p>
            <w:pPr>
              <w:spacing w:after="0" w:before="0" w:line="252" w:lineRule="auto"/>
              <w:jc w:val="left"/>
            </w:pPr>
            <w:r/>
            <w:r>
              <w:rPr>
                <w:rFonts w:ascii="Calibri" w:hAnsi="Calibri"/>
                <w:b w:val="0"/>
                <w:color w:val="1F2933"/>
                <w:sz w:val="16"/>
              </w:rPr>
              <w:t>1 / 5</w:t>
            </w:r>
          </w:p>
        </w:tc>
        <w:tc>
          <w:tcPr>
            <w:tcW w:type="dxa" w:w="3550"/>
            <w:shd w:fill="F4F6F9"/>
            <w:vAlign w:val="center"/>
          </w:tcPr>
          <w:p>
            <w:pPr>
              <w:spacing w:after="0" w:before="0" w:line="252" w:lineRule="auto"/>
              <w:jc w:val="left"/>
            </w:pPr>
            <w:r/>
            <w:r>
              <w:rPr>
                <w:rFonts w:ascii="Calibri" w:hAnsi="Calibri"/>
                <w:b w:val="0"/>
                <w:color w:val="1F2933"/>
                <w:sz w:val="16"/>
              </w:rPr>
              <w:t>No replicated unit or playbook</w:t>
            </w:r>
          </w:p>
        </w:tc>
        <w:tc>
          <w:tcPr>
            <w:tcW w:type="dxa" w:w="2760"/>
            <w:shd w:fill="F4F6F9"/>
            <w:vAlign w:val="center"/>
          </w:tcPr>
          <w:p>
            <w:pPr>
              <w:spacing w:after="0" w:before="0" w:line="252" w:lineRule="auto"/>
              <w:jc w:val="left"/>
            </w:pPr>
            <w:r/>
            <w:r>
              <w:rPr>
                <w:rFonts w:ascii="Calibri" w:hAnsi="Calibri"/>
                <w:b w:val="0"/>
                <w:color w:val="1F2933"/>
                <w:sz w:val="16"/>
              </w:rPr>
              <w:t>Two profitable units and audited SOPs</w:t>
            </w:r>
          </w:p>
        </w:tc>
      </w:tr>
      <w:tr>
        <w:trPr>
          <w:cantSplit/>
        </w:trPr>
        <w:tc>
          <w:tcPr>
            <w:tcW w:type="dxa" w:w="1700"/>
            <w:shd w:fill="E8F2F6"/>
            <w:vAlign w:val="center"/>
          </w:tcPr>
          <w:p>
            <w:pPr>
              <w:spacing w:after="0" w:before="0" w:line="252" w:lineRule="auto"/>
              <w:jc w:val="left"/>
            </w:pPr>
            <w:r/>
            <w:r>
              <w:rPr>
                <w:rFonts w:ascii="Calibri" w:hAnsi="Calibri"/>
                <w:b/>
                <w:color w:val="1F2933"/>
                <w:sz w:val="16"/>
              </w:rPr>
              <w:t>Overall</w:t>
            </w:r>
          </w:p>
        </w:tc>
        <w:tc>
          <w:tcPr>
            <w:tcW w:type="dxa" w:w="1350"/>
            <w:shd w:fill="E8F2F6"/>
            <w:vAlign w:val="center"/>
          </w:tcPr>
          <w:p>
            <w:pPr>
              <w:spacing w:after="0" w:before="0" w:line="252" w:lineRule="auto"/>
              <w:jc w:val="left"/>
            </w:pPr>
            <w:r/>
            <w:r>
              <w:rPr>
                <w:rFonts w:ascii="Calibri" w:hAnsi="Calibri"/>
                <w:b/>
                <w:color w:val="1F2933"/>
                <w:sz w:val="16"/>
              </w:rPr>
              <w:t>CONDITIONAL</w:t>
            </w:r>
          </w:p>
        </w:tc>
        <w:tc>
          <w:tcPr>
            <w:tcW w:type="dxa" w:w="3550"/>
            <w:shd w:fill="E8F2F6"/>
            <w:vAlign w:val="center"/>
          </w:tcPr>
          <w:p>
            <w:pPr>
              <w:spacing w:after="0" w:before="0" w:line="252" w:lineRule="auto"/>
              <w:jc w:val="left"/>
            </w:pPr>
            <w:r/>
            <w:r>
              <w:rPr>
                <w:rFonts w:ascii="Calibri" w:hAnsi="Calibri"/>
                <w:b/>
                <w:color w:val="1F2933"/>
                <w:sz w:val="16"/>
              </w:rPr>
              <w:t>Studio first; platform and rollout gated</w:t>
            </w:r>
          </w:p>
        </w:tc>
        <w:tc>
          <w:tcPr>
            <w:tcW w:type="dxa" w:w="2760"/>
            <w:shd w:fill="E8F2F6"/>
            <w:vAlign w:val="center"/>
          </w:tcPr>
          <w:p>
            <w:pPr>
              <w:spacing w:after="0" w:before="0" w:line="252" w:lineRule="auto"/>
              <w:jc w:val="left"/>
            </w:pPr>
            <w:r/>
            <w:r>
              <w:rPr>
                <w:rFonts w:ascii="Calibri" w:hAnsi="Calibri"/>
                <w:b/>
                <w:color w:val="1F2933"/>
                <w:sz w:val="16"/>
              </w:rPr>
              <w:t>90-day validation scorecard</w:t>
            </w:r>
          </w:p>
        </w:tc>
      </w:tr>
    </w:tbl>
    <w:p>
      <w:pPr>
        <w:spacing w:after="0"/>
      </w:pPr>
    </w:p>
    <w:p>
      <w:pPr>
        <w:pStyle w:val="Heading2"/>
        <w:keepNext/>
        <w:keepLines/>
      </w:pPr>
      <w:r>
        <w:t>Principal risk register</w:t>
      </w:r>
    </w:p>
    <w:tbl>
      <w:tblPr>
        <w:tblW w:type="dxa" w:w="9360"/>
        <w:jc w:val="left"/>
        <w:tblLayout w:type="fixed"/>
        <w:tblLook w:firstColumn="1" w:firstRow="1" w:lastColumn="0" w:lastRow="0" w:noHBand="0" w:noVBand="1" w:val="04A0"/>
        <w:tblInd w:w="0" w:type="dxa"/>
      </w:tblPr>
      <w:tblGrid>
        <w:gridCol w:w="1900"/>
        <w:gridCol w:w="1100"/>
        <w:gridCol w:w="2600"/>
        <w:gridCol w:w="3760"/>
      </w:tblGrid>
      <w:tr>
        <w:trPr>
          <w:tblHeader w:val="true"/>
          <w:cantSplit/>
        </w:trPr>
        <w:tc>
          <w:tcPr>
            <w:tcW w:type="dxa" w:w="190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Risk</w:t>
            </w:r>
          </w:p>
        </w:tc>
        <w:tc>
          <w:tcPr>
            <w:tcW w:type="dxa" w:w="110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Impact</w:t>
            </w:r>
          </w:p>
        </w:tc>
        <w:tc>
          <w:tcPr>
            <w:tcW w:type="dxa" w:w="260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Leading indicator</w:t>
            </w:r>
          </w:p>
        </w:tc>
        <w:tc>
          <w:tcPr>
            <w:tcW w:type="dxa" w:w="3760"/>
            <w:tcMar>
              <w:top w:w="80" w:type="dxa"/>
              <w:start w:w="120" w:type="dxa"/>
              <w:bottom w:w="80" w:type="dxa"/>
              <w:end w:w="120" w:type="dxa"/>
            </w:tcMar>
            <w:shd w:fill="238295"/>
          </w:tcPr>
          <w:p>
            <w:pPr>
              <w:spacing w:after="0" w:before="0" w:line="252" w:lineRule="auto"/>
              <w:jc w:val="left"/>
            </w:pPr>
            <w:r/>
            <w:r>
              <w:rPr>
                <w:rFonts w:ascii="Calibri" w:hAnsi="Calibri"/>
                <w:b/>
                <w:color w:val="FFFFFF"/>
                <w:sz w:val="15"/>
              </w:rPr>
              <w:t>Mitigation</w:t>
            </w:r>
          </w:p>
        </w:tc>
      </w:tr>
      <w:tr>
        <w:trPr>
          <w:cantSplit/>
        </w:trPr>
        <w:tc>
          <w:tcPr>
            <w:tcW w:type="dxa" w:w="1900"/>
            <w:shd w:fill="FFFFFF"/>
            <w:vAlign w:val="center"/>
          </w:tcPr>
          <w:p>
            <w:pPr>
              <w:spacing w:after="0" w:before="0" w:line="252" w:lineRule="auto"/>
              <w:jc w:val="left"/>
            </w:pPr>
            <w:r/>
            <w:r>
              <w:rPr>
                <w:rFonts w:ascii="Calibri" w:hAnsi="Calibri"/>
                <w:b w:val="0"/>
                <w:color w:val="1F2933"/>
                <w:sz w:val="15"/>
              </w:rPr>
              <w:t>Customers choose free/DIY alternatives</w:t>
            </w:r>
          </w:p>
        </w:tc>
        <w:tc>
          <w:tcPr>
            <w:tcW w:type="dxa" w:w="1100"/>
            <w:shd w:fill="FFFFFF"/>
            <w:vAlign w:val="center"/>
          </w:tcPr>
          <w:p>
            <w:pPr>
              <w:spacing w:after="0" w:before="0" w:line="252" w:lineRule="auto"/>
              <w:jc w:val="left"/>
            </w:pPr>
            <w:r/>
            <w:r>
              <w:rPr>
                <w:rFonts w:ascii="Calibri" w:hAnsi="Calibri"/>
                <w:b w:val="0"/>
                <w:color w:val="1F2933"/>
                <w:sz w:val="15"/>
              </w:rPr>
              <w:t>High</w:t>
            </w:r>
          </w:p>
        </w:tc>
        <w:tc>
          <w:tcPr>
            <w:tcW w:type="dxa" w:w="2600"/>
            <w:shd w:fill="FFFFFF"/>
            <w:vAlign w:val="center"/>
          </w:tcPr>
          <w:p>
            <w:pPr>
              <w:spacing w:after="0" w:before="0" w:line="252" w:lineRule="auto"/>
              <w:jc w:val="left"/>
            </w:pPr>
            <w:r/>
            <w:r>
              <w:rPr>
                <w:rFonts w:ascii="Calibri" w:hAnsi="Calibri"/>
                <w:b w:val="0"/>
                <w:color w:val="1F2933"/>
                <w:sz w:val="15"/>
              </w:rPr>
              <w:t>Low diagnostic conversion</w:t>
            </w:r>
          </w:p>
        </w:tc>
        <w:tc>
          <w:tcPr>
            <w:tcW w:type="dxa" w:w="3760"/>
            <w:shd w:fill="FFFFFF"/>
            <w:vAlign w:val="center"/>
          </w:tcPr>
          <w:p>
            <w:pPr>
              <w:spacing w:after="0" w:before="0" w:line="252" w:lineRule="auto"/>
              <w:jc w:val="left"/>
            </w:pPr>
            <w:r/>
            <w:r>
              <w:rPr>
                <w:rFonts w:ascii="Calibri" w:hAnsi="Calibri"/>
                <w:b w:val="0"/>
                <w:color w:val="1F2933"/>
                <w:sz w:val="15"/>
              </w:rPr>
              <w:t>Sharper deliverables, segment focus, partner channels</w:t>
            </w:r>
          </w:p>
        </w:tc>
      </w:tr>
      <w:tr>
        <w:trPr>
          <w:cantSplit/>
        </w:trPr>
        <w:tc>
          <w:tcPr>
            <w:tcW w:type="dxa" w:w="1900"/>
            <w:shd w:fill="F4F6F9"/>
            <w:vAlign w:val="center"/>
          </w:tcPr>
          <w:p>
            <w:pPr>
              <w:spacing w:after="0" w:before="0" w:line="252" w:lineRule="auto"/>
              <w:jc w:val="left"/>
            </w:pPr>
            <w:r/>
            <w:r>
              <w:rPr>
                <w:rFonts w:ascii="Calibri" w:hAnsi="Calibri"/>
                <w:b w:val="0"/>
                <w:color w:val="1F2933"/>
                <w:sz w:val="15"/>
              </w:rPr>
              <w:t>Projects overrun</w:t>
            </w:r>
          </w:p>
        </w:tc>
        <w:tc>
          <w:tcPr>
            <w:tcW w:type="dxa" w:w="1100"/>
            <w:shd w:fill="F4F6F9"/>
            <w:vAlign w:val="center"/>
          </w:tcPr>
          <w:p>
            <w:pPr>
              <w:spacing w:after="0" w:before="0" w:line="252" w:lineRule="auto"/>
              <w:jc w:val="left"/>
            </w:pPr>
            <w:r/>
            <w:r>
              <w:rPr>
                <w:rFonts w:ascii="Calibri" w:hAnsi="Calibri"/>
                <w:b w:val="0"/>
                <w:color w:val="1F2933"/>
                <w:sz w:val="15"/>
              </w:rPr>
              <w:t>High</w:t>
            </w:r>
          </w:p>
        </w:tc>
        <w:tc>
          <w:tcPr>
            <w:tcW w:type="dxa" w:w="2600"/>
            <w:shd w:fill="F4F6F9"/>
            <w:vAlign w:val="center"/>
          </w:tcPr>
          <w:p>
            <w:pPr>
              <w:spacing w:after="0" w:before="0" w:line="252" w:lineRule="auto"/>
              <w:jc w:val="left"/>
            </w:pPr>
            <w:r/>
            <w:r>
              <w:rPr>
                <w:rFonts w:ascii="Calibri" w:hAnsi="Calibri"/>
                <w:b w:val="0"/>
                <w:color w:val="1F2933"/>
                <w:sz w:val="15"/>
              </w:rPr>
              <w:t>Hours/package exceed plan</w:t>
            </w:r>
          </w:p>
        </w:tc>
        <w:tc>
          <w:tcPr>
            <w:tcW w:type="dxa" w:w="3760"/>
            <w:shd w:fill="F4F6F9"/>
            <w:vAlign w:val="center"/>
          </w:tcPr>
          <w:p>
            <w:pPr>
              <w:spacing w:after="0" w:before="0" w:line="252" w:lineRule="auto"/>
              <w:jc w:val="left"/>
            </w:pPr>
            <w:r/>
            <w:r>
              <w:rPr>
                <w:rFonts w:ascii="Calibri" w:hAnsi="Calibri"/>
                <w:b w:val="0"/>
                <w:color w:val="1F2933"/>
                <w:sz w:val="15"/>
              </w:rPr>
              <w:t>Scope gates, revision caps, red-team templates</w:t>
            </w:r>
          </w:p>
        </w:tc>
      </w:tr>
      <w:tr>
        <w:trPr>
          <w:cantSplit/>
        </w:trPr>
        <w:tc>
          <w:tcPr>
            <w:tcW w:type="dxa" w:w="1900"/>
            <w:shd w:fill="FFFFFF"/>
            <w:vAlign w:val="center"/>
          </w:tcPr>
          <w:p>
            <w:pPr>
              <w:spacing w:after="0" w:before="0" w:line="252" w:lineRule="auto"/>
              <w:jc w:val="left"/>
            </w:pPr>
            <w:r/>
            <w:r>
              <w:rPr>
                <w:rFonts w:ascii="Calibri" w:hAnsi="Calibri"/>
                <w:b w:val="0"/>
                <w:color w:val="1F2933"/>
                <w:sz w:val="15"/>
              </w:rPr>
              <w:t>Underutilized fixed team</w:t>
            </w:r>
          </w:p>
        </w:tc>
        <w:tc>
          <w:tcPr>
            <w:tcW w:type="dxa" w:w="1100"/>
            <w:shd w:fill="FFFFFF"/>
            <w:vAlign w:val="center"/>
          </w:tcPr>
          <w:p>
            <w:pPr>
              <w:spacing w:after="0" w:before="0" w:line="252" w:lineRule="auto"/>
              <w:jc w:val="left"/>
            </w:pPr>
            <w:r/>
            <w:r>
              <w:rPr>
                <w:rFonts w:ascii="Calibri" w:hAnsi="Calibri"/>
                <w:b w:val="0"/>
                <w:color w:val="1F2933"/>
                <w:sz w:val="15"/>
              </w:rPr>
              <w:t>High</w:t>
            </w:r>
          </w:p>
        </w:tc>
        <w:tc>
          <w:tcPr>
            <w:tcW w:type="dxa" w:w="2600"/>
            <w:shd w:fill="FFFFFF"/>
            <w:vAlign w:val="center"/>
          </w:tcPr>
          <w:p>
            <w:pPr>
              <w:spacing w:after="0" w:before="0" w:line="252" w:lineRule="auto"/>
              <w:jc w:val="left"/>
            </w:pPr>
            <w:r/>
            <w:r>
              <w:rPr>
                <w:rFonts w:ascii="Calibri" w:hAnsi="Calibri"/>
                <w:b w:val="0"/>
                <w:color w:val="1F2933"/>
                <w:sz w:val="15"/>
              </w:rPr>
              <w:t>Paid utilization below 50%</w:t>
            </w:r>
          </w:p>
        </w:tc>
        <w:tc>
          <w:tcPr>
            <w:tcW w:type="dxa" w:w="3760"/>
            <w:shd w:fill="FFFFFF"/>
            <w:vAlign w:val="center"/>
          </w:tcPr>
          <w:p>
            <w:pPr>
              <w:spacing w:after="0" w:before="0" w:line="252" w:lineRule="auto"/>
              <w:jc w:val="left"/>
            </w:pPr>
            <w:r/>
            <w:r>
              <w:rPr>
                <w:rFonts w:ascii="Calibri" w:hAnsi="Calibri"/>
                <w:b w:val="0"/>
                <w:color w:val="1F2933"/>
                <w:sz w:val="15"/>
              </w:rPr>
              <w:t>Variable staffing, cohorts, partner-hosted format</w:t>
            </w:r>
          </w:p>
        </w:tc>
      </w:tr>
      <w:tr>
        <w:trPr>
          <w:cantSplit/>
        </w:trPr>
        <w:tc>
          <w:tcPr>
            <w:tcW w:type="dxa" w:w="1900"/>
            <w:shd w:fill="F4F6F9"/>
            <w:vAlign w:val="center"/>
          </w:tcPr>
          <w:p>
            <w:pPr>
              <w:spacing w:after="0" w:before="0" w:line="252" w:lineRule="auto"/>
              <w:jc w:val="left"/>
            </w:pPr>
            <w:r/>
            <w:r>
              <w:rPr>
                <w:rFonts w:ascii="Calibri" w:hAnsi="Calibri"/>
                <w:b w:val="0"/>
                <w:color w:val="1F2933"/>
                <w:sz w:val="15"/>
              </w:rPr>
              <w:t>Confidentiality or AI incident</w:t>
            </w:r>
          </w:p>
        </w:tc>
        <w:tc>
          <w:tcPr>
            <w:tcW w:type="dxa" w:w="1100"/>
            <w:shd w:fill="F4F6F9"/>
            <w:vAlign w:val="center"/>
          </w:tcPr>
          <w:p>
            <w:pPr>
              <w:spacing w:after="0" w:before="0" w:line="252" w:lineRule="auto"/>
              <w:jc w:val="left"/>
            </w:pPr>
            <w:r/>
            <w:r>
              <w:rPr>
                <w:rFonts w:ascii="Calibri" w:hAnsi="Calibri"/>
                <w:b w:val="0"/>
                <w:color w:val="1F2933"/>
                <w:sz w:val="15"/>
              </w:rPr>
              <w:t>Critical</w:t>
            </w:r>
          </w:p>
        </w:tc>
        <w:tc>
          <w:tcPr>
            <w:tcW w:type="dxa" w:w="2600"/>
            <w:shd w:fill="F4F6F9"/>
            <w:vAlign w:val="center"/>
          </w:tcPr>
          <w:p>
            <w:pPr>
              <w:spacing w:after="0" w:before="0" w:line="252" w:lineRule="auto"/>
              <w:jc w:val="left"/>
            </w:pPr>
            <w:r/>
            <w:r>
              <w:rPr>
                <w:rFonts w:ascii="Calibri" w:hAnsi="Calibri"/>
                <w:b w:val="0"/>
                <w:color w:val="1F2933"/>
                <w:sz w:val="15"/>
              </w:rPr>
              <w:t>Control exception / complaint</w:t>
            </w:r>
          </w:p>
        </w:tc>
        <w:tc>
          <w:tcPr>
            <w:tcW w:type="dxa" w:w="3760"/>
            <w:shd w:fill="F4F6F9"/>
            <w:vAlign w:val="center"/>
          </w:tcPr>
          <w:p>
            <w:pPr>
              <w:spacing w:after="0" w:before="0" w:line="252" w:lineRule="auto"/>
              <w:jc w:val="left"/>
            </w:pPr>
            <w:r/>
            <w:r>
              <w:rPr>
                <w:rFonts w:ascii="Calibri" w:hAnsi="Calibri"/>
                <w:b w:val="0"/>
                <w:color w:val="1F2933"/>
                <w:sz w:val="15"/>
              </w:rPr>
              <w:t>Consent, access, encryption, deletion, response plan</w:t>
            </w:r>
          </w:p>
        </w:tc>
      </w:tr>
      <w:tr>
        <w:trPr>
          <w:cantSplit/>
        </w:trPr>
        <w:tc>
          <w:tcPr>
            <w:tcW w:type="dxa" w:w="1900"/>
            <w:shd w:fill="FFFFFF"/>
            <w:vAlign w:val="center"/>
          </w:tcPr>
          <w:p>
            <w:pPr>
              <w:spacing w:after="0" w:before="0" w:line="252" w:lineRule="auto"/>
              <w:jc w:val="left"/>
            </w:pPr>
            <w:r/>
            <w:r>
              <w:rPr>
                <w:rFonts w:ascii="Calibri" w:hAnsi="Calibri"/>
                <w:b w:val="0"/>
                <w:color w:val="1F2933"/>
                <w:sz w:val="15"/>
              </w:rPr>
              <w:t>Funding claims create regulatory exposure</w:t>
            </w:r>
          </w:p>
        </w:tc>
        <w:tc>
          <w:tcPr>
            <w:tcW w:type="dxa" w:w="1100"/>
            <w:shd w:fill="FFFFFF"/>
            <w:vAlign w:val="center"/>
          </w:tcPr>
          <w:p>
            <w:pPr>
              <w:spacing w:after="0" w:before="0" w:line="252" w:lineRule="auto"/>
              <w:jc w:val="left"/>
            </w:pPr>
            <w:r/>
            <w:r>
              <w:rPr>
                <w:rFonts w:ascii="Calibri" w:hAnsi="Calibri"/>
                <w:b w:val="0"/>
                <w:color w:val="1F2933"/>
                <w:sz w:val="15"/>
              </w:rPr>
              <w:t>Critical</w:t>
            </w:r>
          </w:p>
        </w:tc>
        <w:tc>
          <w:tcPr>
            <w:tcW w:type="dxa" w:w="2600"/>
            <w:shd w:fill="FFFFFF"/>
            <w:vAlign w:val="center"/>
          </w:tcPr>
          <w:p>
            <w:pPr>
              <w:spacing w:after="0" w:before="0" w:line="252" w:lineRule="auto"/>
              <w:jc w:val="left"/>
            </w:pPr>
            <w:r/>
            <w:r>
              <w:rPr>
                <w:rFonts w:ascii="Calibri" w:hAnsi="Calibri"/>
                <w:b w:val="0"/>
                <w:color w:val="1F2933"/>
                <w:sz w:val="15"/>
              </w:rPr>
              <w:t>Staff implies guarantees or transaction role</w:t>
            </w:r>
          </w:p>
        </w:tc>
        <w:tc>
          <w:tcPr>
            <w:tcW w:type="dxa" w:w="3760"/>
            <w:shd w:fill="FFFFFF"/>
            <w:vAlign w:val="center"/>
          </w:tcPr>
          <w:p>
            <w:pPr>
              <w:spacing w:after="0" w:before="0" w:line="252" w:lineRule="auto"/>
              <w:jc w:val="left"/>
            </w:pPr>
            <w:r/>
            <w:r>
              <w:rPr>
                <w:rFonts w:ascii="Calibri" w:hAnsi="Calibri"/>
                <w:b w:val="0"/>
                <w:color w:val="1F2933"/>
                <w:sz w:val="15"/>
              </w:rPr>
              <w:t>Training, scripts, counsel, registered intermediaries</w:t>
            </w:r>
          </w:p>
        </w:tc>
      </w:tr>
      <w:tr>
        <w:trPr>
          <w:cantSplit/>
        </w:trPr>
        <w:tc>
          <w:tcPr>
            <w:tcW w:type="dxa" w:w="1900"/>
            <w:shd w:fill="F4F6F9"/>
            <w:vAlign w:val="center"/>
          </w:tcPr>
          <w:p>
            <w:pPr>
              <w:spacing w:after="0" w:before="0" w:line="252" w:lineRule="auto"/>
              <w:jc w:val="left"/>
            </w:pPr>
            <w:r/>
            <w:r>
              <w:rPr>
                <w:rFonts w:ascii="Calibri" w:hAnsi="Calibri"/>
                <w:b w:val="0"/>
                <w:color w:val="1F2933"/>
                <w:sz w:val="15"/>
              </w:rPr>
              <w:t>Brand alienates target customers</w:t>
            </w:r>
          </w:p>
        </w:tc>
        <w:tc>
          <w:tcPr>
            <w:tcW w:type="dxa" w:w="1100"/>
            <w:shd w:fill="F4F6F9"/>
            <w:vAlign w:val="center"/>
          </w:tcPr>
          <w:p>
            <w:pPr>
              <w:spacing w:after="0" w:before="0" w:line="252" w:lineRule="auto"/>
              <w:jc w:val="left"/>
            </w:pPr>
            <w:r/>
            <w:r>
              <w:rPr>
                <w:rFonts w:ascii="Calibri" w:hAnsi="Calibri"/>
                <w:b w:val="0"/>
                <w:color w:val="1F2933"/>
                <w:sz w:val="15"/>
              </w:rPr>
              <w:t>Medium</w:t>
            </w:r>
          </w:p>
        </w:tc>
        <w:tc>
          <w:tcPr>
            <w:tcW w:type="dxa" w:w="2600"/>
            <w:shd w:fill="F4F6F9"/>
            <w:vAlign w:val="center"/>
          </w:tcPr>
          <w:p>
            <w:pPr>
              <w:spacing w:after="0" w:before="0" w:line="252" w:lineRule="auto"/>
              <w:jc w:val="left"/>
            </w:pPr>
            <w:r/>
            <w:r>
              <w:rPr>
                <w:rFonts w:ascii="Calibri" w:hAnsi="Calibri"/>
                <w:b w:val="0"/>
                <w:color w:val="1F2933"/>
                <w:sz w:val="15"/>
              </w:rPr>
              <w:t>Negative unaided name reaction</w:t>
            </w:r>
          </w:p>
        </w:tc>
        <w:tc>
          <w:tcPr>
            <w:tcW w:type="dxa" w:w="3760"/>
            <w:shd w:fill="F4F6F9"/>
            <w:vAlign w:val="center"/>
          </w:tcPr>
          <w:p>
            <w:pPr>
              <w:spacing w:after="0" w:before="0" w:line="252" w:lineRule="auto"/>
              <w:jc w:val="left"/>
            </w:pPr>
            <w:r/>
            <w:r>
              <w:rPr>
                <w:rFonts w:ascii="Calibri" w:hAnsi="Calibri"/>
                <w:b w:val="0"/>
                <w:color w:val="1F2933"/>
                <w:sz w:val="15"/>
              </w:rPr>
              <w:t>Blind testing, alternate names, trademark review</w:t>
            </w:r>
          </w:p>
        </w:tc>
      </w:tr>
      <w:tr>
        <w:trPr>
          <w:cantSplit/>
        </w:trPr>
        <w:tc>
          <w:tcPr>
            <w:tcW w:type="dxa" w:w="1900"/>
            <w:shd w:fill="FFFFFF"/>
            <w:vAlign w:val="center"/>
          </w:tcPr>
          <w:p>
            <w:pPr>
              <w:spacing w:after="0" w:before="0" w:line="252" w:lineRule="auto"/>
              <w:jc w:val="left"/>
            </w:pPr>
            <w:r/>
            <w:r>
              <w:rPr>
                <w:rFonts w:ascii="Calibri" w:hAnsi="Calibri"/>
                <w:b w:val="0"/>
                <w:color w:val="1F2933"/>
                <w:sz w:val="15"/>
              </w:rPr>
              <w:t>Buildout and lease overrun</w:t>
            </w:r>
          </w:p>
        </w:tc>
        <w:tc>
          <w:tcPr>
            <w:tcW w:type="dxa" w:w="1100"/>
            <w:shd w:fill="FFFFFF"/>
            <w:vAlign w:val="center"/>
          </w:tcPr>
          <w:p>
            <w:pPr>
              <w:spacing w:after="0" w:before="0" w:line="252" w:lineRule="auto"/>
              <w:jc w:val="left"/>
            </w:pPr>
            <w:r/>
            <w:r>
              <w:rPr>
                <w:rFonts w:ascii="Calibri" w:hAnsi="Calibri"/>
                <w:b w:val="0"/>
                <w:color w:val="1F2933"/>
                <w:sz w:val="15"/>
              </w:rPr>
              <w:t>High</w:t>
            </w:r>
          </w:p>
        </w:tc>
        <w:tc>
          <w:tcPr>
            <w:tcW w:type="dxa" w:w="2600"/>
            <w:shd w:fill="FFFFFF"/>
            <w:vAlign w:val="center"/>
          </w:tcPr>
          <w:p>
            <w:pPr>
              <w:spacing w:after="0" w:before="0" w:line="252" w:lineRule="auto"/>
              <w:jc w:val="left"/>
            </w:pPr>
            <w:r/>
            <w:r>
              <w:rPr>
                <w:rFonts w:ascii="Calibri" w:hAnsi="Calibri"/>
                <w:b w:val="0"/>
                <w:color w:val="1F2933"/>
                <w:sz w:val="15"/>
              </w:rPr>
              <w:t>Bids exceed allowance</w:t>
            </w:r>
          </w:p>
        </w:tc>
        <w:tc>
          <w:tcPr>
            <w:tcW w:type="dxa" w:w="3760"/>
            <w:shd w:fill="FFFFFF"/>
            <w:vAlign w:val="center"/>
          </w:tcPr>
          <w:p>
            <w:pPr>
              <w:spacing w:after="0" w:before="0" w:line="252" w:lineRule="auto"/>
              <w:jc w:val="left"/>
            </w:pPr>
            <w:r/>
            <w:r>
              <w:rPr>
                <w:rFonts w:ascii="Calibri" w:hAnsi="Calibri"/>
                <w:b w:val="0"/>
                <w:color w:val="1F2933"/>
                <w:sz w:val="15"/>
              </w:rPr>
              <w:t>Short pilot, landlord concessions, fixed bids, contingencies</w:t>
            </w:r>
          </w:p>
        </w:tc>
      </w:tr>
    </w:tbl>
    <w:p>
      <w:pPr>
        <w:spacing w:after="0"/>
      </w:pPr>
    </w:p>
    <w:p>
      <w:r>
        <w:br w:type="page"/>
      </w:r>
    </w:p>
    <w:p>
      <w:pPr>
        <w:spacing w:after="40"/>
      </w:pPr>
      <w:r>
        <w:rPr>
          <w:b/>
          <w:color w:val="238295"/>
          <w:sz w:val="17"/>
        </w:rPr>
        <w:t>THE NEXT CAPITAL SHOULD BUY ANSWERS</w:t>
      </w:r>
    </w:p>
    <w:p>
      <w:pPr>
        <w:pStyle w:val="Heading1"/>
        <w:keepNext/>
        <w:keepLines/>
      </w:pPr>
      <w:r>
        <w:t>18  Ninety-day validation program</w:t>
      </w:r>
    </w:p>
    <w:tbl>
      <w:tblPr>
        <w:tblW w:type="dxa" w:w="9360"/>
        <w:jc w:val="left"/>
        <w:tblLayout w:type="fixed"/>
        <w:tblLook w:firstColumn="1" w:firstRow="1" w:lastColumn="0" w:lastRow="0" w:noHBand="0" w:noVBand="1" w:val="04A0"/>
        <w:tblInd w:w="0" w:type="dxa"/>
      </w:tblPr>
      <w:tblGrid>
        <w:gridCol w:w="1500"/>
        <w:gridCol w:w="4250"/>
        <w:gridCol w:w="3610"/>
      </w:tblGrid>
      <w:tr>
        <w:trPr>
          <w:tblHeader w:val="true"/>
          <w:cantSplit/>
        </w:trPr>
        <w:tc>
          <w:tcPr>
            <w:tcW w:type="dxa" w:w="15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Period</w:t>
            </w:r>
          </w:p>
        </w:tc>
        <w:tc>
          <w:tcPr>
            <w:tcW w:type="dxa" w:w="42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Work</w:t>
            </w:r>
          </w:p>
        </w:tc>
        <w:tc>
          <w:tcPr>
            <w:tcW w:type="dxa" w:w="361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Evidence produced</w:t>
            </w:r>
          </w:p>
        </w:tc>
      </w:tr>
      <w:tr>
        <w:trPr>
          <w:cantSplit/>
        </w:trPr>
        <w:tc>
          <w:tcPr>
            <w:tcW w:type="dxa" w:w="1500"/>
            <w:shd w:fill="FFFFFF"/>
            <w:vAlign w:val="center"/>
          </w:tcPr>
          <w:p>
            <w:pPr>
              <w:spacing w:after="0" w:before="0" w:line="252" w:lineRule="auto"/>
              <w:jc w:val="left"/>
            </w:pPr>
            <w:r/>
            <w:r>
              <w:rPr>
                <w:rFonts w:ascii="Calibri" w:hAnsi="Calibri"/>
                <w:b w:val="0"/>
                <w:color w:val="1F2933"/>
                <w:sz w:val="16"/>
              </w:rPr>
              <w:t>Days 1–15</w:t>
            </w:r>
          </w:p>
        </w:tc>
        <w:tc>
          <w:tcPr>
            <w:tcW w:type="dxa" w:w="4250"/>
            <w:shd w:fill="FFFFFF"/>
            <w:vAlign w:val="center"/>
          </w:tcPr>
          <w:p>
            <w:pPr>
              <w:spacing w:after="0" w:before="0" w:line="252" w:lineRule="auto"/>
              <w:jc w:val="left"/>
            </w:pPr>
            <w:r/>
            <w:r>
              <w:rPr>
                <w:rFonts w:ascii="Calibri" w:hAnsi="Calibri"/>
                <w:b w:val="0"/>
                <w:color w:val="1F2933"/>
                <w:sz w:val="16"/>
              </w:rPr>
              <w:t>Counsel issue list; customer interviews; name test; package prototypes; partner outreach</w:t>
            </w:r>
          </w:p>
        </w:tc>
        <w:tc>
          <w:tcPr>
            <w:tcW w:type="dxa" w:w="3610"/>
            <w:shd w:fill="FFFFFF"/>
            <w:vAlign w:val="center"/>
          </w:tcPr>
          <w:p>
            <w:pPr>
              <w:spacing w:after="0" w:before="0" w:line="252" w:lineRule="auto"/>
              <w:jc w:val="left"/>
            </w:pPr>
            <w:r/>
            <w:r>
              <w:rPr>
                <w:rFonts w:ascii="Calibri" w:hAnsi="Calibri"/>
                <w:b w:val="0"/>
                <w:color w:val="1F2933"/>
                <w:sz w:val="16"/>
              </w:rPr>
              <w:t>Risk boundaries, scripts, first demand map</w:t>
            </w:r>
          </w:p>
        </w:tc>
      </w:tr>
      <w:tr>
        <w:trPr>
          <w:cantSplit/>
        </w:trPr>
        <w:tc>
          <w:tcPr>
            <w:tcW w:type="dxa" w:w="1500"/>
            <w:shd w:fill="F4F6F9"/>
            <w:vAlign w:val="center"/>
          </w:tcPr>
          <w:p>
            <w:pPr>
              <w:spacing w:after="0" w:before="0" w:line="252" w:lineRule="auto"/>
              <w:jc w:val="left"/>
            </w:pPr>
            <w:r/>
            <w:r>
              <w:rPr>
                <w:rFonts w:ascii="Calibri" w:hAnsi="Calibri"/>
                <w:b w:val="0"/>
                <w:color w:val="1F2933"/>
                <w:sz w:val="16"/>
              </w:rPr>
              <w:t>Days 16–45</w:t>
            </w:r>
          </w:p>
        </w:tc>
        <w:tc>
          <w:tcPr>
            <w:tcW w:type="dxa" w:w="4250"/>
            <w:shd w:fill="F4F6F9"/>
            <w:vAlign w:val="center"/>
          </w:tcPr>
          <w:p>
            <w:pPr>
              <w:spacing w:after="0" w:before="0" w:line="252" w:lineRule="auto"/>
              <w:jc w:val="left"/>
            </w:pPr>
            <w:r/>
            <w:r>
              <w:rPr>
                <w:rFonts w:ascii="Calibri" w:hAnsi="Calibri"/>
                <w:b w:val="0"/>
                <w:color w:val="1F2933"/>
                <w:sz w:val="16"/>
              </w:rPr>
              <w:t>Twelve paid concierge engagements; time tracking; three price cells; artifact QA</w:t>
            </w:r>
          </w:p>
        </w:tc>
        <w:tc>
          <w:tcPr>
            <w:tcW w:type="dxa" w:w="3610"/>
            <w:shd w:fill="F4F6F9"/>
            <w:vAlign w:val="center"/>
          </w:tcPr>
          <w:p>
            <w:pPr>
              <w:spacing w:after="0" w:before="0" w:line="252" w:lineRule="auto"/>
              <w:jc w:val="left"/>
            </w:pPr>
            <w:r/>
            <w:r>
              <w:rPr>
                <w:rFonts w:ascii="Calibri" w:hAnsi="Calibri"/>
                <w:b w:val="0"/>
                <w:color w:val="1F2933"/>
                <w:sz w:val="16"/>
              </w:rPr>
              <w:t>Realized rate, scope variance, customer value</w:t>
            </w:r>
          </w:p>
        </w:tc>
      </w:tr>
      <w:tr>
        <w:trPr>
          <w:cantSplit/>
        </w:trPr>
        <w:tc>
          <w:tcPr>
            <w:tcW w:type="dxa" w:w="1500"/>
            <w:shd w:fill="FFFFFF"/>
            <w:vAlign w:val="center"/>
          </w:tcPr>
          <w:p>
            <w:pPr>
              <w:spacing w:after="0" w:before="0" w:line="252" w:lineRule="auto"/>
              <w:jc w:val="left"/>
            </w:pPr>
            <w:r/>
            <w:r>
              <w:rPr>
                <w:rFonts w:ascii="Calibri" w:hAnsi="Calibri"/>
                <w:b w:val="0"/>
                <w:color w:val="1F2933"/>
                <w:sz w:val="16"/>
              </w:rPr>
              <w:t>Days 46–75</w:t>
            </w:r>
          </w:p>
        </w:tc>
        <w:tc>
          <w:tcPr>
            <w:tcW w:type="dxa" w:w="4250"/>
            <w:shd w:fill="FFFFFF"/>
            <w:vAlign w:val="center"/>
          </w:tcPr>
          <w:p>
            <w:pPr>
              <w:spacing w:after="0" w:before="0" w:line="252" w:lineRule="auto"/>
              <w:jc w:val="left"/>
            </w:pPr>
            <w:r/>
            <w:r>
              <w:rPr>
                <w:rFonts w:ascii="Calibri" w:hAnsi="Calibri"/>
                <w:b w:val="0"/>
                <w:color w:val="1F2933"/>
                <w:sz w:val="16"/>
              </w:rPr>
              <w:t>Partner-hosted clinics/pop-up; cohort workshop; referral tests; security tabletop</w:t>
            </w:r>
          </w:p>
        </w:tc>
        <w:tc>
          <w:tcPr>
            <w:tcW w:type="dxa" w:w="3610"/>
            <w:shd w:fill="FFFFFF"/>
            <w:vAlign w:val="center"/>
          </w:tcPr>
          <w:p>
            <w:pPr>
              <w:spacing w:after="0" w:before="0" w:line="252" w:lineRule="auto"/>
              <w:jc w:val="left"/>
            </w:pPr>
            <w:r/>
            <w:r>
              <w:rPr>
                <w:rFonts w:ascii="Calibri" w:hAnsi="Calibri"/>
                <w:b w:val="0"/>
                <w:color w:val="1F2933"/>
                <w:sz w:val="16"/>
              </w:rPr>
              <w:t>Channel conversion, throughput, incident readiness</w:t>
            </w:r>
          </w:p>
        </w:tc>
      </w:tr>
      <w:tr>
        <w:trPr>
          <w:cantSplit/>
        </w:trPr>
        <w:tc>
          <w:tcPr>
            <w:tcW w:type="dxa" w:w="1500"/>
            <w:shd w:fill="F4F6F9"/>
            <w:vAlign w:val="center"/>
          </w:tcPr>
          <w:p>
            <w:pPr>
              <w:spacing w:after="0" w:before="0" w:line="252" w:lineRule="auto"/>
              <w:jc w:val="left"/>
            </w:pPr>
            <w:r/>
            <w:r>
              <w:rPr>
                <w:rFonts w:ascii="Calibri" w:hAnsi="Calibri"/>
                <w:b w:val="0"/>
                <w:color w:val="1F2933"/>
                <w:sz w:val="16"/>
              </w:rPr>
              <w:t>Days 76–90</w:t>
            </w:r>
          </w:p>
        </w:tc>
        <w:tc>
          <w:tcPr>
            <w:tcW w:type="dxa" w:w="4250"/>
            <w:shd w:fill="F4F6F9"/>
            <w:vAlign w:val="center"/>
          </w:tcPr>
          <w:p>
            <w:pPr>
              <w:spacing w:after="0" w:before="0" w:line="252" w:lineRule="auto"/>
              <w:jc w:val="left"/>
            </w:pPr>
            <w:r/>
            <w:r>
              <w:rPr>
                <w:rFonts w:ascii="Calibri" w:hAnsi="Calibri"/>
                <w:b w:val="0"/>
                <w:color w:val="1F2933"/>
                <w:sz w:val="16"/>
              </w:rPr>
              <w:t>Repeat sales; second-review audit; updated model; IC decision</w:t>
            </w:r>
          </w:p>
        </w:tc>
        <w:tc>
          <w:tcPr>
            <w:tcW w:type="dxa" w:w="3610"/>
            <w:shd w:fill="F4F6F9"/>
            <w:vAlign w:val="center"/>
          </w:tcPr>
          <w:p>
            <w:pPr>
              <w:spacing w:after="0" w:before="0" w:line="252" w:lineRule="auto"/>
              <w:jc w:val="left"/>
            </w:pPr>
            <w:r/>
            <w:r>
              <w:rPr>
                <w:rFonts w:ascii="Calibri" w:hAnsi="Calibri"/>
                <w:b w:val="0"/>
                <w:color w:val="1F2933"/>
                <w:sz w:val="16"/>
              </w:rPr>
              <w:t>Measured economics and go/pivot/stop recommendation</w:t>
            </w:r>
          </w:p>
        </w:tc>
      </w:tr>
    </w:tbl>
    <w:p>
      <w:pPr>
        <w:spacing w:after="0"/>
      </w:pPr>
    </w:p>
    <w:p>
      <w:pPr>
        <w:pStyle w:val="Heading2"/>
        <w:keepNext/>
        <w:keepLines/>
      </w:pPr>
      <w:r>
        <w:t>Hard gates for a lease search</w:t>
      </w:r>
    </w:p>
    <w:p>
      <w:pPr>
        <w:pStyle w:val="ListBullet"/>
        <w:keepLines/>
        <w:jc w:val="left"/>
      </w:pPr>
      <w:r>
        <w:t>At least 100 paid engagements or an equivalent contracted revenue base across the validation period.</w:t>
      </w:r>
    </w:p>
    <w:p>
      <w:pPr>
        <w:pStyle w:val="ListBullet"/>
        <w:keepLines/>
        <w:jc w:val="left"/>
      </w:pPr>
      <w:r>
        <w:t>Three-month trailing revenue run-rate of at least $100K per month or a credible contracted bridge to it.</w:t>
      </w:r>
    </w:p>
    <w:p>
      <w:pPr>
        <w:pStyle w:val="ListBullet"/>
        <w:keepLines/>
        <w:jc w:val="left"/>
      </w:pPr>
      <w:r>
        <w:t>Blended service revenue per paid delivery hour ≥$200 and package contribution margin ≥65% after specialist pass-through.</w:t>
      </w:r>
    </w:p>
    <w:p>
      <w:pPr>
        <w:pStyle w:val="ListBullet"/>
        <w:keepLines/>
        <w:jc w:val="left"/>
      </w:pPr>
      <w:r>
        <w:t>Paid utilization ≥60% in a lean delivery team, with premium-deliverable rework below 15%.</w:t>
      </w:r>
    </w:p>
    <w:p>
      <w:pPr>
        <w:pStyle w:val="ListBullet"/>
        <w:keepLines/>
        <w:jc w:val="left"/>
      </w:pPr>
      <w:r>
        <w:t>Lead-to-paid conversion ≥20%, acquisition payback ≤90 days, and repeat/referral share ≥30%.</w:t>
      </w:r>
    </w:p>
    <w:p>
      <w:pPr>
        <w:pStyle w:val="ListBullet"/>
        <w:keepLines/>
        <w:jc w:val="left"/>
      </w:pPr>
      <w:r>
        <w:t>NPS ≥50, no critical privacy/confidentiality incidents, and counsel-approved customer terms.</w:t>
      </w:r>
    </w:p>
    <w:p>
      <w:pPr>
        <w:pStyle w:val="ListBullet"/>
        <w:keepLines/>
        <w:jc w:val="left"/>
      </w:pPr>
      <w:r>
        <w:t>Two local site scenarios with signed landlord economics, contractor ranges, and downside covenant headroom.</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38295"/>
          </w:tcPr>
          <w:p>
            <w:pPr>
              <w:spacing w:after="0" w:before="0" w:line="252" w:lineRule="auto"/>
              <w:jc w:val="left"/>
            </w:pPr>
            <w:r/>
            <w:r>
              <w:rPr>
                <w:rFonts w:ascii="Calibri" w:hAnsi="Calibri"/>
                <w:b/>
                <w:color w:val="FFFFFF"/>
                <w:sz w:val="19"/>
              </w:rPr>
              <w:t>DECISION RULE</w:t>
            </w:r>
          </w:p>
        </w:tc>
      </w:tr>
      <w:tr>
        <w:trPr>
          <w:cantSplit/>
        </w:trPr>
        <w:tc>
          <w:tcPr>
            <w:tcW w:type="dxa" w:w="9360"/>
            <w:tcMar>
              <w:top w:w="80" w:type="dxa"/>
              <w:start w:w="120" w:type="dxa"/>
              <w:bottom w:w="80" w:type="dxa"/>
              <w:end w:w="120" w:type="dxa"/>
            </w:tcMar>
            <w:shd w:fill="E8F2F6"/>
          </w:tcPr>
          <w:p>
            <w:pPr>
              <w:spacing w:after="40" w:before="0" w:line="252" w:lineRule="auto"/>
              <w:jc w:val="left"/>
            </w:pPr>
            <w:r/>
            <w:r>
              <w:rPr>
                <w:rFonts w:ascii="Calibri" w:hAnsi="Calibri"/>
                <w:b w:val="0"/>
                <w:color w:val="1F2933"/>
                <w:sz w:val="20"/>
              </w:rPr>
              <w:t>Missing one hard gate does not automatically kill the venture; it forces a documented remedy, a lower-capital format, or a stop decision before a long-term obligation.</w:t>
            </w:r>
          </w:p>
        </w:tc>
      </w:tr>
    </w:tbl>
    <w:p>
      <w:pPr>
        <w:spacing w:after="0"/>
      </w:pPr>
    </w:p>
    <w:p>
      <w:r>
        <w:br w:type="page"/>
      </w:r>
    </w:p>
    <w:p>
      <w:pPr>
        <w:spacing w:after="40"/>
      </w:pPr>
      <w:r>
        <w:rPr>
          <w:b/>
          <w:color w:val="238295"/>
          <w:sz w:val="17"/>
        </w:rPr>
        <w:t>OPTIONALITY BY DESIGN</w:t>
      </w:r>
    </w:p>
    <w:p>
      <w:pPr>
        <w:pStyle w:val="Heading1"/>
        <w:keepNext/>
        <w:keepLines/>
      </w:pPr>
      <w:r>
        <w:t>19  Twenty-four-month roadmap</w:t>
      </w:r>
    </w:p>
    <w:tbl>
      <w:tblPr>
        <w:tblW w:type="dxa" w:w="9360"/>
        <w:jc w:val="left"/>
        <w:tblLayout w:type="fixed"/>
        <w:tblLook w:firstColumn="1" w:firstRow="1" w:lastColumn="0" w:lastRow="0" w:noHBand="0" w:noVBand="1" w:val="04A0"/>
        <w:tblInd w:w="0" w:type="dxa"/>
      </w:tblPr>
      <w:tblGrid>
        <w:gridCol w:w="1700"/>
        <w:gridCol w:w="950"/>
        <w:gridCol w:w="3350"/>
        <w:gridCol w:w="3360"/>
      </w:tblGrid>
      <w:tr>
        <w:trPr>
          <w:tblHeader w:val="true"/>
          <w:cantSplit/>
        </w:trPr>
        <w:tc>
          <w:tcPr>
            <w:tcW w:type="dxa" w:w="17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Stage</w:t>
            </w:r>
          </w:p>
        </w:tc>
        <w:tc>
          <w:tcPr>
            <w:tcW w:type="dxa" w:w="9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Months</w:t>
            </w:r>
          </w:p>
        </w:tc>
        <w:tc>
          <w:tcPr>
            <w:tcW w:type="dxa" w:w="33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Objective</w:t>
            </w:r>
          </w:p>
        </w:tc>
        <w:tc>
          <w:tcPr>
            <w:tcW w:type="dxa" w:w="33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Exit criterion</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Discovery</w:t>
            </w:r>
          </w:p>
        </w:tc>
        <w:tc>
          <w:tcPr>
            <w:tcW w:type="dxa" w:w="950"/>
            <w:shd w:fill="FFFFFF"/>
            <w:vAlign w:val="center"/>
          </w:tcPr>
          <w:p>
            <w:pPr>
              <w:spacing w:after="0" w:before="0" w:line="252" w:lineRule="auto"/>
              <w:jc w:val="left"/>
            </w:pPr>
            <w:r/>
            <w:r>
              <w:rPr>
                <w:rFonts w:ascii="Calibri" w:hAnsi="Calibri"/>
                <w:b w:val="0"/>
                <w:color w:val="1F2933"/>
                <w:sz w:val="16"/>
              </w:rPr>
              <w:t>0–2</w:t>
            </w:r>
          </w:p>
        </w:tc>
        <w:tc>
          <w:tcPr>
            <w:tcW w:type="dxa" w:w="3350"/>
            <w:shd w:fill="FFFFFF"/>
            <w:vAlign w:val="center"/>
          </w:tcPr>
          <w:p>
            <w:pPr>
              <w:spacing w:after="0" w:before="0" w:line="252" w:lineRule="auto"/>
              <w:jc w:val="left"/>
            </w:pPr>
            <w:r/>
            <w:r>
              <w:rPr>
                <w:rFonts w:ascii="Calibri" w:hAnsi="Calibri"/>
                <w:b w:val="0"/>
                <w:color w:val="1F2933"/>
                <w:sz w:val="16"/>
              </w:rPr>
              <w:t>Prove target problem and paid diagnostic</w:t>
            </w:r>
          </w:p>
        </w:tc>
        <w:tc>
          <w:tcPr>
            <w:tcW w:type="dxa" w:w="3360"/>
            <w:shd w:fill="FFFFFF"/>
            <w:vAlign w:val="center"/>
          </w:tcPr>
          <w:p>
            <w:pPr>
              <w:spacing w:after="0" w:before="0" w:line="252" w:lineRule="auto"/>
              <w:jc w:val="left"/>
            </w:pPr>
            <w:r/>
            <w:r>
              <w:rPr>
                <w:rFonts w:ascii="Calibri" w:hAnsi="Calibri"/>
                <w:b w:val="0"/>
                <w:color w:val="1F2933"/>
                <w:sz w:val="16"/>
              </w:rPr>
              <w:t>12 paid cases; no critical control gap</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Concierge studio</w:t>
            </w:r>
          </w:p>
        </w:tc>
        <w:tc>
          <w:tcPr>
            <w:tcW w:type="dxa" w:w="950"/>
            <w:shd w:fill="F4F6F9"/>
            <w:vAlign w:val="center"/>
          </w:tcPr>
          <w:p>
            <w:pPr>
              <w:spacing w:after="0" w:before="0" w:line="252" w:lineRule="auto"/>
              <w:jc w:val="left"/>
            </w:pPr>
            <w:r/>
            <w:r>
              <w:rPr>
                <w:rFonts w:ascii="Calibri" w:hAnsi="Calibri"/>
                <w:b w:val="0"/>
                <w:color w:val="1F2933"/>
                <w:sz w:val="16"/>
              </w:rPr>
              <w:t>2–6</w:t>
            </w:r>
          </w:p>
        </w:tc>
        <w:tc>
          <w:tcPr>
            <w:tcW w:type="dxa" w:w="3350"/>
            <w:shd w:fill="F4F6F9"/>
            <w:vAlign w:val="center"/>
          </w:tcPr>
          <w:p>
            <w:pPr>
              <w:spacing w:after="0" w:before="0" w:line="252" w:lineRule="auto"/>
              <w:jc w:val="left"/>
            </w:pPr>
            <w:r/>
            <w:r>
              <w:rPr>
                <w:rFonts w:ascii="Calibri" w:hAnsi="Calibri"/>
                <w:b w:val="0"/>
                <w:color w:val="1F2933"/>
                <w:sz w:val="16"/>
              </w:rPr>
              <w:t>Prove offer mix, delivery, and referrals</w:t>
            </w:r>
          </w:p>
        </w:tc>
        <w:tc>
          <w:tcPr>
            <w:tcW w:type="dxa" w:w="3360"/>
            <w:shd w:fill="F4F6F9"/>
            <w:vAlign w:val="center"/>
          </w:tcPr>
          <w:p>
            <w:pPr>
              <w:spacing w:after="0" w:before="0" w:line="252" w:lineRule="auto"/>
              <w:jc w:val="left"/>
            </w:pPr>
            <w:r/>
            <w:r>
              <w:rPr>
                <w:rFonts w:ascii="Calibri" w:hAnsi="Calibri"/>
                <w:b w:val="0"/>
                <w:color w:val="1F2933"/>
                <w:sz w:val="16"/>
              </w:rPr>
              <w:t>Economics and quality thresholds met</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Pop-up / embedded studio</w:t>
            </w:r>
          </w:p>
        </w:tc>
        <w:tc>
          <w:tcPr>
            <w:tcW w:type="dxa" w:w="950"/>
            <w:shd w:fill="FFFFFF"/>
            <w:vAlign w:val="center"/>
          </w:tcPr>
          <w:p>
            <w:pPr>
              <w:spacing w:after="0" w:before="0" w:line="252" w:lineRule="auto"/>
              <w:jc w:val="left"/>
            </w:pPr>
            <w:r/>
            <w:r>
              <w:rPr>
                <w:rFonts w:ascii="Calibri" w:hAnsi="Calibri"/>
                <w:b w:val="0"/>
                <w:color w:val="1F2933"/>
                <w:sz w:val="16"/>
              </w:rPr>
              <w:t>6–12</w:t>
            </w:r>
          </w:p>
        </w:tc>
        <w:tc>
          <w:tcPr>
            <w:tcW w:type="dxa" w:w="3350"/>
            <w:shd w:fill="FFFFFF"/>
            <w:vAlign w:val="center"/>
          </w:tcPr>
          <w:p>
            <w:pPr>
              <w:spacing w:after="0" w:before="0" w:line="252" w:lineRule="auto"/>
              <w:jc w:val="left"/>
            </w:pPr>
            <w:r/>
            <w:r>
              <w:rPr>
                <w:rFonts w:ascii="Calibri" w:hAnsi="Calibri"/>
                <w:b w:val="0"/>
                <w:color w:val="1F2933"/>
                <w:sz w:val="16"/>
              </w:rPr>
              <w:t>Prove location-assisted acquisition and events</w:t>
            </w:r>
          </w:p>
        </w:tc>
        <w:tc>
          <w:tcPr>
            <w:tcW w:type="dxa" w:w="3360"/>
            <w:shd w:fill="FFFFFF"/>
            <w:vAlign w:val="center"/>
          </w:tcPr>
          <w:p>
            <w:pPr>
              <w:spacing w:after="0" w:before="0" w:line="252" w:lineRule="auto"/>
              <w:jc w:val="left"/>
            </w:pPr>
            <w:r/>
            <w:r>
              <w:rPr>
                <w:rFonts w:ascii="Calibri" w:hAnsi="Calibri"/>
                <w:b w:val="0"/>
                <w:color w:val="1F2933"/>
                <w:sz w:val="16"/>
              </w:rPr>
              <w:t>Sustained run-rate and utilization</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Flagship diligence</w:t>
            </w:r>
          </w:p>
        </w:tc>
        <w:tc>
          <w:tcPr>
            <w:tcW w:type="dxa" w:w="950"/>
            <w:shd w:fill="F4F6F9"/>
            <w:vAlign w:val="center"/>
          </w:tcPr>
          <w:p>
            <w:pPr>
              <w:spacing w:after="0" w:before="0" w:line="252" w:lineRule="auto"/>
              <w:jc w:val="left"/>
            </w:pPr>
            <w:r/>
            <w:r>
              <w:rPr>
                <w:rFonts w:ascii="Calibri" w:hAnsi="Calibri"/>
                <w:b w:val="0"/>
                <w:color w:val="1F2933"/>
                <w:sz w:val="16"/>
              </w:rPr>
              <w:t>9–15</w:t>
            </w:r>
          </w:p>
        </w:tc>
        <w:tc>
          <w:tcPr>
            <w:tcW w:type="dxa" w:w="3350"/>
            <w:shd w:fill="F4F6F9"/>
            <w:vAlign w:val="center"/>
          </w:tcPr>
          <w:p>
            <w:pPr>
              <w:spacing w:after="0" w:before="0" w:line="252" w:lineRule="auto"/>
              <w:jc w:val="left"/>
            </w:pPr>
            <w:r/>
            <w:r>
              <w:rPr>
                <w:rFonts w:ascii="Calibri" w:hAnsi="Calibri"/>
                <w:b w:val="0"/>
                <w:color w:val="1F2933"/>
                <w:sz w:val="16"/>
              </w:rPr>
              <w:t>Site, bids, financing, security, team</w:t>
            </w:r>
          </w:p>
        </w:tc>
        <w:tc>
          <w:tcPr>
            <w:tcW w:type="dxa" w:w="3360"/>
            <w:shd w:fill="F4F6F9"/>
            <w:vAlign w:val="center"/>
          </w:tcPr>
          <w:p>
            <w:pPr>
              <w:spacing w:after="0" w:before="0" w:line="252" w:lineRule="auto"/>
              <w:jc w:val="left"/>
            </w:pPr>
            <w:r/>
            <w:r>
              <w:rPr>
                <w:rFonts w:ascii="Calibri" w:hAnsi="Calibri"/>
                <w:b w:val="0"/>
                <w:color w:val="1F2933"/>
                <w:sz w:val="16"/>
              </w:rPr>
              <w:t>IC approval against downside case</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Flagship launch</w:t>
            </w:r>
          </w:p>
        </w:tc>
        <w:tc>
          <w:tcPr>
            <w:tcW w:type="dxa" w:w="950"/>
            <w:shd w:fill="FFFFFF"/>
            <w:vAlign w:val="center"/>
          </w:tcPr>
          <w:p>
            <w:pPr>
              <w:spacing w:after="0" w:before="0" w:line="252" w:lineRule="auto"/>
              <w:jc w:val="left"/>
            </w:pPr>
            <w:r/>
            <w:r>
              <w:rPr>
                <w:rFonts w:ascii="Calibri" w:hAnsi="Calibri"/>
                <w:b w:val="0"/>
                <w:color w:val="1F2933"/>
                <w:sz w:val="16"/>
              </w:rPr>
              <w:t>15–24</w:t>
            </w:r>
          </w:p>
        </w:tc>
        <w:tc>
          <w:tcPr>
            <w:tcW w:type="dxa" w:w="3350"/>
            <w:shd w:fill="FFFFFF"/>
            <w:vAlign w:val="center"/>
          </w:tcPr>
          <w:p>
            <w:pPr>
              <w:spacing w:after="0" w:before="0" w:line="252" w:lineRule="auto"/>
              <w:jc w:val="left"/>
            </w:pPr>
            <w:r/>
            <w:r>
              <w:rPr>
                <w:rFonts w:ascii="Calibri" w:hAnsi="Calibri"/>
                <w:b w:val="0"/>
                <w:color w:val="1F2933"/>
                <w:sz w:val="16"/>
              </w:rPr>
              <w:t>Operate one controlled unit</w:t>
            </w:r>
          </w:p>
        </w:tc>
        <w:tc>
          <w:tcPr>
            <w:tcW w:type="dxa" w:w="3360"/>
            <w:shd w:fill="FFFFFF"/>
            <w:vAlign w:val="center"/>
          </w:tcPr>
          <w:p>
            <w:pPr>
              <w:spacing w:after="0" w:before="0" w:line="252" w:lineRule="auto"/>
              <w:jc w:val="left"/>
            </w:pPr>
            <w:r/>
            <w:r>
              <w:rPr>
                <w:rFonts w:ascii="Calibri" w:hAnsi="Calibri"/>
                <w:b w:val="0"/>
                <w:color w:val="1F2933"/>
                <w:sz w:val="16"/>
              </w:rPr>
              <w:t>Six months of stable four-wall KPIs</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Platform options</w:t>
            </w:r>
          </w:p>
        </w:tc>
        <w:tc>
          <w:tcPr>
            <w:tcW w:type="dxa" w:w="950"/>
            <w:shd w:fill="F4F6F9"/>
            <w:vAlign w:val="center"/>
          </w:tcPr>
          <w:p>
            <w:pPr>
              <w:spacing w:after="0" w:before="0" w:line="252" w:lineRule="auto"/>
              <w:jc w:val="left"/>
            </w:pPr>
            <w:r/>
            <w:r>
              <w:rPr>
                <w:rFonts w:ascii="Calibri" w:hAnsi="Calibri"/>
                <w:b w:val="0"/>
                <w:color w:val="1F2933"/>
                <w:sz w:val="16"/>
              </w:rPr>
              <w:t>18+</w:t>
            </w:r>
          </w:p>
        </w:tc>
        <w:tc>
          <w:tcPr>
            <w:tcW w:type="dxa" w:w="3350"/>
            <w:shd w:fill="F4F6F9"/>
            <w:vAlign w:val="center"/>
          </w:tcPr>
          <w:p>
            <w:pPr>
              <w:spacing w:after="0" w:before="0" w:line="252" w:lineRule="auto"/>
              <w:jc w:val="left"/>
            </w:pPr>
            <w:r/>
            <w:r>
              <w:rPr>
                <w:rFonts w:ascii="Calibri" w:hAnsi="Calibri"/>
                <w:b w:val="0"/>
                <w:color w:val="1F2933"/>
                <w:sz w:val="16"/>
              </w:rPr>
              <w:t>Rewards partnerships; investor lane design</w:t>
            </w:r>
          </w:p>
        </w:tc>
        <w:tc>
          <w:tcPr>
            <w:tcW w:type="dxa" w:w="3360"/>
            <w:shd w:fill="F4F6F9"/>
            <w:vAlign w:val="center"/>
          </w:tcPr>
          <w:p>
            <w:pPr>
              <w:spacing w:after="0" w:before="0" w:line="252" w:lineRule="auto"/>
              <w:jc w:val="left"/>
            </w:pPr>
            <w:r/>
            <w:r>
              <w:rPr>
                <w:rFonts w:ascii="Calibri" w:hAnsi="Calibri"/>
                <w:b w:val="0"/>
                <w:color w:val="1F2933"/>
                <w:sz w:val="16"/>
              </w:rPr>
              <w:t>Qualified pipeline, counsel, intermediary partners</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Replication</w:t>
            </w:r>
          </w:p>
        </w:tc>
        <w:tc>
          <w:tcPr>
            <w:tcW w:type="dxa" w:w="950"/>
            <w:shd w:fill="FFFFFF"/>
            <w:vAlign w:val="center"/>
          </w:tcPr>
          <w:p>
            <w:pPr>
              <w:spacing w:after="0" w:before="0" w:line="252" w:lineRule="auto"/>
              <w:jc w:val="left"/>
            </w:pPr>
            <w:r/>
            <w:r>
              <w:rPr>
                <w:rFonts w:ascii="Calibri" w:hAnsi="Calibri"/>
                <w:b w:val="0"/>
                <w:color w:val="1F2933"/>
                <w:sz w:val="16"/>
              </w:rPr>
              <w:t>After proof</w:t>
            </w:r>
          </w:p>
        </w:tc>
        <w:tc>
          <w:tcPr>
            <w:tcW w:type="dxa" w:w="3350"/>
            <w:shd w:fill="FFFFFF"/>
            <w:vAlign w:val="center"/>
          </w:tcPr>
          <w:p>
            <w:pPr>
              <w:spacing w:after="0" w:before="0" w:line="252" w:lineRule="auto"/>
              <w:jc w:val="left"/>
            </w:pPr>
            <w:r/>
            <w:r>
              <w:rPr>
                <w:rFonts w:ascii="Calibri" w:hAnsi="Calibri"/>
                <w:b w:val="0"/>
                <w:color w:val="1F2933"/>
                <w:sz w:val="16"/>
              </w:rPr>
              <w:t>Open second company-owned unit</w:t>
            </w:r>
          </w:p>
        </w:tc>
        <w:tc>
          <w:tcPr>
            <w:tcW w:type="dxa" w:w="3360"/>
            <w:shd w:fill="FFFFFF"/>
            <w:vAlign w:val="center"/>
          </w:tcPr>
          <w:p>
            <w:pPr>
              <w:spacing w:after="0" w:before="0" w:line="252" w:lineRule="auto"/>
              <w:jc w:val="left"/>
            </w:pPr>
            <w:r/>
            <w:r>
              <w:rPr>
                <w:rFonts w:ascii="Calibri" w:hAnsi="Calibri"/>
                <w:b w:val="0"/>
                <w:color w:val="1F2933"/>
                <w:sz w:val="16"/>
              </w:rPr>
              <w:t>Reproducible economics and playbook</w:t>
            </w:r>
          </w:p>
        </w:tc>
      </w:tr>
    </w:tbl>
    <w:p>
      <w:pPr>
        <w:spacing w:after="0"/>
      </w:pPr>
    </w:p>
    <w:p>
      <w:pPr>
        <w:pStyle w:val="Heading2"/>
        <w:keepNext/>
        <w:keepLines/>
      </w:pPr>
      <w:r>
        <w:t>What stays deferred</w:t>
      </w:r>
    </w:p>
    <w:p>
      <w:pPr>
        <w:pStyle w:val="ListBullet"/>
        <w:keepLines/>
        <w:jc w:val="left"/>
      </w:pPr>
      <w:r>
        <w:t>Proprietary crowdfunding infrastructure, customer fund custody, or transaction processing.</w:t>
      </w:r>
    </w:p>
    <w:p>
      <w:pPr>
        <w:pStyle w:val="ListBullet"/>
        <w:keepLines/>
        <w:jc w:val="left"/>
      </w:pPr>
      <w:r>
        <w:t>Investor marketplace economics or transaction-dependent fees.</w:t>
      </w:r>
    </w:p>
    <w:p>
      <w:pPr>
        <w:pStyle w:val="ListBullet"/>
        <w:keepLines/>
        <w:jc w:val="left"/>
      </w:pPr>
      <w:r>
        <w:t>Custom AI model training on customer ideas.</w:t>
      </w:r>
    </w:p>
    <w:p>
      <w:pPr>
        <w:pStyle w:val="ListBullet"/>
        <w:keepLines/>
        <w:jc w:val="left"/>
      </w:pPr>
      <w:r>
        <w:t>Franchise sales, area development, or a ten-store capital plan.</w:t>
      </w:r>
    </w:p>
    <w:p>
      <w:pPr>
        <w:pStyle w:val="ListBullet"/>
        <w:keepLines/>
        <w:jc w:val="left"/>
      </w:pPr>
      <w:r>
        <w:t>Permanent flagship signage or major buildout before name and site validation.</w:t>
      </w:r>
    </w:p>
    <w:p>
      <w:r>
        <w:br w:type="page"/>
      </w:r>
    </w:p>
    <w:p>
      <w:pPr>
        <w:spacing w:after="40"/>
      </w:pPr>
      <w:r>
        <w:rPr>
          <w:b/>
          <w:color w:val="238295"/>
          <w:sz w:val="17"/>
        </w:rPr>
        <w:t>MAKE THE GATES OPERATIONAL</w:t>
      </w:r>
    </w:p>
    <w:p>
      <w:pPr>
        <w:pStyle w:val="Heading1"/>
        <w:keepNext/>
        <w:keepLines/>
      </w:pPr>
      <w:r>
        <w:t>20  Management dashboard and decision rights</w:t>
      </w:r>
    </w:p>
    <w:tbl>
      <w:tblPr>
        <w:tblW w:type="dxa" w:w="9360"/>
        <w:jc w:val="left"/>
        <w:tblLayout w:type="fixed"/>
        <w:tblLook w:firstColumn="1" w:firstRow="1" w:lastColumn="0" w:lastRow="0" w:noHBand="0" w:noVBand="1" w:val="04A0"/>
        <w:tblInd w:w="0" w:type="dxa"/>
      </w:tblPr>
      <w:tblGrid>
        <w:gridCol w:w="1700"/>
        <w:gridCol w:w="2450"/>
        <w:gridCol w:w="2600"/>
        <w:gridCol w:w="2610"/>
      </w:tblGrid>
      <w:tr>
        <w:trPr>
          <w:tblHeader w:val="true"/>
          <w:cantSplit/>
        </w:trPr>
        <w:tc>
          <w:tcPr>
            <w:tcW w:type="dxa" w:w="17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Dashboard</w:t>
            </w:r>
          </w:p>
        </w:tc>
        <w:tc>
          <w:tcPr>
            <w:tcW w:type="dxa" w:w="245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Weekly</w:t>
            </w:r>
          </w:p>
        </w:tc>
        <w:tc>
          <w:tcPr>
            <w:tcW w:type="dxa" w:w="26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Monthly</w:t>
            </w:r>
          </w:p>
        </w:tc>
        <w:tc>
          <w:tcPr>
            <w:tcW w:type="dxa" w:w="261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Quarterly / gate</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Demand</w:t>
            </w:r>
          </w:p>
        </w:tc>
        <w:tc>
          <w:tcPr>
            <w:tcW w:type="dxa" w:w="2450"/>
            <w:shd w:fill="FFFFFF"/>
            <w:vAlign w:val="center"/>
          </w:tcPr>
          <w:p>
            <w:pPr>
              <w:spacing w:after="0" w:before="0" w:line="252" w:lineRule="auto"/>
              <w:jc w:val="left"/>
            </w:pPr>
            <w:r/>
            <w:r>
              <w:rPr>
                <w:rFonts w:ascii="Calibri" w:hAnsi="Calibri"/>
                <w:b w:val="0"/>
                <w:color w:val="1F2933"/>
                <w:sz w:val="16"/>
              </w:rPr>
              <w:t>Leads, bookings, conversion</w:t>
            </w:r>
          </w:p>
        </w:tc>
        <w:tc>
          <w:tcPr>
            <w:tcW w:type="dxa" w:w="2600"/>
            <w:shd w:fill="FFFFFF"/>
            <w:vAlign w:val="center"/>
          </w:tcPr>
          <w:p>
            <w:pPr>
              <w:spacing w:after="0" w:before="0" w:line="252" w:lineRule="auto"/>
              <w:jc w:val="left"/>
            </w:pPr>
            <w:r/>
            <w:r>
              <w:rPr>
                <w:rFonts w:ascii="Calibri" w:hAnsi="Calibri"/>
                <w:b w:val="0"/>
                <w:color w:val="1F2933"/>
                <w:sz w:val="16"/>
              </w:rPr>
              <w:t>CAC, payback, channel mix</w:t>
            </w:r>
          </w:p>
        </w:tc>
        <w:tc>
          <w:tcPr>
            <w:tcW w:type="dxa" w:w="2610"/>
            <w:shd w:fill="FFFFFF"/>
            <w:vAlign w:val="center"/>
          </w:tcPr>
          <w:p>
            <w:pPr>
              <w:spacing w:after="0" w:before="0" w:line="252" w:lineRule="auto"/>
              <w:jc w:val="left"/>
            </w:pPr>
            <w:r/>
            <w:r>
              <w:rPr>
                <w:rFonts w:ascii="Calibri" w:hAnsi="Calibri"/>
                <w:b w:val="0"/>
                <w:color w:val="1F2933"/>
                <w:sz w:val="16"/>
              </w:rPr>
              <w:t>Segment and market decision</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Delivery</w:t>
            </w:r>
          </w:p>
        </w:tc>
        <w:tc>
          <w:tcPr>
            <w:tcW w:type="dxa" w:w="2450"/>
            <w:shd w:fill="F4F6F9"/>
            <w:vAlign w:val="center"/>
          </w:tcPr>
          <w:p>
            <w:pPr>
              <w:spacing w:after="0" w:before="0" w:line="252" w:lineRule="auto"/>
              <w:jc w:val="left"/>
            </w:pPr>
            <w:r/>
            <w:r>
              <w:rPr>
                <w:rFonts w:ascii="Calibri" w:hAnsi="Calibri"/>
                <w:b w:val="0"/>
                <w:color w:val="1F2933"/>
                <w:sz w:val="16"/>
              </w:rPr>
              <w:t>Hours, WIP, scope exceptions</w:t>
            </w:r>
          </w:p>
        </w:tc>
        <w:tc>
          <w:tcPr>
            <w:tcW w:type="dxa" w:w="2600"/>
            <w:shd w:fill="F4F6F9"/>
            <w:vAlign w:val="center"/>
          </w:tcPr>
          <w:p>
            <w:pPr>
              <w:spacing w:after="0" w:before="0" w:line="252" w:lineRule="auto"/>
              <w:jc w:val="left"/>
            </w:pPr>
            <w:r/>
            <w:r>
              <w:rPr>
                <w:rFonts w:ascii="Calibri" w:hAnsi="Calibri"/>
                <w:b w:val="0"/>
                <w:color w:val="1F2933"/>
                <w:sz w:val="16"/>
              </w:rPr>
              <w:t>Utilization, realized rate, rework</w:t>
            </w:r>
          </w:p>
        </w:tc>
        <w:tc>
          <w:tcPr>
            <w:tcW w:type="dxa" w:w="2610"/>
            <w:shd w:fill="F4F6F9"/>
            <w:vAlign w:val="center"/>
          </w:tcPr>
          <w:p>
            <w:pPr>
              <w:spacing w:after="0" w:before="0" w:line="252" w:lineRule="auto"/>
              <w:jc w:val="left"/>
            </w:pPr>
            <w:r/>
            <w:r>
              <w:rPr>
                <w:rFonts w:ascii="Calibri" w:hAnsi="Calibri"/>
                <w:b w:val="0"/>
                <w:color w:val="1F2933"/>
                <w:sz w:val="16"/>
              </w:rPr>
              <w:t>Package/pricing reset</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Customer</w:t>
            </w:r>
          </w:p>
        </w:tc>
        <w:tc>
          <w:tcPr>
            <w:tcW w:type="dxa" w:w="2450"/>
            <w:shd w:fill="FFFFFF"/>
            <w:vAlign w:val="center"/>
          </w:tcPr>
          <w:p>
            <w:pPr>
              <w:spacing w:after="0" w:before="0" w:line="252" w:lineRule="auto"/>
              <w:jc w:val="left"/>
            </w:pPr>
            <w:r/>
            <w:r>
              <w:rPr>
                <w:rFonts w:ascii="Calibri" w:hAnsi="Calibri"/>
                <w:b w:val="0"/>
                <w:color w:val="1F2933"/>
                <w:sz w:val="16"/>
              </w:rPr>
              <w:t>Completion, issues</w:t>
            </w:r>
          </w:p>
        </w:tc>
        <w:tc>
          <w:tcPr>
            <w:tcW w:type="dxa" w:w="2600"/>
            <w:shd w:fill="FFFFFF"/>
            <w:vAlign w:val="center"/>
          </w:tcPr>
          <w:p>
            <w:pPr>
              <w:spacing w:after="0" w:before="0" w:line="252" w:lineRule="auto"/>
              <w:jc w:val="left"/>
            </w:pPr>
            <w:r/>
            <w:r>
              <w:rPr>
                <w:rFonts w:ascii="Calibri" w:hAnsi="Calibri"/>
                <w:b w:val="0"/>
                <w:color w:val="1F2933"/>
                <w:sz w:val="16"/>
              </w:rPr>
              <w:t>NPS, referrals, outcomes</w:t>
            </w:r>
          </w:p>
        </w:tc>
        <w:tc>
          <w:tcPr>
            <w:tcW w:type="dxa" w:w="2610"/>
            <w:shd w:fill="FFFFFF"/>
            <w:vAlign w:val="center"/>
          </w:tcPr>
          <w:p>
            <w:pPr>
              <w:spacing w:after="0" w:before="0" w:line="252" w:lineRule="auto"/>
              <w:jc w:val="left"/>
            </w:pPr>
            <w:r/>
            <w:r>
              <w:rPr>
                <w:rFonts w:ascii="Calibri" w:hAnsi="Calibri"/>
                <w:b w:val="0"/>
                <w:color w:val="1F2933"/>
                <w:sz w:val="16"/>
              </w:rPr>
              <w:t>Promise and quality review</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Financial</w:t>
            </w:r>
          </w:p>
        </w:tc>
        <w:tc>
          <w:tcPr>
            <w:tcW w:type="dxa" w:w="2450"/>
            <w:shd w:fill="F4F6F9"/>
            <w:vAlign w:val="center"/>
          </w:tcPr>
          <w:p>
            <w:pPr>
              <w:spacing w:after="0" w:before="0" w:line="252" w:lineRule="auto"/>
              <w:jc w:val="left"/>
            </w:pPr>
            <w:r/>
            <w:r>
              <w:rPr>
                <w:rFonts w:ascii="Calibri" w:hAnsi="Calibri"/>
                <w:b w:val="0"/>
                <w:color w:val="1F2933"/>
                <w:sz w:val="16"/>
              </w:rPr>
              <w:t>Revenue, cash, commitments</w:t>
            </w:r>
          </w:p>
        </w:tc>
        <w:tc>
          <w:tcPr>
            <w:tcW w:type="dxa" w:w="2600"/>
            <w:shd w:fill="F4F6F9"/>
            <w:vAlign w:val="center"/>
          </w:tcPr>
          <w:p>
            <w:pPr>
              <w:spacing w:after="0" w:before="0" w:line="252" w:lineRule="auto"/>
              <w:jc w:val="left"/>
            </w:pPr>
            <w:r/>
            <w:r>
              <w:rPr>
                <w:rFonts w:ascii="Calibri" w:hAnsi="Calibri"/>
                <w:b w:val="0"/>
                <w:color w:val="1F2933"/>
                <w:sz w:val="16"/>
              </w:rPr>
              <w:t>P&amp;L, forecast, runway</w:t>
            </w:r>
          </w:p>
        </w:tc>
        <w:tc>
          <w:tcPr>
            <w:tcW w:type="dxa" w:w="2610"/>
            <w:shd w:fill="F4F6F9"/>
            <w:vAlign w:val="center"/>
          </w:tcPr>
          <w:p>
            <w:pPr>
              <w:spacing w:after="0" w:before="0" w:line="252" w:lineRule="auto"/>
              <w:jc w:val="left"/>
            </w:pPr>
            <w:r/>
            <w:r>
              <w:rPr>
                <w:rFonts w:ascii="Calibri" w:hAnsi="Calibri"/>
                <w:b w:val="0"/>
                <w:color w:val="1F2933"/>
                <w:sz w:val="16"/>
              </w:rPr>
              <w:t>Capital and lease gate</w:t>
            </w:r>
          </w:p>
        </w:tc>
      </w:tr>
      <w:tr>
        <w:trPr>
          <w:cantSplit/>
        </w:trPr>
        <w:tc>
          <w:tcPr>
            <w:tcW w:type="dxa" w:w="1700"/>
            <w:shd w:fill="FFFFFF"/>
            <w:vAlign w:val="center"/>
          </w:tcPr>
          <w:p>
            <w:pPr>
              <w:spacing w:after="0" w:before="0" w:line="252" w:lineRule="auto"/>
              <w:jc w:val="left"/>
            </w:pPr>
            <w:r/>
            <w:r>
              <w:rPr>
                <w:rFonts w:ascii="Calibri" w:hAnsi="Calibri"/>
                <w:b w:val="0"/>
                <w:color w:val="1F2933"/>
                <w:sz w:val="16"/>
              </w:rPr>
              <w:t>Risk</w:t>
            </w:r>
          </w:p>
        </w:tc>
        <w:tc>
          <w:tcPr>
            <w:tcW w:type="dxa" w:w="2450"/>
            <w:shd w:fill="FFFFFF"/>
            <w:vAlign w:val="center"/>
          </w:tcPr>
          <w:p>
            <w:pPr>
              <w:spacing w:after="0" w:before="0" w:line="252" w:lineRule="auto"/>
              <w:jc w:val="left"/>
            </w:pPr>
            <w:r/>
            <w:r>
              <w:rPr>
                <w:rFonts w:ascii="Calibri" w:hAnsi="Calibri"/>
                <w:b w:val="0"/>
                <w:color w:val="1F2933"/>
                <w:sz w:val="16"/>
              </w:rPr>
              <w:t>Access/control exceptions</w:t>
            </w:r>
          </w:p>
        </w:tc>
        <w:tc>
          <w:tcPr>
            <w:tcW w:type="dxa" w:w="2600"/>
            <w:shd w:fill="FFFFFF"/>
            <w:vAlign w:val="center"/>
          </w:tcPr>
          <w:p>
            <w:pPr>
              <w:spacing w:after="0" w:before="0" w:line="252" w:lineRule="auto"/>
              <w:jc w:val="left"/>
            </w:pPr>
            <w:r/>
            <w:r>
              <w:rPr>
                <w:rFonts w:ascii="Calibri" w:hAnsi="Calibri"/>
                <w:b w:val="0"/>
                <w:color w:val="1F2933"/>
                <w:sz w:val="16"/>
              </w:rPr>
              <w:t>Incidents, deletion, claims audit</w:t>
            </w:r>
          </w:p>
        </w:tc>
        <w:tc>
          <w:tcPr>
            <w:tcW w:type="dxa" w:w="2610"/>
            <w:shd w:fill="FFFFFF"/>
            <w:vAlign w:val="center"/>
          </w:tcPr>
          <w:p>
            <w:pPr>
              <w:spacing w:after="0" w:before="0" w:line="252" w:lineRule="auto"/>
              <w:jc w:val="left"/>
            </w:pPr>
            <w:r/>
            <w:r>
              <w:rPr>
                <w:rFonts w:ascii="Calibri" w:hAnsi="Calibri"/>
                <w:b w:val="0"/>
                <w:color w:val="1F2933"/>
                <w:sz w:val="16"/>
              </w:rPr>
              <w:t>Counsel/security review</w:t>
            </w:r>
          </w:p>
        </w:tc>
      </w:tr>
      <w:tr>
        <w:trPr>
          <w:cantSplit/>
        </w:trPr>
        <w:tc>
          <w:tcPr>
            <w:tcW w:type="dxa" w:w="1700"/>
            <w:shd w:fill="F4F6F9"/>
            <w:vAlign w:val="center"/>
          </w:tcPr>
          <w:p>
            <w:pPr>
              <w:spacing w:after="0" w:before="0" w:line="252" w:lineRule="auto"/>
              <w:jc w:val="left"/>
            </w:pPr>
            <w:r/>
            <w:r>
              <w:rPr>
                <w:rFonts w:ascii="Calibri" w:hAnsi="Calibri"/>
                <w:b w:val="0"/>
                <w:color w:val="1F2933"/>
                <w:sz w:val="16"/>
              </w:rPr>
              <w:t>People</w:t>
            </w:r>
          </w:p>
        </w:tc>
        <w:tc>
          <w:tcPr>
            <w:tcW w:type="dxa" w:w="2450"/>
            <w:shd w:fill="F4F6F9"/>
            <w:vAlign w:val="center"/>
          </w:tcPr>
          <w:p>
            <w:pPr>
              <w:spacing w:after="0" w:before="0" w:line="252" w:lineRule="auto"/>
              <w:jc w:val="left"/>
            </w:pPr>
            <w:r/>
            <w:r>
              <w:rPr>
                <w:rFonts w:ascii="Calibri" w:hAnsi="Calibri"/>
                <w:b w:val="0"/>
                <w:color w:val="1F2933"/>
                <w:sz w:val="16"/>
              </w:rPr>
              <w:t>Capacity, schedule</w:t>
            </w:r>
          </w:p>
        </w:tc>
        <w:tc>
          <w:tcPr>
            <w:tcW w:type="dxa" w:w="2600"/>
            <w:shd w:fill="F4F6F9"/>
            <w:vAlign w:val="center"/>
          </w:tcPr>
          <w:p>
            <w:pPr>
              <w:spacing w:after="0" w:before="0" w:line="252" w:lineRule="auto"/>
              <w:jc w:val="left"/>
            </w:pPr>
            <w:r/>
            <w:r>
              <w:rPr>
                <w:rFonts w:ascii="Calibri" w:hAnsi="Calibri"/>
                <w:b w:val="0"/>
                <w:color w:val="1F2933"/>
                <w:sz w:val="16"/>
              </w:rPr>
              <w:t>Training, quality, retention</w:t>
            </w:r>
          </w:p>
        </w:tc>
        <w:tc>
          <w:tcPr>
            <w:tcW w:type="dxa" w:w="2610"/>
            <w:shd w:fill="F4F6F9"/>
            <w:vAlign w:val="center"/>
          </w:tcPr>
          <w:p>
            <w:pPr>
              <w:spacing w:after="0" w:before="0" w:line="252" w:lineRule="auto"/>
              <w:jc w:val="left"/>
            </w:pPr>
            <w:r/>
            <w:r>
              <w:rPr>
                <w:rFonts w:ascii="Calibri" w:hAnsi="Calibri"/>
                <w:b w:val="0"/>
                <w:color w:val="1F2933"/>
                <w:sz w:val="16"/>
              </w:rPr>
              <w:t>Staffing architecture</w:t>
            </w:r>
          </w:p>
        </w:tc>
      </w:tr>
    </w:tbl>
    <w:p>
      <w:pPr>
        <w:spacing w:after="0"/>
      </w:pPr>
    </w:p>
    <w:p>
      <w:pPr>
        <w:pStyle w:val="Heading2"/>
        <w:keepNext/>
        <w:keepLines/>
      </w:pPr>
      <w:r>
        <w:t>Decision rights</w:t>
      </w:r>
    </w:p>
    <w:p>
      <w:r>
        <w:rPr>
          <w:i w:val="0"/>
        </w:rPr>
        <w:t>The Managing Partner / IC Lead owns go/no-go decisions after written recommendations from the financial, market, operating, product, and risk workstreams. The Store GM owns normal customer and scheduling decisions within approved scope. Privacy, security, IP, and securities exceptions require a named specialist approver. No sales goal can override a stop, referral, or disclosure obligation.</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238295"/>
          </w:tcPr>
          <w:p>
            <w:pPr>
              <w:spacing w:after="0" w:before="0" w:line="252" w:lineRule="auto"/>
              <w:jc w:val="left"/>
            </w:pPr>
            <w:r/>
            <w:r>
              <w:rPr>
                <w:rFonts w:ascii="Calibri" w:hAnsi="Calibri"/>
                <w:b/>
                <w:color w:val="FFFFFF"/>
                <w:sz w:val="19"/>
              </w:rPr>
              <w:t>SINGLE SOURCE OF TRUTH</w:t>
            </w:r>
          </w:p>
        </w:tc>
      </w:tr>
      <w:tr>
        <w:trPr>
          <w:cantSplit/>
        </w:trPr>
        <w:tc>
          <w:tcPr>
            <w:tcW w:type="dxa" w:w="9360"/>
            <w:tcMar>
              <w:top w:w="80" w:type="dxa"/>
              <w:start w:w="120" w:type="dxa"/>
              <w:bottom w:w="80" w:type="dxa"/>
              <w:end w:w="120" w:type="dxa"/>
            </w:tcMar>
            <w:shd w:fill="E8F2F6"/>
          </w:tcPr>
          <w:p>
            <w:pPr>
              <w:spacing w:after="40" w:before="0" w:line="252" w:lineRule="auto"/>
              <w:jc w:val="left"/>
            </w:pPr>
            <w:r/>
            <w:r>
              <w:rPr>
                <w:rFonts w:ascii="Calibri" w:hAnsi="Calibri"/>
                <w:b w:val="0"/>
                <w:color w:val="1F2933"/>
                <w:sz w:val="20"/>
              </w:rPr>
              <w:t>The live financial workbook, evidence register, assumptions log, decision log, and current prospectus version together form the operating record. Marketing slides may summarize them but may not silently change the underlying case.</w:t>
            </w:r>
          </w:p>
        </w:tc>
      </w:tr>
    </w:tbl>
    <w:p>
      <w:pPr>
        <w:spacing w:after="0"/>
      </w:pPr>
    </w:p>
    <w:p>
      <w:r>
        <w:br w:type="page"/>
      </w:r>
    </w:p>
    <w:p>
      <w:pPr>
        <w:spacing w:after="40"/>
      </w:pPr>
      <w:r>
        <w:rPr>
          <w:b/>
          <w:color w:val="238295"/>
          <w:sz w:val="17"/>
        </w:rPr>
        <w:t>A PROSPECTUS, NOT AN OFFERING</w:t>
      </w:r>
    </w:p>
    <w:p>
      <w:pPr>
        <w:pStyle w:val="Heading1"/>
        <w:keepNext/>
        <w:keepLines/>
      </w:pPr>
      <w:r>
        <w:t>21  Capital strategy and prospective fit</w:t>
      </w:r>
    </w:p>
    <w:p>
      <w:r>
        <w:rPr>
          <w:i w:val="0"/>
        </w:rPr>
        <w:t>The venture should seek capital that matches the proof stage. The first dollars should fund experiments, secure delivery, and decision-quality data. A conventional multi-unit retail story is premature; an evidence-driven service-and-platform option is more credible.</w:t>
      </w:r>
    </w:p>
    <w:tbl>
      <w:tblPr>
        <w:tblW w:type="dxa" w:w="9360"/>
        <w:jc w:val="left"/>
        <w:tblLayout w:type="fixed"/>
        <w:tblLook w:firstColumn="1" w:firstRow="1" w:lastColumn="0" w:lastRow="0" w:noHBand="0" w:noVBand="1" w:val="04A0"/>
        <w:tblInd w:w="0" w:type="dxa"/>
      </w:tblPr>
      <w:tblGrid>
        <w:gridCol w:w="1800"/>
        <w:gridCol w:w="1900"/>
        <w:gridCol w:w="3100"/>
        <w:gridCol w:w="2560"/>
      </w:tblGrid>
      <w:tr>
        <w:trPr>
          <w:tblHeader w:val="true"/>
          <w:cantSplit/>
        </w:trPr>
        <w:tc>
          <w:tcPr>
            <w:tcW w:type="dxa" w:w="18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Capital stage</w:t>
            </w:r>
          </w:p>
        </w:tc>
        <w:tc>
          <w:tcPr>
            <w:tcW w:type="dxa" w:w="19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Indicative need</w:t>
            </w:r>
          </w:p>
        </w:tc>
        <w:tc>
          <w:tcPr>
            <w:tcW w:type="dxa" w:w="310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Appropriate use</w:t>
            </w:r>
          </w:p>
        </w:tc>
        <w:tc>
          <w:tcPr>
            <w:tcW w:type="dxa" w:w="2560"/>
            <w:tcMar>
              <w:top w:w="80" w:type="dxa"/>
              <w:start w:w="120" w:type="dxa"/>
              <w:bottom w:w="80" w:type="dxa"/>
              <w:end w:w="120" w:type="dxa"/>
            </w:tcMar>
            <w:shd w:fill="238295"/>
          </w:tcPr>
          <w:p>
            <w:pPr>
              <w:spacing w:after="0" w:before="0" w:line="252" w:lineRule="auto"/>
              <w:jc w:val="left"/>
            </w:pPr>
            <w:r/>
            <w:r>
              <w:rPr>
                <w:rFonts w:ascii="Calibri" w:hAnsi="Calibri"/>
                <w:b/>
                <w:color w:val="FFFFFF"/>
                <w:sz w:val="16"/>
              </w:rPr>
              <w:t>Potential fit</w:t>
            </w:r>
          </w:p>
        </w:tc>
      </w:tr>
      <w:tr>
        <w:trPr>
          <w:cantSplit/>
        </w:trPr>
        <w:tc>
          <w:tcPr>
            <w:tcW w:type="dxa" w:w="1800"/>
            <w:shd w:fill="FFFFFF"/>
            <w:vAlign w:val="center"/>
          </w:tcPr>
          <w:p>
            <w:pPr>
              <w:spacing w:after="0" w:before="0" w:line="252" w:lineRule="auto"/>
              <w:jc w:val="left"/>
            </w:pPr>
            <w:r/>
            <w:r>
              <w:rPr>
                <w:rFonts w:ascii="Calibri" w:hAnsi="Calibri"/>
                <w:b w:val="0"/>
                <w:color w:val="1F2933"/>
                <w:sz w:val="16"/>
              </w:rPr>
              <w:t>Validation</w:t>
            </w:r>
          </w:p>
        </w:tc>
        <w:tc>
          <w:tcPr>
            <w:tcW w:type="dxa" w:w="1900"/>
            <w:shd w:fill="FFFFFF"/>
            <w:vAlign w:val="center"/>
          </w:tcPr>
          <w:p>
            <w:pPr>
              <w:spacing w:after="0" w:before="0" w:line="252" w:lineRule="auto"/>
              <w:jc w:val="left"/>
            </w:pPr>
            <w:r/>
            <w:r>
              <w:rPr>
                <w:rFonts w:ascii="Calibri" w:hAnsi="Calibri"/>
                <w:b w:val="0"/>
                <w:color w:val="1F2933"/>
                <w:sz w:val="16"/>
              </w:rPr>
              <w:t>$150K–$250K</w:t>
            </w:r>
          </w:p>
        </w:tc>
        <w:tc>
          <w:tcPr>
            <w:tcW w:type="dxa" w:w="3100"/>
            <w:shd w:fill="FFFFFF"/>
            <w:vAlign w:val="center"/>
          </w:tcPr>
          <w:p>
            <w:pPr>
              <w:spacing w:after="0" w:before="0" w:line="252" w:lineRule="auto"/>
              <w:jc w:val="left"/>
            </w:pPr>
            <w:r/>
            <w:r>
              <w:rPr>
                <w:rFonts w:ascii="Calibri" w:hAnsi="Calibri"/>
                <w:b w:val="0"/>
                <w:color w:val="1F2933"/>
                <w:sz w:val="16"/>
              </w:rPr>
              <w:t>Discovery, paid cases, pop-up, legal/security, prototype brand</w:t>
            </w:r>
          </w:p>
        </w:tc>
        <w:tc>
          <w:tcPr>
            <w:tcW w:type="dxa" w:w="2560"/>
            <w:shd w:fill="FFFFFF"/>
            <w:vAlign w:val="center"/>
          </w:tcPr>
          <w:p>
            <w:pPr>
              <w:spacing w:after="0" w:before="0" w:line="252" w:lineRule="auto"/>
              <w:jc w:val="left"/>
            </w:pPr>
            <w:r/>
            <w:r>
              <w:rPr>
                <w:rFonts w:ascii="Calibri" w:hAnsi="Calibri"/>
                <w:b w:val="0"/>
                <w:color w:val="1F2933"/>
                <w:sz w:val="16"/>
              </w:rPr>
              <w:t>Founder capital, aligned angels, grants/sponsors, revenue</w:t>
            </w:r>
          </w:p>
        </w:tc>
      </w:tr>
      <w:tr>
        <w:trPr>
          <w:cantSplit/>
        </w:trPr>
        <w:tc>
          <w:tcPr>
            <w:tcW w:type="dxa" w:w="1800"/>
            <w:shd w:fill="F4F6F9"/>
            <w:vAlign w:val="center"/>
          </w:tcPr>
          <w:p>
            <w:pPr>
              <w:spacing w:after="0" w:before="0" w:line="252" w:lineRule="auto"/>
              <w:jc w:val="left"/>
            </w:pPr>
            <w:r/>
            <w:r>
              <w:rPr>
                <w:rFonts w:ascii="Calibri" w:hAnsi="Calibri"/>
                <w:b w:val="0"/>
                <w:color w:val="1F2933"/>
                <w:sz w:val="16"/>
              </w:rPr>
              <w:t>Flagship</w:t>
            </w:r>
          </w:p>
        </w:tc>
        <w:tc>
          <w:tcPr>
            <w:tcW w:type="dxa" w:w="1900"/>
            <w:shd w:fill="F4F6F9"/>
            <w:vAlign w:val="center"/>
          </w:tcPr>
          <w:p>
            <w:pPr>
              <w:spacing w:after="0" w:before="0" w:line="252" w:lineRule="auto"/>
              <w:jc w:val="left"/>
            </w:pPr>
            <w:r/>
            <w:r>
              <w:rPr>
                <w:rFonts w:ascii="Calibri" w:hAnsi="Calibri"/>
                <w:b w:val="0"/>
                <w:color w:val="1F2933"/>
                <w:sz w:val="16"/>
              </w:rPr>
              <w:t>~$2.65M base modeled need</w:t>
            </w:r>
          </w:p>
        </w:tc>
        <w:tc>
          <w:tcPr>
            <w:tcW w:type="dxa" w:w="3100"/>
            <w:shd w:fill="F4F6F9"/>
            <w:vAlign w:val="center"/>
          </w:tcPr>
          <w:p>
            <w:pPr>
              <w:spacing w:after="0" w:before="0" w:line="252" w:lineRule="auto"/>
              <w:jc w:val="left"/>
            </w:pPr>
            <w:r/>
            <w:r>
              <w:rPr>
                <w:rFonts w:ascii="Calibri" w:hAnsi="Calibri"/>
                <w:b w:val="0"/>
                <w:color w:val="1F2933"/>
                <w:sz w:val="16"/>
              </w:rPr>
              <w:t>Opening uses, operating ramp, cash buffer</w:t>
            </w:r>
          </w:p>
        </w:tc>
        <w:tc>
          <w:tcPr>
            <w:tcW w:type="dxa" w:w="2560"/>
            <w:shd w:fill="F4F6F9"/>
            <w:vAlign w:val="center"/>
          </w:tcPr>
          <w:p>
            <w:pPr>
              <w:spacing w:after="0" w:before="0" w:line="252" w:lineRule="auto"/>
              <w:jc w:val="left"/>
            </w:pPr>
            <w:r/>
            <w:r>
              <w:rPr>
                <w:rFonts w:ascii="Calibri" w:hAnsi="Calibri"/>
                <w:b w:val="0"/>
                <w:color w:val="1F2933"/>
                <w:sz w:val="16"/>
              </w:rPr>
              <w:t>Patient equity, strategic partners; structure after advice</w:t>
            </w:r>
          </w:p>
        </w:tc>
      </w:tr>
      <w:tr>
        <w:trPr>
          <w:cantSplit/>
        </w:trPr>
        <w:tc>
          <w:tcPr>
            <w:tcW w:type="dxa" w:w="1800"/>
            <w:shd w:fill="FFFFFF"/>
            <w:vAlign w:val="center"/>
          </w:tcPr>
          <w:p>
            <w:pPr>
              <w:spacing w:after="0" w:before="0" w:line="252" w:lineRule="auto"/>
              <w:jc w:val="left"/>
            </w:pPr>
            <w:r/>
            <w:r>
              <w:rPr>
                <w:rFonts w:ascii="Calibri" w:hAnsi="Calibri"/>
                <w:b w:val="0"/>
                <w:color w:val="1F2933"/>
                <w:sz w:val="16"/>
              </w:rPr>
              <w:t>Platform / replication</w:t>
            </w:r>
          </w:p>
        </w:tc>
        <w:tc>
          <w:tcPr>
            <w:tcW w:type="dxa" w:w="1900"/>
            <w:shd w:fill="FFFFFF"/>
            <w:vAlign w:val="center"/>
          </w:tcPr>
          <w:p>
            <w:pPr>
              <w:spacing w:after="0" w:before="0" w:line="252" w:lineRule="auto"/>
              <w:jc w:val="left"/>
            </w:pPr>
            <w:r/>
            <w:r>
              <w:rPr>
                <w:rFonts w:ascii="Calibri" w:hAnsi="Calibri"/>
                <w:b w:val="0"/>
                <w:color w:val="1F2933"/>
                <w:sz w:val="16"/>
              </w:rPr>
              <w:t>Not yet estimable</w:t>
            </w:r>
          </w:p>
        </w:tc>
        <w:tc>
          <w:tcPr>
            <w:tcW w:type="dxa" w:w="3100"/>
            <w:shd w:fill="FFFFFF"/>
            <w:vAlign w:val="center"/>
          </w:tcPr>
          <w:p>
            <w:pPr>
              <w:spacing w:after="0" w:before="0" w:line="252" w:lineRule="auto"/>
              <w:jc w:val="left"/>
            </w:pPr>
            <w:r/>
            <w:r>
              <w:rPr>
                <w:rFonts w:ascii="Calibri" w:hAnsi="Calibri"/>
                <w:b w:val="0"/>
                <w:color w:val="1F2933"/>
                <w:sz w:val="16"/>
              </w:rPr>
              <w:t>Technology, central team, second unit</w:t>
            </w:r>
          </w:p>
        </w:tc>
        <w:tc>
          <w:tcPr>
            <w:tcW w:type="dxa" w:w="2560"/>
            <w:shd w:fill="FFFFFF"/>
            <w:vAlign w:val="center"/>
          </w:tcPr>
          <w:p>
            <w:pPr>
              <w:spacing w:after="0" w:before="0" w:line="252" w:lineRule="auto"/>
              <w:jc w:val="left"/>
            </w:pPr>
            <w:r/>
            <w:r>
              <w:rPr>
                <w:rFonts w:ascii="Calibri" w:hAnsi="Calibri"/>
                <w:b w:val="0"/>
                <w:color w:val="1F2933"/>
                <w:sz w:val="16"/>
              </w:rPr>
              <w:t>Only after four-wall and compliance proof</w:t>
            </w:r>
          </w:p>
        </w:tc>
      </w:tr>
    </w:tbl>
    <w:p>
      <w:pPr>
        <w:spacing w:after="0"/>
      </w:pPr>
    </w:p>
    <w:p>
      <w:pPr>
        <w:pStyle w:val="Heading2"/>
        <w:keepNext/>
        <w:keepLines/>
      </w:pPr>
      <w:r>
        <w:t>Prospective partner profile</w:t>
      </w:r>
    </w:p>
    <w:p>
      <w:pPr>
        <w:pStyle w:val="ListBullet"/>
        <w:keepLines/>
        <w:jc w:val="left"/>
      </w:pPr>
      <w:r>
        <w:t>Values customer outcomes and controlled experimentation over vanity store count.</w:t>
      </w:r>
    </w:p>
    <w:p>
      <w:pPr>
        <w:pStyle w:val="ListBullet"/>
        <w:keepLines/>
        <w:jc w:val="left"/>
      </w:pPr>
      <w:r>
        <w:t>Can contribute founder distribution, community partnerships, professional-service operations, retail service design, or regulated-platform experience.</w:t>
      </w:r>
    </w:p>
    <w:p>
      <w:pPr>
        <w:pStyle w:val="ListBullet"/>
        <w:keepLines/>
        <w:jc w:val="left"/>
      </w:pPr>
      <w:r>
        <w:t>Accepts that a kill, pivot, or low-capital format may be the correct result of validation.</w:t>
      </w:r>
    </w:p>
    <w:p>
      <w:pPr>
        <w:pStyle w:val="ListBullet"/>
        <w:keepLines/>
        <w:jc w:val="left"/>
      </w:pPr>
      <w:r>
        <w:t>Does not require securities activity, franchise sales, or unproven revenue to support the initial thesis.</w:t>
      </w:r>
    </w:p>
    <w:p>
      <w:r>
        <w:rPr>
          <w:i w:val="0"/>
        </w:rPr>
        <w:t>Any actual financing process requires a separate capital plan, entity and tax analysis, investor materials, risk disclosures, governance terms, and counsel-reviewed offering pathway. The financial model’s “required financing” line is a cash-need calculation, not a proposed security.</w:t>
      </w:r>
    </w:p>
    <w:p>
      <w:r>
        <w:br w:type="page"/>
      </w:r>
    </w:p>
    <w:p>
      <w:pPr>
        <w:spacing w:after="40"/>
      </w:pPr>
      <w:r>
        <w:rPr>
          <w:b/>
          <w:color w:val="238295"/>
          <w:sz w:val="17"/>
        </w:rPr>
        <w:t>PRESERVE THE AMBITION BY SEQUENCING IT</w:t>
      </w:r>
    </w:p>
    <w:p>
      <w:pPr>
        <w:pStyle w:val="Heading1"/>
        <w:keepNext/>
        <w:keepLines/>
      </w:pPr>
      <w:r>
        <w:t>22  Conclusion</w:t>
      </w:r>
    </w:p>
    <w:p>
      <w:r>
        <w:rPr>
          <w:i w:val="0"/>
        </w:rPr>
        <w:t>Lame Brain Ideas is feasible as a paid idea-development studio. Its storefront warmth, named guides, visible workflow, and tangible exits can make professional innovation support accessible to customers who will not enter an accelerator or hire a traditional consultancy. Existing AI tools make the service faster, but they also make undifferentiated advice easier to substitute. The company must therefore earn trust through facilitation, evidence, privacy, judgment, and outputs.</w:t>
      </w:r>
    </w:p>
    <w:p>
      <w:r>
        <w:rPr>
          <w:i w:val="0"/>
        </w:rPr>
        <w:t>It is not yet feasible as a capital-heavy flagship network or vertically integrated funding platform. The base financial model reaches only $75K of Year 5 EBITDA on $2.01M of revenue after requiring approximately $2.65M in external funding. The downside is severe, and the illustrative ten-store rollout compounds losses. Those facts are not reasons to abandon the idea; they are reasons to run the right experiment.</w:t>
      </w:r>
    </w:p>
    <w:tbl>
      <w:tblPr>
        <w:tblW w:type="dxa" w:w="9360"/>
        <w:jc w:val="left"/>
        <w:tblLayout w:type="fixed"/>
        <w:tblLook w:firstColumn="1" w:firstRow="1" w:lastColumn="0" w:lastRow="0" w:noHBand="0" w:noVBand="1" w:val="04A0"/>
        <w:tblInd w:w="0" w:type="dxa"/>
      </w:tblPr>
      <w:tblGrid>
        <w:gridCol w:w="9360"/>
      </w:tblGrid>
      <w:tr>
        <w:trPr>
          <w:cantSplit/>
        </w:trPr>
        <w:tc>
          <w:tcPr>
            <w:tcW w:type="dxa" w:w="9360"/>
            <w:tcMar>
              <w:top w:w="80" w:type="dxa"/>
              <w:start w:w="120" w:type="dxa"/>
              <w:bottom w:w="80" w:type="dxa"/>
              <w:end w:w="120" w:type="dxa"/>
            </w:tcMar>
            <w:shd w:fill="1F8B4C"/>
          </w:tcPr>
          <w:p>
            <w:pPr>
              <w:spacing w:after="0" w:before="0" w:line="252" w:lineRule="auto"/>
              <w:jc w:val="left"/>
            </w:pPr>
            <w:r/>
            <w:r>
              <w:rPr>
                <w:rFonts w:ascii="Calibri" w:hAnsi="Calibri"/>
                <w:b/>
                <w:color w:val="FFFFFF"/>
                <w:sz w:val="19"/>
              </w:rPr>
              <w:t>FINAL RECOMMENDATION</w:t>
            </w:r>
          </w:p>
        </w:tc>
      </w:tr>
      <w:tr>
        <w:trPr>
          <w:cantSplit/>
        </w:trPr>
        <w:tc>
          <w:tcPr>
            <w:tcW w:type="dxa" w:w="9360"/>
            <w:tcMar>
              <w:top w:w="80" w:type="dxa"/>
              <w:start w:w="120" w:type="dxa"/>
              <w:bottom w:w="80" w:type="dxa"/>
              <w:end w:w="120" w:type="dxa"/>
            </w:tcMar>
            <w:shd w:fill="E7F4EA"/>
          </w:tcPr>
          <w:p>
            <w:pPr>
              <w:spacing w:after="40" w:before="0" w:line="252" w:lineRule="auto"/>
              <w:jc w:val="left"/>
            </w:pPr>
            <w:r/>
            <w:r>
              <w:rPr>
                <w:rFonts w:ascii="Calibri" w:hAnsi="Calibri"/>
                <w:b w:val="0"/>
                <w:color w:val="1F2933"/>
                <w:sz w:val="20"/>
              </w:rPr>
              <w:t>Authorize a lean, paid, secure 90-day validation program with a capped budget and hard gates. Update the model with actuals. Proceed to a pop-up, then a flagship, only when the economics and controls—not enthusiasm—justify the next obligation.</w:t>
            </w:r>
          </w:p>
        </w:tc>
      </w:tr>
    </w:tbl>
    <w:p>
      <w:pPr>
        <w:spacing w:after="0"/>
      </w:pPr>
    </w:p>
    <w:p>
      <w:pPr>
        <w:pStyle w:val="Heading2"/>
        <w:keepNext/>
        <w:keepLines/>
      </w:pPr>
      <w:r>
        <w:t>Immediate owner actions</w:t>
      </w:r>
    </w:p>
    <w:p>
      <w:pPr>
        <w:keepLines/>
        <w:numPr>
          <w:ilvl w:val="0"/>
          <w:numId w:val="12"/>
        </w:numPr>
        <w:spacing w:after="80" w:line="290" w:lineRule="auto"/>
        <w:jc w:val="left"/>
      </w:pPr>
      <w:r>
        <w:t>Approve or revise the customer promise, beachhead segment, four working packages, and no-guarantee funding boundary.</w:t>
      </w:r>
    </w:p>
    <w:p>
      <w:pPr>
        <w:keepLines/>
        <w:numPr>
          <w:ilvl w:val="0"/>
          <w:numId w:val="12"/>
        </w:numPr>
        <w:spacing w:after="80" w:line="290" w:lineRule="auto"/>
        <w:jc w:val="left"/>
      </w:pPr>
      <w:r>
        <w:t>Commission the legal/privacy issue list and brand/trademark screening before public intake.</w:t>
      </w:r>
    </w:p>
    <w:p>
      <w:pPr>
        <w:keepLines/>
        <w:numPr>
          <w:ilvl w:val="0"/>
          <w:numId w:val="12"/>
        </w:numPr>
        <w:spacing w:after="80" w:line="290" w:lineRule="auto"/>
        <w:jc w:val="left"/>
      </w:pPr>
      <w:r>
        <w:t>Recruit 12 paid concierge customers and three partner hosts; track time, evidence, conversion, quality, and outcomes.</w:t>
      </w:r>
    </w:p>
    <w:p>
      <w:pPr>
        <w:keepLines/>
        <w:numPr>
          <w:ilvl w:val="0"/>
          <w:numId w:val="12"/>
        </w:numPr>
        <w:spacing w:after="80" w:line="290" w:lineRule="auto"/>
        <w:jc w:val="left"/>
      </w:pPr>
      <w:r>
        <w:t>Replace rent, buildout, insurance, wage, software, and specialist assumptions with local quotes.</w:t>
      </w:r>
    </w:p>
    <w:p>
      <w:pPr>
        <w:keepLines/>
        <w:numPr>
          <w:ilvl w:val="0"/>
          <w:numId w:val="12"/>
        </w:numPr>
        <w:spacing w:after="80" w:line="290" w:lineRule="auto"/>
        <w:jc w:val="left"/>
      </w:pPr>
      <w:r>
        <w:t>Reconvene the investment committee at Day 90 with the updated workbook and a go/pivot/stop memorandum.</w:t>
      </w:r>
    </w:p>
    <w:p>
      <w:r>
        <w:br w:type="page"/>
      </w:r>
    </w:p>
    <w:p>
      <w:pPr>
        <w:spacing w:after="40"/>
      </w:pPr>
      <w:r>
        <w:rPr>
          <w:b/>
          <w:color w:val="238295"/>
          <w:sz w:val="17"/>
        </w:rPr>
        <w:t>MODEL MECHANICS</w:t>
      </w:r>
    </w:p>
    <w:p>
      <w:pPr>
        <w:pStyle w:val="Heading1"/>
        <w:keepNext/>
        <w:keepLines/>
      </w:pPr>
      <w:r>
        <w:t>A  Financial appendix</w:t>
      </w:r>
    </w:p>
    <w:p>
      <w:pPr>
        <w:pStyle w:val="Heading2"/>
        <w:keepNext/>
        <w:keepLines/>
      </w:pPr>
      <w:r>
        <w:t>Revenue logic</w:t>
      </w:r>
    </w:p>
    <w:p>
      <w:r>
        <w:rPr>
          <w:i w:val="0"/>
        </w:rPr>
        <w:t>Paid delivery hours = delivery FTE × available client hours per FTE × paid utilization. Package engagements = paid delivery hours × package hours mix ÷ delivery hours per engagement. Service revenue = engagements × price. Membership, events, lab add-ons, rewards fees, and investor memberships are modeled separately; rewards and investor revenue remain explicitly gated.</w:t>
      </w:r>
    </w:p>
    <w:p>
      <w:pPr>
        <w:pStyle w:val="Heading2"/>
        <w:keepNext/>
        <w:keepLines/>
      </w:pPr>
      <w:r>
        <w:t>Cash logic</w:t>
      </w:r>
    </w:p>
    <w:p>
      <w:r>
        <w:rPr>
          <w:i w:val="0"/>
        </w:rPr>
        <w:t>Unlevered cash flow = EBITDA – cash taxes – change in net working capital – maintenance capital – opening uses. Required financing equals the most negative cumulative cash position plus the minimum cash buffer. The model assumes financing arrives pre-open and does not model debt interest, financing fees, valuation, ownership dilution, or investor returns.</w:t>
      </w:r>
    </w:p>
    <w:p>
      <w:pPr>
        <w:pStyle w:val="Heading2"/>
        <w:keepNext/>
        <w:keepLines/>
      </w:pPr>
      <w:r>
        <w:t>Scenario logic</w:t>
      </w:r>
    </w:p>
    <w:tbl>
      <w:tblPr>
        <w:tblW w:type="dxa" w:w="9360"/>
        <w:jc w:val="left"/>
        <w:tblLayout w:type="fixed"/>
        <w:tblLook w:firstColumn="1" w:firstRow="1" w:lastColumn="0" w:lastRow="0" w:noHBand="0" w:noVBand="1" w:val="04A0"/>
        <w:tblInd w:w="0" w:type="dxa"/>
      </w:tblPr>
      <w:tblGrid>
        <w:gridCol w:w="3600"/>
        <w:gridCol w:w="1920"/>
        <w:gridCol w:w="1920"/>
        <w:gridCol w:w="1920"/>
      </w:tblGrid>
      <w:tr>
        <w:trPr>
          <w:tblHeader w:val="true"/>
          <w:cantSplit/>
        </w:trPr>
        <w:tc>
          <w:tcPr>
            <w:tcW w:type="dxa" w:w="3600"/>
            <w:tcMar>
              <w:top w:w="80" w:type="dxa"/>
              <w:start w:w="120" w:type="dxa"/>
              <w:bottom w:w="80" w:type="dxa"/>
              <w:end w:w="120" w:type="dxa"/>
            </w:tcMar>
            <w:shd w:fill="238295"/>
          </w:tcPr>
          <w:p>
            <w:pPr>
              <w:spacing w:after="0" w:before="0" w:line="252" w:lineRule="auto"/>
              <w:jc w:val="left"/>
            </w:pPr>
            <w:r/>
            <w:r>
              <w:rPr>
                <w:rFonts w:ascii="Calibri" w:hAnsi="Calibri"/>
                <w:b/>
                <w:color w:val="FFFFFF"/>
                <w:sz w:val="17"/>
              </w:rPr>
              <w:t>Driver</w:t>
            </w:r>
          </w:p>
        </w:tc>
        <w:tc>
          <w:tcPr>
            <w:tcW w:type="dxa" w:w="1920"/>
            <w:tcMar>
              <w:top w:w="80" w:type="dxa"/>
              <w:start w:w="120" w:type="dxa"/>
              <w:bottom w:w="80" w:type="dxa"/>
              <w:end w:w="120" w:type="dxa"/>
            </w:tcMar>
            <w:shd w:fill="238295"/>
          </w:tcPr>
          <w:p>
            <w:pPr>
              <w:spacing w:after="0" w:before="0" w:line="252" w:lineRule="auto"/>
              <w:jc w:val="center"/>
            </w:pPr>
            <w:r/>
            <w:r>
              <w:rPr>
                <w:rFonts w:ascii="Calibri" w:hAnsi="Calibri"/>
                <w:b/>
                <w:color w:val="FFFFFF"/>
                <w:sz w:val="17"/>
              </w:rPr>
              <w:t>Downside</w:t>
            </w:r>
          </w:p>
        </w:tc>
        <w:tc>
          <w:tcPr>
            <w:tcW w:type="dxa" w:w="1920"/>
            <w:tcMar>
              <w:top w:w="80" w:type="dxa"/>
              <w:start w:w="120" w:type="dxa"/>
              <w:bottom w:w="80" w:type="dxa"/>
              <w:end w:w="120" w:type="dxa"/>
            </w:tcMar>
            <w:shd w:fill="238295"/>
          </w:tcPr>
          <w:p>
            <w:pPr>
              <w:spacing w:after="0" w:before="0" w:line="252" w:lineRule="auto"/>
              <w:jc w:val="center"/>
            </w:pPr>
            <w:r/>
            <w:r>
              <w:rPr>
                <w:rFonts w:ascii="Calibri" w:hAnsi="Calibri"/>
                <w:b/>
                <w:color w:val="FFFFFF"/>
                <w:sz w:val="17"/>
              </w:rPr>
              <w:t>Base</w:t>
            </w:r>
          </w:p>
        </w:tc>
        <w:tc>
          <w:tcPr>
            <w:tcW w:type="dxa" w:w="1920"/>
            <w:tcMar>
              <w:top w:w="80" w:type="dxa"/>
              <w:start w:w="120" w:type="dxa"/>
              <w:bottom w:w="80" w:type="dxa"/>
              <w:end w:w="120" w:type="dxa"/>
            </w:tcMar>
            <w:shd w:fill="238295"/>
          </w:tcPr>
          <w:p>
            <w:pPr>
              <w:spacing w:after="0" w:before="0" w:line="252" w:lineRule="auto"/>
              <w:jc w:val="center"/>
            </w:pPr>
            <w:r/>
            <w:r>
              <w:rPr>
                <w:rFonts w:ascii="Calibri" w:hAnsi="Calibri"/>
                <w:b/>
                <w:color w:val="FFFFFF"/>
                <w:sz w:val="17"/>
              </w:rPr>
              <w:t>Upside</w:t>
            </w:r>
          </w:p>
        </w:tc>
      </w:tr>
      <w:tr>
        <w:trPr>
          <w:cantSplit/>
        </w:trPr>
        <w:tc>
          <w:tcPr>
            <w:tcW w:type="dxa" w:w="3600"/>
            <w:shd w:fill="FFFFFF"/>
            <w:vAlign w:val="center"/>
          </w:tcPr>
          <w:p>
            <w:pPr>
              <w:spacing w:after="0" w:before="0" w:line="252" w:lineRule="auto"/>
              <w:jc w:val="left"/>
            </w:pPr>
            <w:r/>
            <w:r>
              <w:rPr>
                <w:rFonts w:ascii="Calibri" w:hAnsi="Calibri"/>
                <w:b w:val="0"/>
                <w:color w:val="1F2933"/>
                <w:sz w:val="17"/>
              </w:rPr>
              <w:t>Utilization factor</w:t>
            </w:r>
          </w:p>
        </w:tc>
        <w:tc>
          <w:tcPr>
            <w:tcW w:type="dxa" w:w="1920"/>
            <w:shd w:fill="FFFFFF"/>
            <w:vAlign w:val="center"/>
          </w:tcPr>
          <w:p>
            <w:pPr>
              <w:spacing w:after="0" w:before="0" w:line="252" w:lineRule="auto"/>
              <w:jc w:val="center"/>
            </w:pPr>
            <w:r/>
            <w:r>
              <w:rPr>
                <w:rFonts w:ascii="Calibri" w:hAnsi="Calibri"/>
                <w:b w:val="0"/>
                <w:color w:val="1F2933"/>
                <w:sz w:val="17"/>
              </w:rPr>
              <w:t>0.8×</w:t>
            </w:r>
          </w:p>
        </w:tc>
        <w:tc>
          <w:tcPr>
            <w:tcW w:type="dxa" w:w="1920"/>
            <w:shd w:fill="FFFFFF"/>
            <w:vAlign w:val="center"/>
          </w:tcPr>
          <w:p>
            <w:pPr>
              <w:spacing w:after="0" w:before="0" w:line="252" w:lineRule="auto"/>
              <w:jc w:val="center"/>
            </w:pPr>
            <w:r/>
            <w:r>
              <w:rPr>
                <w:rFonts w:ascii="Calibri" w:hAnsi="Calibri"/>
                <w:b w:val="0"/>
                <w:color w:val="1F2933"/>
                <w:sz w:val="17"/>
              </w:rPr>
              <w:t>1.0×</w:t>
            </w:r>
          </w:p>
        </w:tc>
        <w:tc>
          <w:tcPr>
            <w:tcW w:type="dxa" w:w="1920"/>
            <w:shd w:fill="FFFFFF"/>
            <w:vAlign w:val="center"/>
          </w:tcPr>
          <w:p>
            <w:pPr>
              <w:spacing w:after="0" w:before="0" w:line="252" w:lineRule="auto"/>
              <w:jc w:val="center"/>
            </w:pPr>
            <w:r/>
            <w:r>
              <w:rPr>
                <w:rFonts w:ascii="Calibri" w:hAnsi="Calibri"/>
                <w:b w:val="0"/>
                <w:color w:val="1F2933"/>
                <w:sz w:val="17"/>
              </w:rPr>
              <w:t>1.2×</w:t>
            </w:r>
          </w:p>
        </w:tc>
      </w:tr>
      <w:tr>
        <w:trPr>
          <w:cantSplit/>
        </w:trPr>
        <w:tc>
          <w:tcPr>
            <w:tcW w:type="dxa" w:w="3600"/>
            <w:shd w:fill="F4F6F9"/>
            <w:vAlign w:val="center"/>
          </w:tcPr>
          <w:p>
            <w:pPr>
              <w:spacing w:after="0" w:before="0" w:line="252" w:lineRule="auto"/>
              <w:jc w:val="left"/>
            </w:pPr>
            <w:r/>
            <w:r>
              <w:rPr>
                <w:rFonts w:ascii="Calibri" w:hAnsi="Calibri"/>
                <w:b w:val="0"/>
                <w:color w:val="1F2933"/>
                <w:sz w:val="17"/>
              </w:rPr>
              <w:t>Price factor</w:t>
            </w:r>
          </w:p>
        </w:tc>
        <w:tc>
          <w:tcPr>
            <w:tcW w:type="dxa" w:w="1920"/>
            <w:shd w:fill="F4F6F9"/>
            <w:vAlign w:val="center"/>
          </w:tcPr>
          <w:p>
            <w:pPr>
              <w:spacing w:after="0" w:before="0" w:line="252" w:lineRule="auto"/>
              <w:jc w:val="center"/>
            </w:pPr>
            <w:r/>
            <w:r>
              <w:rPr>
                <w:rFonts w:ascii="Calibri" w:hAnsi="Calibri"/>
                <w:b w:val="0"/>
                <w:color w:val="1F2933"/>
                <w:sz w:val="17"/>
              </w:rPr>
              <w:t>0.9×</w:t>
            </w:r>
          </w:p>
        </w:tc>
        <w:tc>
          <w:tcPr>
            <w:tcW w:type="dxa" w:w="1920"/>
            <w:shd w:fill="F4F6F9"/>
            <w:vAlign w:val="center"/>
          </w:tcPr>
          <w:p>
            <w:pPr>
              <w:spacing w:after="0" w:before="0" w:line="252" w:lineRule="auto"/>
              <w:jc w:val="center"/>
            </w:pPr>
            <w:r/>
            <w:r>
              <w:rPr>
                <w:rFonts w:ascii="Calibri" w:hAnsi="Calibri"/>
                <w:b w:val="0"/>
                <w:color w:val="1F2933"/>
                <w:sz w:val="17"/>
              </w:rPr>
              <w:t>1.0×</w:t>
            </w:r>
          </w:p>
        </w:tc>
        <w:tc>
          <w:tcPr>
            <w:tcW w:type="dxa" w:w="1920"/>
            <w:shd w:fill="F4F6F9"/>
            <w:vAlign w:val="center"/>
          </w:tcPr>
          <w:p>
            <w:pPr>
              <w:spacing w:after="0" w:before="0" w:line="252" w:lineRule="auto"/>
              <w:jc w:val="center"/>
            </w:pPr>
            <w:r/>
            <w:r>
              <w:rPr>
                <w:rFonts w:ascii="Calibri" w:hAnsi="Calibri"/>
                <w:b w:val="0"/>
                <w:color w:val="1F2933"/>
                <w:sz w:val="17"/>
              </w:rPr>
              <w:t>1.1×</w:t>
            </w:r>
          </w:p>
        </w:tc>
      </w:tr>
      <w:tr>
        <w:trPr>
          <w:cantSplit/>
        </w:trPr>
        <w:tc>
          <w:tcPr>
            <w:tcW w:type="dxa" w:w="3600"/>
            <w:shd w:fill="FFFFFF"/>
            <w:vAlign w:val="center"/>
          </w:tcPr>
          <w:p>
            <w:pPr>
              <w:spacing w:after="0" w:before="0" w:line="252" w:lineRule="auto"/>
              <w:jc w:val="left"/>
            </w:pPr>
            <w:r/>
            <w:r>
              <w:rPr>
                <w:rFonts w:ascii="Calibri" w:hAnsi="Calibri"/>
                <w:b w:val="0"/>
                <w:color w:val="1F2933"/>
                <w:sz w:val="17"/>
              </w:rPr>
              <w:t>Membership/event factor</w:t>
            </w:r>
          </w:p>
        </w:tc>
        <w:tc>
          <w:tcPr>
            <w:tcW w:type="dxa" w:w="1920"/>
            <w:shd w:fill="FFFFFF"/>
            <w:vAlign w:val="center"/>
          </w:tcPr>
          <w:p>
            <w:pPr>
              <w:spacing w:after="0" w:before="0" w:line="252" w:lineRule="auto"/>
              <w:jc w:val="center"/>
            </w:pPr>
            <w:r/>
            <w:r>
              <w:rPr>
                <w:rFonts w:ascii="Calibri" w:hAnsi="Calibri"/>
                <w:b w:val="0"/>
                <w:color w:val="1F2933"/>
                <w:sz w:val="17"/>
              </w:rPr>
              <w:t>0.7×</w:t>
            </w:r>
          </w:p>
        </w:tc>
        <w:tc>
          <w:tcPr>
            <w:tcW w:type="dxa" w:w="1920"/>
            <w:shd w:fill="FFFFFF"/>
            <w:vAlign w:val="center"/>
          </w:tcPr>
          <w:p>
            <w:pPr>
              <w:spacing w:after="0" w:before="0" w:line="252" w:lineRule="auto"/>
              <w:jc w:val="center"/>
            </w:pPr>
            <w:r/>
            <w:r>
              <w:rPr>
                <w:rFonts w:ascii="Calibri" w:hAnsi="Calibri"/>
                <w:b w:val="0"/>
                <w:color w:val="1F2933"/>
                <w:sz w:val="17"/>
              </w:rPr>
              <w:t>1.0×</w:t>
            </w:r>
          </w:p>
        </w:tc>
        <w:tc>
          <w:tcPr>
            <w:tcW w:type="dxa" w:w="1920"/>
            <w:shd w:fill="FFFFFF"/>
            <w:vAlign w:val="center"/>
          </w:tcPr>
          <w:p>
            <w:pPr>
              <w:spacing w:after="0" w:before="0" w:line="252" w:lineRule="auto"/>
              <w:jc w:val="center"/>
            </w:pPr>
            <w:r/>
            <w:r>
              <w:rPr>
                <w:rFonts w:ascii="Calibri" w:hAnsi="Calibri"/>
                <w:b w:val="0"/>
                <w:color w:val="1F2933"/>
                <w:sz w:val="17"/>
              </w:rPr>
              <w:t>1.3×</w:t>
            </w:r>
          </w:p>
        </w:tc>
      </w:tr>
      <w:tr>
        <w:trPr>
          <w:cantSplit/>
        </w:trPr>
        <w:tc>
          <w:tcPr>
            <w:tcW w:type="dxa" w:w="3600"/>
            <w:shd w:fill="F4F6F9"/>
            <w:vAlign w:val="center"/>
          </w:tcPr>
          <w:p>
            <w:pPr>
              <w:spacing w:after="0" w:before="0" w:line="252" w:lineRule="auto"/>
              <w:jc w:val="left"/>
            </w:pPr>
            <w:r/>
            <w:r>
              <w:rPr>
                <w:rFonts w:ascii="Calibri" w:hAnsi="Calibri"/>
                <w:b w:val="0"/>
                <w:color w:val="1F2933"/>
                <w:sz w:val="17"/>
              </w:rPr>
              <w:t>Operating cost factor</w:t>
            </w:r>
          </w:p>
        </w:tc>
        <w:tc>
          <w:tcPr>
            <w:tcW w:type="dxa" w:w="1920"/>
            <w:shd w:fill="F4F6F9"/>
            <w:vAlign w:val="center"/>
          </w:tcPr>
          <w:p>
            <w:pPr>
              <w:spacing w:after="0" w:before="0" w:line="252" w:lineRule="auto"/>
              <w:jc w:val="center"/>
            </w:pPr>
            <w:r/>
            <w:r>
              <w:rPr>
                <w:rFonts w:ascii="Calibri" w:hAnsi="Calibri"/>
                <w:b w:val="0"/>
                <w:color w:val="1F2933"/>
                <w:sz w:val="17"/>
              </w:rPr>
              <w:t>1.1×</w:t>
            </w:r>
          </w:p>
        </w:tc>
        <w:tc>
          <w:tcPr>
            <w:tcW w:type="dxa" w:w="1920"/>
            <w:shd w:fill="F4F6F9"/>
            <w:vAlign w:val="center"/>
          </w:tcPr>
          <w:p>
            <w:pPr>
              <w:spacing w:after="0" w:before="0" w:line="252" w:lineRule="auto"/>
              <w:jc w:val="center"/>
            </w:pPr>
            <w:r/>
            <w:r>
              <w:rPr>
                <w:rFonts w:ascii="Calibri" w:hAnsi="Calibri"/>
                <w:b w:val="0"/>
                <w:color w:val="1F2933"/>
                <w:sz w:val="17"/>
              </w:rPr>
              <w:t>1.0×</w:t>
            </w:r>
          </w:p>
        </w:tc>
        <w:tc>
          <w:tcPr>
            <w:tcW w:type="dxa" w:w="1920"/>
            <w:shd w:fill="F4F6F9"/>
            <w:vAlign w:val="center"/>
          </w:tcPr>
          <w:p>
            <w:pPr>
              <w:spacing w:after="0" w:before="0" w:line="252" w:lineRule="auto"/>
              <w:jc w:val="center"/>
            </w:pPr>
            <w:r/>
            <w:r>
              <w:rPr>
                <w:rFonts w:ascii="Calibri" w:hAnsi="Calibri"/>
                <w:b w:val="0"/>
                <w:color w:val="1F2933"/>
                <w:sz w:val="17"/>
              </w:rPr>
              <w:t>1.1×</w:t>
            </w:r>
          </w:p>
        </w:tc>
      </w:tr>
      <w:tr>
        <w:trPr>
          <w:cantSplit/>
        </w:trPr>
        <w:tc>
          <w:tcPr>
            <w:tcW w:type="dxa" w:w="3600"/>
            <w:shd w:fill="FFFFFF"/>
            <w:vAlign w:val="center"/>
          </w:tcPr>
          <w:p>
            <w:pPr>
              <w:spacing w:after="0" w:before="0" w:line="252" w:lineRule="auto"/>
              <w:jc w:val="left"/>
            </w:pPr>
            <w:r/>
            <w:r>
              <w:rPr>
                <w:rFonts w:ascii="Calibri" w:hAnsi="Calibri"/>
                <w:b w:val="0"/>
                <w:color w:val="1F2933"/>
                <w:sz w:val="17"/>
              </w:rPr>
              <w:t>Opening capex factor</w:t>
            </w:r>
          </w:p>
        </w:tc>
        <w:tc>
          <w:tcPr>
            <w:tcW w:type="dxa" w:w="1920"/>
            <w:shd w:fill="FFFFFF"/>
            <w:vAlign w:val="center"/>
          </w:tcPr>
          <w:p>
            <w:pPr>
              <w:spacing w:after="0" w:before="0" w:line="252" w:lineRule="auto"/>
              <w:jc w:val="center"/>
            </w:pPr>
            <w:r/>
            <w:r>
              <w:rPr>
                <w:rFonts w:ascii="Calibri" w:hAnsi="Calibri"/>
                <w:b w:val="0"/>
                <w:color w:val="1F2933"/>
                <w:sz w:val="17"/>
              </w:rPr>
              <w:t>1.2×</w:t>
            </w:r>
          </w:p>
        </w:tc>
        <w:tc>
          <w:tcPr>
            <w:tcW w:type="dxa" w:w="1920"/>
            <w:shd w:fill="FFFFFF"/>
            <w:vAlign w:val="center"/>
          </w:tcPr>
          <w:p>
            <w:pPr>
              <w:spacing w:after="0" w:before="0" w:line="252" w:lineRule="auto"/>
              <w:jc w:val="center"/>
            </w:pPr>
            <w:r/>
            <w:r>
              <w:rPr>
                <w:rFonts w:ascii="Calibri" w:hAnsi="Calibri"/>
                <w:b w:val="0"/>
                <w:color w:val="1F2933"/>
                <w:sz w:val="17"/>
              </w:rPr>
              <w:t>1.0×</w:t>
            </w:r>
          </w:p>
        </w:tc>
        <w:tc>
          <w:tcPr>
            <w:tcW w:type="dxa" w:w="1920"/>
            <w:shd w:fill="FFFFFF"/>
            <w:vAlign w:val="center"/>
          </w:tcPr>
          <w:p>
            <w:pPr>
              <w:spacing w:after="0" w:before="0" w:line="252" w:lineRule="auto"/>
              <w:jc w:val="center"/>
            </w:pPr>
            <w:r/>
            <w:r>
              <w:rPr>
                <w:rFonts w:ascii="Calibri" w:hAnsi="Calibri"/>
                <w:b w:val="0"/>
                <w:color w:val="1F2933"/>
                <w:sz w:val="17"/>
              </w:rPr>
              <w:t>1.0×</w:t>
            </w:r>
          </w:p>
        </w:tc>
      </w:tr>
    </w:tbl>
    <w:p>
      <w:pPr>
        <w:spacing w:after="0"/>
      </w:pPr>
    </w:p>
    <w:p>
      <w:r>
        <w:rPr>
          <w:i w:val="0"/>
        </w:rPr>
        <w:t>All outputs should be read with the live workbook. The workbook includes separate Assumptions, Unit Economics, P&amp;L, Cash Flow, Scenarios, Ten-Store Rollout, Checks, and Sources sheets. Formula checks confirm structural consistency, not commercial truth.</w:t>
      </w:r>
    </w:p>
    <w:p>
      <w:r>
        <w:br w:type="page"/>
      </w:r>
    </w:p>
    <w:p>
      <w:pPr>
        <w:spacing w:after="40"/>
      </w:pPr>
      <w:r>
        <w:rPr>
          <w:b/>
          <w:color w:val="238295"/>
          <w:sz w:val="17"/>
        </w:rPr>
        <w:t>PRIMARY AND AUTHORITATIVE EVIDENCE</w:t>
      </w:r>
    </w:p>
    <w:p>
      <w:pPr>
        <w:pStyle w:val="Heading1"/>
        <w:keepNext/>
        <w:keepLines/>
      </w:pPr>
      <w:r>
        <w:t>B  Research source register</w:t>
      </w:r>
    </w:p>
    <w:p>
      <w:pPr>
        <w:spacing w:after="120"/>
        <w:ind w:left="288" w:hanging="288"/>
        <w:jc w:val="left"/>
      </w:pPr>
      <w:r>
        <w:rPr>
          <w:b/>
        </w:rPr>
        <w:t xml:space="preserve">[S1] Frequently Asked Questions About Small Business, 2026. </w:t>
      </w:r>
      <w:r>
        <w:t xml:space="preserve">U.S. Small Business Administration Office of Advocacy. Small-business counts, nonemployer share, AI-use estimates, openings, and survival. </w:t>
      </w:r>
      <w:hyperlink r:id="rId13">
        <w:r>
          <w:rPr>
            <w:color w:val="2E74B5"/>
            <w:u w:val="single"/>
          </w:rPr>
          <w:t>Source</w:t>
        </w:r>
      </w:hyperlink>
    </w:p>
    <w:p>
      <w:pPr>
        <w:spacing w:after="120"/>
        <w:ind w:left="288" w:hanging="288"/>
        <w:jc w:val="left"/>
      </w:pPr>
      <w:r>
        <w:rPr>
          <w:b/>
        </w:rPr>
        <w:t xml:space="preserve">[S2] Business Formation Statistics, June 2026. </w:t>
      </w:r>
      <w:r>
        <w:t xml:space="preserve">U.S. Census Bureau. Business applications and projected employer startups; released 9 July 2026. </w:t>
      </w:r>
      <w:hyperlink r:id="rId14">
        <w:r>
          <w:rPr>
            <w:color w:val="2E74B5"/>
            <w:u w:val="single"/>
          </w:rPr>
          <w:t>Source</w:t>
        </w:r>
      </w:hyperlink>
    </w:p>
    <w:p>
      <w:pPr>
        <w:spacing w:after="120"/>
        <w:ind w:left="288" w:hanging="288"/>
        <w:jc w:val="left"/>
      </w:pPr>
      <w:r>
        <w:rPr>
          <w:b/>
        </w:rPr>
        <w:t xml:space="preserve">[S3] SCORE’s Small Business Services. </w:t>
      </w:r>
      <w:r>
        <w:t xml:space="preserve">SCORE. No-cost, confidential mentoring benchmark. </w:t>
      </w:r>
      <w:hyperlink r:id="rId15">
        <w:r>
          <w:rPr>
            <w:color w:val="2E74B5"/>
            <w:u w:val="single"/>
          </w:rPr>
          <w:t>Source</w:t>
        </w:r>
      </w:hyperlink>
    </w:p>
    <w:p>
      <w:pPr>
        <w:spacing w:after="120"/>
        <w:ind w:left="288" w:hanging="288"/>
        <w:jc w:val="left"/>
      </w:pPr>
      <w:r>
        <w:rPr>
          <w:b/>
        </w:rPr>
        <w:t xml:space="preserve">[S4] Small Business Development Centers. </w:t>
      </w:r>
      <w:r>
        <w:t xml:space="preserve">U.S. Small Business Administration. Individualized advising and technical-assistance benchmark. </w:t>
      </w:r>
      <w:hyperlink r:id="rId16">
        <w:r>
          <w:rPr>
            <w:color w:val="2E74B5"/>
            <w:u w:val="single"/>
          </w:rPr>
          <w:t>Source</w:t>
        </w:r>
      </w:hyperlink>
    </w:p>
    <w:p>
      <w:pPr>
        <w:spacing w:after="120"/>
        <w:ind w:left="288" w:hanging="288"/>
        <w:jc w:val="left"/>
      </w:pPr>
      <w:r>
        <w:rPr>
          <w:b/>
        </w:rPr>
        <w:t xml:space="preserve">[S5] What are the fees?. </w:t>
      </w:r>
      <w:r>
        <w:t xml:space="preserve">Kickstarter Support. 5% platform fee plus roughly 3%–5% payment processing on successfully funded projects. </w:t>
      </w:r>
      <w:hyperlink r:id="rId17">
        <w:r>
          <w:rPr>
            <w:color w:val="2E74B5"/>
            <w:u w:val="single"/>
          </w:rPr>
          <w:t>Source</w:t>
        </w:r>
      </w:hyperlink>
    </w:p>
    <w:p>
      <w:pPr>
        <w:spacing w:after="120"/>
        <w:ind w:left="288" w:hanging="288"/>
        <w:jc w:val="left"/>
      </w:pPr>
      <w:r>
        <w:rPr>
          <w:b/>
        </w:rPr>
        <w:t xml:space="preserve">[S6] Fees &amp; Pricing for Campaigners. </w:t>
      </w:r>
      <w:r>
        <w:t xml:space="preserve">Indiegogo Support. 5% platform fee plus payment processing. </w:t>
      </w:r>
      <w:hyperlink r:id="rId18">
        <w:r>
          <w:rPr>
            <w:color w:val="2E74B5"/>
            <w:u w:val="single"/>
          </w:rPr>
          <w:t>Source</w:t>
        </w:r>
      </w:hyperlink>
    </w:p>
    <w:p>
      <w:pPr>
        <w:spacing w:after="120"/>
        <w:ind w:left="288" w:hanging="288"/>
        <w:jc w:val="left"/>
      </w:pPr>
      <w:r>
        <w:rPr>
          <w:b/>
        </w:rPr>
        <w:t xml:space="preserve">[S7] Q1 2026 U.S. Retail Figures. </w:t>
      </w:r>
      <w:r>
        <w:t xml:space="preserve">CBRE. Average asking rent, availability, and suburban-versus-downtown context. </w:t>
      </w:r>
      <w:hyperlink r:id="rId19">
        <w:r>
          <w:rPr>
            <w:color w:val="2E74B5"/>
            <w:u w:val="single"/>
          </w:rPr>
          <w:t>Source</w:t>
        </w:r>
      </w:hyperlink>
    </w:p>
    <w:p>
      <w:pPr>
        <w:spacing w:after="120"/>
        <w:ind w:left="288" w:hanging="288"/>
        <w:jc w:val="left"/>
      </w:pPr>
      <w:r>
        <w:rPr>
          <w:b/>
        </w:rPr>
        <w:t xml:space="preserve">[S8] Management Analysts. </w:t>
      </w:r>
      <w:r>
        <w:t xml:space="preserve">U.S. Bureau of Labor Statistics. May 2024 median pay and 2024–34 outlook. </w:t>
      </w:r>
      <w:hyperlink r:id="rId20">
        <w:r>
          <w:rPr>
            <w:color w:val="2E74B5"/>
            <w:u w:val="single"/>
          </w:rPr>
          <w:t>Source</w:t>
        </w:r>
      </w:hyperlink>
    </w:p>
    <w:p>
      <w:r>
        <w:br w:type="page"/>
      </w:r>
    </w:p>
    <w:p>
      <w:pPr>
        <w:spacing w:after="120"/>
        <w:ind w:left="288" w:hanging="288"/>
        <w:jc w:val="left"/>
      </w:pPr>
      <w:r>
        <w:rPr>
          <w:b/>
        </w:rPr>
        <w:t xml:space="preserve">[S9] Market Research Analysts. </w:t>
      </w:r>
      <w:r>
        <w:t xml:space="preserve">U.S. Bureau of Labor Statistics. May 2024 median pay and 2024–34 outlook. </w:t>
      </w:r>
      <w:hyperlink r:id="rId21">
        <w:r>
          <w:rPr>
            <w:color w:val="2E74B5"/>
            <w:u w:val="single"/>
          </w:rPr>
          <w:t>Source</w:t>
        </w:r>
      </w:hyperlink>
    </w:p>
    <w:p>
      <w:pPr>
        <w:spacing w:after="120"/>
        <w:ind w:left="288" w:hanging="288"/>
        <w:jc w:val="left"/>
      </w:pPr>
      <w:r>
        <w:rPr>
          <w:b/>
        </w:rPr>
        <w:t xml:space="preserve">[S10] AI Risk Management Framework. </w:t>
      </w:r>
      <w:r>
        <w:t xml:space="preserve">National Institute of Standards and Technology. Voluntary AI-risk governance framework. </w:t>
      </w:r>
      <w:hyperlink r:id="rId22">
        <w:r>
          <w:rPr>
            <w:color w:val="2E74B5"/>
            <w:u w:val="single"/>
          </w:rPr>
          <w:t>Source</w:t>
        </w:r>
      </w:hyperlink>
    </w:p>
    <w:p>
      <w:pPr>
        <w:spacing w:after="120"/>
        <w:ind w:left="288" w:hanging="288"/>
        <w:jc w:val="left"/>
      </w:pPr>
      <w:r>
        <w:rPr>
          <w:b/>
        </w:rPr>
        <w:t xml:space="preserve">[S11] Copyright and Artificial Intelligence, Part 2: Copyrightability. </w:t>
      </w:r>
      <w:r>
        <w:t xml:space="preserve">U.S. Copyright Office. Human-authorship analysis for generative-AI outputs. </w:t>
      </w:r>
      <w:hyperlink r:id="rId23">
        <w:r>
          <w:rPr>
            <w:color w:val="2E74B5"/>
            <w:u w:val="single"/>
          </w:rPr>
          <w:t>Source</w:t>
        </w:r>
      </w:hyperlink>
    </w:p>
    <w:p>
      <w:pPr>
        <w:spacing w:after="120"/>
        <w:ind w:left="288" w:hanging="288"/>
        <w:jc w:val="left"/>
      </w:pPr>
      <w:r>
        <w:rPr>
          <w:b/>
        </w:rPr>
        <w:t xml:space="preserve">[S12] Revised Inventorship Guidance for AI-Assisted Inventions. </w:t>
      </w:r>
      <w:r>
        <w:t xml:space="preserve">U.S. Patent and Trademark Office. Natural-person inventorship and AI as a tool. </w:t>
      </w:r>
      <w:hyperlink r:id="rId24">
        <w:r>
          <w:rPr>
            <w:color w:val="2E74B5"/>
            <w:u w:val="single"/>
          </w:rPr>
          <w:t>Source</w:t>
        </w:r>
      </w:hyperlink>
    </w:p>
    <w:p>
      <w:pPr>
        <w:spacing w:after="120"/>
        <w:ind w:left="288" w:hanging="288"/>
        <w:jc w:val="left"/>
      </w:pPr>
      <w:r>
        <w:rPr>
          <w:b/>
        </w:rPr>
        <w:t xml:space="preserve">[S13] Regulation Crowdfunding. </w:t>
      </w:r>
      <w:r>
        <w:t xml:space="preserve">U.S. Securities and Exchange Commission. Offering limit and registered-intermediary requirements. </w:t>
      </w:r>
      <w:hyperlink r:id="rId25">
        <w:r>
          <w:rPr>
            <w:color w:val="2E74B5"/>
            <w:u w:val="single"/>
          </w:rPr>
          <w:t>Source</w:t>
        </w:r>
      </w:hyperlink>
    </w:p>
    <w:p>
      <w:pPr>
        <w:spacing w:after="120"/>
        <w:ind w:left="288" w:hanging="288"/>
        <w:jc w:val="left"/>
      </w:pPr>
      <w:r>
        <w:rPr>
          <w:b/>
        </w:rPr>
        <w:t xml:space="preserve">[S14] Franchise Rule. </w:t>
      </w:r>
      <w:r>
        <w:t xml:space="preserve">U.S. Federal Trade Commission. Federal franchise disclosure framework. </w:t>
      </w:r>
      <w:hyperlink r:id="rId26">
        <w:r>
          <w:rPr>
            <w:color w:val="2E74B5"/>
            <w:u w:val="single"/>
          </w:rPr>
          <w:t>Source</w:t>
        </w:r>
      </w:hyperlink>
    </w:p>
    <w:p>
      <w:pPr>
        <w:spacing w:after="120"/>
        <w:ind w:left="288" w:hanging="288"/>
        <w:jc w:val="left"/>
      </w:pPr>
      <w:r>
        <w:rPr>
          <w:b/>
        </w:rPr>
        <w:t xml:space="preserve">[S15] Regulation Crowdfunding Offerings. </w:t>
      </w:r>
      <w:r>
        <w:t xml:space="preserve">U.S. Securities and Exchange Commission. Offering and reported-proceeds statistics through 31 December 2025. </w:t>
      </w:r>
      <w:hyperlink r:id="rId27">
        <w:r>
          <w:rPr>
            <w:color w:val="2E74B5"/>
            <w:u w:val="single"/>
          </w:rPr>
          <w:t>Source</w:t>
        </w:r>
      </w:hyperlink>
    </w:p>
    <w:p>
      <w:pPr>
        <w:pStyle w:val="Heading2"/>
        <w:keepNext/>
        <w:keepLines/>
      </w:pPr>
      <w:r>
        <w:t>Source-concept record</w:t>
      </w:r>
    </w:p>
    <w:p>
      <w:pPr>
        <w:jc w:val="left"/>
      </w:pPr>
      <w:r>
        <w:rPr>
          <w:b/>
        </w:rPr>
        <w:t xml:space="preserve">Public ChatGPT share: </w:t>
      </w:r>
      <w:hyperlink r:id="rId28">
        <w:r>
          <w:rPr>
            <w:color w:val="2E74B5"/>
            <w:u w:val="single"/>
          </w:rPr>
          <w:t>Lame Brain Ideas Plan</w:t>
        </w:r>
      </w:hyperlink>
      <w:r>
        <w:t>. Accessed 17 July 2026. The share contained one user prompt and one assistant response; no Canvas or file attachments were recoverable.</w:t>
      </w:r>
    </w:p>
    <w:p>
      <w:r>
        <w:br w:type="page"/>
      </w:r>
    </w:p>
    <w:p>
      <w:pPr>
        <w:spacing w:after="40"/>
      </w:pPr>
      <w:r>
        <w:rPr>
          <w:b/>
          <w:color w:val="238295"/>
          <w:sz w:val="17"/>
        </w:rPr>
        <w:t>READ BEFORE RELIANCE</w:t>
      </w:r>
    </w:p>
    <w:p>
      <w:pPr>
        <w:pStyle w:val="Heading1"/>
        <w:keepNext/>
        <w:keepLines/>
      </w:pPr>
      <w:r>
        <w:t>C  Important qualifications</w:t>
      </w:r>
    </w:p>
    <w:p>
      <w:pPr>
        <w:pStyle w:val="ListBullet"/>
        <w:keepLines/>
        <w:jc w:val="left"/>
      </w:pPr>
      <w:r>
        <w:t>The financial model is based on management assumptions. No historical operating data exists in the source package.</w:t>
      </w:r>
    </w:p>
    <w:p>
      <w:pPr>
        <w:pStyle w:val="ListBullet"/>
        <w:keepLines/>
        <w:jc w:val="left"/>
      </w:pPr>
      <w:r>
        <w:t>National data does not establish local demand, rent, wage, buildout, insurance, or customer-acquisition economics.</w:t>
      </w:r>
    </w:p>
    <w:p>
      <w:pPr>
        <w:pStyle w:val="ListBullet"/>
        <w:keepLines/>
        <w:jc w:val="left"/>
      </w:pPr>
      <w:r>
        <w:t>The word “validated” means evidence was collected against stated criteria; it does not guarantee commercial, technical, legal, or funding success.</w:t>
      </w:r>
    </w:p>
    <w:p>
      <w:pPr>
        <w:pStyle w:val="ListBullet"/>
        <w:keepLines/>
        <w:jc w:val="left"/>
      </w:pPr>
      <w:r>
        <w:t>Crowdfunding proceeds and platform activity are contextual evidence, not revenue forecasts for Lame Brain Ideas.</w:t>
      </w:r>
    </w:p>
    <w:p>
      <w:pPr>
        <w:pStyle w:val="ListBullet"/>
        <w:keepLines/>
        <w:jc w:val="left"/>
      </w:pPr>
      <w:r>
        <w:t>Customer confidentiality cannot be guaranteed absolutely. Controls reduce risk and must be described honestly.</w:t>
      </w:r>
    </w:p>
    <w:p>
      <w:pPr>
        <w:pStyle w:val="ListBullet"/>
        <w:keepLines/>
        <w:jc w:val="left"/>
      </w:pPr>
      <w:r>
        <w:t>AI-assisted work can contain errors, omissions, bias, unlicensed material, or unsupported claims; human review and specialist referral remain essential.</w:t>
      </w:r>
    </w:p>
    <w:p>
      <w:pPr>
        <w:pStyle w:val="ListBullet"/>
        <w:keepLines/>
        <w:jc w:val="left"/>
      </w:pPr>
      <w:r>
        <w:t>Any securities, franchise, IP, privacy, employment, lease, tax, or consumer-protection decision requires jurisdiction-specific professional advice.</w:t>
      </w:r>
    </w:p>
    <w:p>
      <w:r>
        <w:rPr>
          <w:i w:val="0"/>
        </w:rPr>
        <w:t>The recommended next action is validation, not fundraising promotion. This prospectus should be updated when pilot evidence, bids, counsel advice, and actual customer outcomes replace assumptions.</w:t>
      </w:r>
    </w:p>
    <w:sectPr w:rsidR="00FC693F" w:rsidRPr="0006063C" w:rsidSect="00034616">
      <w:headerReference w:type="default" r:id="rId9"/>
      <w:footerReference w:type="default" r:id="rId10"/>
      <w:pgSz w:w="12240" w:h="15840"/>
      <w:pgMar w:top="1440" w:right="1440" w:bottom="1440" w:left="1440"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600"/>
      <w:gridCol w:w="1760"/>
    </w:tblGrid>
    <w:tr>
      <w:tc>
        <w:tcPr>
          <w:tcW w:type="dxa" w:w="7600"/>
          <w:tcMar>
            <w:top w:w="80" w:type="dxa"/>
            <w:start w:w="120" w:type="dxa"/>
            <w:bottom w:w="80" w:type="dxa"/>
            <w:end w:w="120" w:type="dxa"/>
          </w:tcMar>
        </w:tcPr>
        <w:p>
          <w:pPr>
            <w:spacing w:after="0" w:before="0" w:line="252" w:lineRule="auto"/>
            <w:jc w:val="left"/>
          </w:pPr>
          <w:r/>
          <w:r>
            <w:rPr>
              <w:rFonts w:ascii="Calibri" w:hAnsi="Calibri"/>
              <w:b w:val="0"/>
              <w:color w:val="536273"/>
              <w:sz w:val="16"/>
            </w:rPr>
            <w:t>CONFIDENTIAL WORKING PROSPECTUS  |  17 JULY 2026</w:t>
          </w:r>
        </w:p>
      </w:tc>
      <w:tc>
        <w:tcPr>
          <w:tcW w:type="dxa" w:w="1760"/>
          <w:tcMar>
            <w:top w:w="80" w:type="dxa"/>
            <w:start w:w="120" w:type="dxa"/>
            <w:bottom w:w="80" w:type="dxa"/>
            <w:end w:w="120" w:type="dxa"/>
          </w:tcMar>
        </w:tcPr>
        <w:p>
          <w:pPr>
            <w:jc w:val="right"/>
          </w:pPr>
          <w:r/>
          <w:r>
            <w:rPr>
              <w:color w:val="536273"/>
              <w:sz w:val="16"/>
            </w:rPr>
            <w:t xml:space="preserve">PAGE </w:t>
          </w:r>
          <w:r>
            <w:rPr>
              <w:color w:val="536273"/>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36273"/>
        <w:sz w:val="16"/>
      </w:rPr>
      <w:t>LAME BRAIN IDEAS  |  PROSPECTUS &amp; FEASIBILITY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360"/>
        </w:tabs>
        <w:ind w:left="600" w:hanging="360"/>
      </w:pPr>
    </w:lvl>
  </w:abstractNum>
  <w:num w:numId="10">
    <w:abstractNumId w:val="9"/>
  </w:num>
  <w:abstractNum w:abstractNumId="10">
    <w:multiLevelType w:val="singleLevel"/>
    <w:lvl w:ilvl="0">
      <w:start w:val="1"/>
      <w:numFmt w:val="decimal"/>
      <w:lvlText w:val="%1."/>
      <w:lvlJc w:val="left"/>
      <w:pPr>
        <w:tabs>
          <w:tab w:val="num" w:pos="360"/>
        </w:tabs>
        <w:ind w:left="600" w:hanging="360"/>
      </w:pPr>
    </w:lvl>
  </w:abstractNum>
  <w:num w:numId="11">
    <w:abstractNumId w:val="10"/>
  </w:num>
  <w:abstractNum w:abstractNumId="11">
    <w:multiLevelType w:val="singleLevel"/>
    <w:lvl w:ilvl="0">
      <w:start w:val="1"/>
      <w:numFmt w:val="decimal"/>
      <w:lvlText w:val="%1."/>
      <w:lvlJc w:val="left"/>
      <w:pPr>
        <w:tabs>
          <w:tab w:val="num" w:pos="360"/>
        </w:tabs>
        <w:ind w:left="60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80" w:line="240" w:lineRule="auto" w:before="0"/>
      <w:contextualSpacing/>
      <w:jc w:val="left"/>
    </w:pPr>
    <w:rPr>
      <w:rFonts w:asciiTheme="majorHAnsi" w:eastAsiaTheme="majorEastAsia" w:hAnsiTheme="majorHAnsi" w:cstheme="majorBidi" w:ascii="Calibri" w:hAnsi="Calibri"/>
      <w:b/>
      <w:color w:val="1228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20"/>
      <w:jc w:val="left"/>
    </w:pPr>
    <w:rPr>
      <w:rFonts w:asciiTheme="majorHAnsi" w:eastAsiaTheme="majorEastAsia" w:hAnsiTheme="majorHAnsi" w:cstheme="majorBidi" w:ascii="Calibri" w:hAnsi="Calibri"/>
      <w:b w:val="0"/>
      <w:i/>
      <w:iCs/>
      <w:color w:val="23829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keepLines/>
      <w:numPr>
        <w:numId w:val="2"/>
      </w:numPr>
      <w:spacing w:after="80" w:line="290" w:lineRule="auto"/>
      <w:ind w:left="900" w:hanging="27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keepLines/>
      <w:numPr>
        <w:numId w:val="6"/>
      </w:numPr>
      <w:spacing w:after="80" w:line="29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362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dvocacy.sba.gov/wp-content/uploads/2026/02/FINAL_FAQsAboutSmallBusiness_2026_012826.pdf" TargetMode="External"/><Relationship Id="rId14" Type="http://schemas.openxmlformats.org/officeDocument/2006/relationships/hyperlink" Target="https://www.census.gov/econ/bfs/current/index.html" TargetMode="External"/><Relationship Id="rId15" Type="http://schemas.openxmlformats.org/officeDocument/2006/relationships/hyperlink" Target="https://www.score.org/scores-small-business-services/" TargetMode="External"/><Relationship Id="rId16" Type="http://schemas.openxmlformats.org/officeDocument/2006/relationships/hyperlink" Target="https://www.sba.gov/local-assistance/resource-partners/small-business-development-centers-sbdc" TargetMode="External"/><Relationship Id="rId17" Type="http://schemas.openxmlformats.org/officeDocument/2006/relationships/hyperlink" Target="https://help.kickstarter.com/hc/en-us/articles/115005028634-What-are-the-fees" TargetMode="External"/><Relationship Id="rId18" Type="http://schemas.openxmlformats.org/officeDocument/2006/relationships/hyperlink" Target="https://support.indiegogo.com/hc/en-us/articles/204456408-Fees-Pricing-for-Campaigners-How-much-does-Indiegogo-cost" TargetMode="External"/><Relationship Id="rId19" Type="http://schemas.openxmlformats.org/officeDocument/2006/relationships/hyperlink" Target="https://www.cbre.com/insights/figures/q1-2026-us-retail-figures" TargetMode="External"/><Relationship Id="rId20" Type="http://schemas.openxmlformats.org/officeDocument/2006/relationships/hyperlink" Target="https://www.bls.gov/ooh/business-and-financial/management-analysts.htm" TargetMode="External"/><Relationship Id="rId21" Type="http://schemas.openxmlformats.org/officeDocument/2006/relationships/hyperlink" Target="https://www.bls.gov/ooh/business-and-financial/market-research-analysts.htm" TargetMode="External"/><Relationship Id="rId22" Type="http://schemas.openxmlformats.org/officeDocument/2006/relationships/hyperlink" Target="https://www.nist.gov/itl/ai-risk-management-framework" TargetMode="External"/><Relationship Id="rId23" Type="http://schemas.openxmlformats.org/officeDocument/2006/relationships/hyperlink" Target="https://www.copyright.gov/ai/Copyright-and-Artificial-Intelligence-Part-2-Copyrightability-Report.pdf" TargetMode="External"/><Relationship Id="rId24" Type="http://schemas.openxmlformats.org/officeDocument/2006/relationships/hyperlink" Target="https://www.uspto.gov/subscription-center/2025/revised-inventorship-guidance-ai-assisted-inventions" TargetMode="External"/><Relationship Id="rId25" Type="http://schemas.openxmlformats.org/officeDocument/2006/relationships/hyperlink" Target="https://www.sec.gov/resources-small-businesses/exempt-offerings/regulation-crowdfunding" TargetMode="External"/><Relationship Id="rId26" Type="http://schemas.openxmlformats.org/officeDocument/2006/relationships/hyperlink" Target="https://www.ftc.gov/legal-library/browse/rules/franchise-rule" TargetMode="External"/><Relationship Id="rId27" Type="http://schemas.openxmlformats.org/officeDocument/2006/relationships/hyperlink" Target="https://www.sec.gov/data-research/statistics-data-visualizations/regulation-crowdfunding-cf-offerings" TargetMode="External"/><Relationship Id="rId28" Type="http://schemas.openxmlformats.org/officeDocument/2006/relationships/hyperlink" Target="https://chatgpt.com/share/6a5a6150-5000-83ea-bc47-11e9bae494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Lame Brain Ideas - Prospectus and Feasibility Study</dc:title>
  <dc:subject>Conditional investment and operating case for an idea-development studio</dc:subject>
  <dc:creator>Lame Brain Ideas project team</dc:creator>
  <cp:keywords>idea studio, feasibility, prospectus, financial model, market research</cp:keywords>
  <dc:description>Planning document; not an offer to sell securities.</dc:description>
  <cp:lastModifiedBy/>
  <cp:revision>1</cp:revision>
  <dcterms:created xsi:type="dcterms:W3CDTF">2013-12-23T23:15:00Z</dcterms:created>
  <dcterms:modified xsi:type="dcterms:W3CDTF">2013-12-23T23:15:00Z</dcterms:modified>
  <cp:category/>
</cp:coreProperties>
</file>